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8E2" w:rsidRDefault="00C72248">
      <w:pPr>
        <w:suppressAutoHyphens w:val="0"/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ЗАТВЕРДЖЕНО</w:t>
      </w:r>
    </w:p>
    <w:p w:rsidR="00F448E2" w:rsidRDefault="00C72248">
      <w:pPr>
        <w:suppressAutoHyphens w:val="0"/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Наказ Міністерства фінансів України</w:t>
      </w:r>
    </w:p>
    <w:p w:rsidR="00F448E2" w:rsidRDefault="00B73A99">
      <w:pPr>
        <w:suppressAutoHyphens w:val="0"/>
        <w:spacing w:after="0" w:line="240" w:lineRule="auto"/>
        <w:ind w:left="5670"/>
        <w:rPr>
          <w:rFonts w:ascii="Times New Roman" w:hAnsi="Times New Roman"/>
          <w:vanish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 грудня 2023 року</w:t>
      </w:r>
      <w:r w:rsidR="00C72248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709</w:t>
      </w:r>
      <w:bookmarkStart w:id="0" w:name="_GoBack"/>
      <w:bookmarkEnd w:id="0"/>
      <w:r w:rsidR="00C72248">
        <w:rPr>
          <w:rFonts w:ascii="Times New Roman" w:hAnsi="Times New Roman"/>
          <w:sz w:val="28"/>
          <w:szCs w:val="28"/>
        </w:rPr>
        <w:t xml:space="preserve"> </w:t>
      </w:r>
    </w:p>
    <w:p w:rsidR="00F448E2" w:rsidRDefault="00F448E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448E2" w:rsidRDefault="00C7224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Зміни </w:t>
      </w:r>
    </w:p>
    <w:p w:rsidR="00F448E2" w:rsidRDefault="00C7224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до Порядку заповнення Звіту у розрізі країн міжнародної групи компаній, затвердженого наказом Міністерства фінансів України від 14 грудня 2020 року № 764, зареєстрованого</w:t>
      </w:r>
      <w:r>
        <w:rPr>
          <w:rFonts w:ascii="Times New Roman" w:hAnsi="Times New Roman"/>
          <w:b/>
          <w:bCs/>
          <w:sz w:val="28"/>
          <w:szCs w:val="28"/>
        </w:rPr>
        <w:t xml:space="preserve"> в Міністерстві юстиції України 04 лютого 2021 року за № 155/35777</w:t>
      </w:r>
    </w:p>
    <w:p w:rsidR="00F448E2" w:rsidRDefault="00F448E2">
      <w:pPr>
        <w:pStyle w:val="32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F448E2" w:rsidRDefault="00C72248">
      <w:pPr>
        <w:pStyle w:val="32"/>
        <w:numPr>
          <w:ilvl w:val="0"/>
          <w:numId w:val="7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У розділі І:</w:t>
      </w:r>
    </w:p>
    <w:p w:rsidR="00F448E2" w:rsidRDefault="00F448E2">
      <w:pPr>
        <w:pStyle w:val="32"/>
        <w:tabs>
          <w:tab w:val="left" w:pos="0"/>
        </w:tabs>
        <w:spacing w:after="0" w:line="240" w:lineRule="auto"/>
        <w:ind w:left="567"/>
        <w:jc w:val="both"/>
        <w:rPr>
          <w:rFonts w:ascii="Times New Roman" w:hAnsi="Times New Roman"/>
          <w:bCs/>
          <w:sz w:val="28"/>
          <w:szCs w:val="28"/>
        </w:rPr>
      </w:pPr>
    </w:p>
    <w:p w:rsidR="00F448E2" w:rsidRDefault="00C72248">
      <w:pPr>
        <w:pStyle w:val="32"/>
        <w:numPr>
          <w:ilvl w:val="0"/>
          <w:numId w:val="8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пункт 2 викласти у такій редакції:</w:t>
      </w:r>
    </w:p>
    <w:p w:rsidR="00F448E2" w:rsidRDefault="00C72248">
      <w:pPr>
        <w:pStyle w:val="32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«2. Для цілей цього Порядку терміни «Багатостороння угода CbC», «Угода QCAA», «міжнародна група компаній» (далі − МГК), «материнська компан</w:t>
      </w:r>
      <w:r>
        <w:rPr>
          <w:rFonts w:ascii="Times New Roman" w:hAnsi="Times New Roman"/>
          <w:bCs/>
          <w:sz w:val="28"/>
          <w:szCs w:val="28"/>
        </w:rPr>
        <w:t>ія міжнародної групи компаній», «уповноважений учасник», «учасник міжнародної групи компаній» використовуються у значеннях, визначених підпунктами 14.1.10</w:t>
      </w:r>
      <w:r>
        <w:rPr>
          <w:rFonts w:ascii="Times New Roman" w:hAnsi="Times New Roman"/>
          <w:bCs/>
          <w:sz w:val="28"/>
          <w:szCs w:val="28"/>
          <w:vertAlign w:val="superscript"/>
        </w:rPr>
        <w:t>2</w:t>
      </w:r>
      <w:r>
        <w:rPr>
          <w:rFonts w:ascii="Times New Roman" w:hAnsi="Times New Roman"/>
          <w:bCs/>
          <w:sz w:val="28"/>
          <w:szCs w:val="28"/>
        </w:rPr>
        <w:t>, 14.1.10</w:t>
      </w:r>
      <w:r>
        <w:rPr>
          <w:rFonts w:ascii="Times New Roman" w:hAnsi="Times New Roman"/>
          <w:bCs/>
          <w:sz w:val="28"/>
          <w:szCs w:val="28"/>
          <w:vertAlign w:val="superscript"/>
        </w:rPr>
        <w:t>3</w:t>
      </w:r>
      <w:r>
        <w:rPr>
          <w:rFonts w:ascii="Times New Roman" w:hAnsi="Times New Roman"/>
          <w:bCs/>
          <w:sz w:val="28"/>
          <w:szCs w:val="28"/>
        </w:rPr>
        <w:t>, 14.1.103</w:t>
      </w:r>
      <w:r>
        <w:rPr>
          <w:rFonts w:ascii="Times New Roman" w:hAnsi="Times New Roman"/>
          <w:bCs/>
          <w:sz w:val="28"/>
          <w:szCs w:val="28"/>
          <w:vertAlign w:val="superscript"/>
        </w:rPr>
        <w:t>1</w:t>
      </w:r>
      <w:r>
        <w:rPr>
          <w:rFonts w:ascii="Times New Roman" w:hAnsi="Times New Roman"/>
          <w:bCs/>
          <w:sz w:val="28"/>
          <w:szCs w:val="28"/>
        </w:rPr>
        <w:t>, 14.1.113</w:t>
      </w:r>
      <w:r>
        <w:rPr>
          <w:rFonts w:ascii="Times New Roman" w:hAnsi="Times New Roman"/>
          <w:bCs/>
          <w:sz w:val="28"/>
          <w:szCs w:val="28"/>
          <w:vertAlign w:val="superscript"/>
        </w:rPr>
        <w:t>3</w:t>
      </w:r>
      <w:r>
        <w:rPr>
          <w:rFonts w:ascii="Times New Roman" w:hAnsi="Times New Roman"/>
          <w:bCs/>
          <w:sz w:val="28"/>
          <w:szCs w:val="28"/>
        </w:rPr>
        <w:t>, 14.1.254</w:t>
      </w:r>
      <w:r>
        <w:rPr>
          <w:rFonts w:ascii="Times New Roman" w:hAnsi="Times New Roman"/>
          <w:bCs/>
          <w:sz w:val="28"/>
          <w:szCs w:val="28"/>
          <w:vertAlign w:val="superscript"/>
        </w:rPr>
        <w:t>1</w:t>
      </w:r>
      <w:r>
        <w:rPr>
          <w:rFonts w:ascii="Times New Roman" w:hAnsi="Times New Roman"/>
          <w:bCs/>
          <w:sz w:val="28"/>
          <w:szCs w:val="28"/>
        </w:rPr>
        <w:t xml:space="preserve"> та 14.1.254</w:t>
      </w:r>
      <w:r>
        <w:rPr>
          <w:rFonts w:ascii="Times New Roman" w:hAnsi="Times New Roman"/>
          <w:bCs/>
          <w:sz w:val="28"/>
          <w:szCs w:val="28"/>
          <w:vertAlign w:val="superscript"/>
        </w:rPr>
        <w:t>2</w:t>
      </w:r>
      <w:r>
        <w:rPr>
          <w:rFonts w:ascii="Times New Roman" w:hAnsi="Times New Roman"/>
          <w:bCs/>
          <w:sz w:val="28"/>
          <w:szCs w:val="28"/>
        </w:rPr>
        <w:t xml:space="preserve"> пункту 14.1 статті 14 розділу I Податкового </w:t>
      </w:r>
      <w:r>
        <w:rPr>
          <w:rFonts w:ascii="Times New Roman" w:hAnsi="Times New Roman"/>
          <w:bCs/>
          <w:sz w:val="28"/>
          <w:szCs w:val="28"/>
        </w:rPr>
        <w:t>кодексу України (далі – Кодекс), термін «міжнародні договори» використовується у значенні, визначеному пунктом 14.4 статті 14 розділу I Кодексу відповідно.»;</w:t>
      </w:r>
    </w:p>
    <w:p w:rsidR="00F448E2" w:rsidRDefault="00F448E2">
      <w:pPr>
        <w:pStyle w:val="32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F448E2" w:rsidRDefault="00C72248">
      <w:pPr>
        <w:pStyle w:val="32"/>
        <w:numPr>
          <w:ilvl w:val="0"/>
          <w:numId w:val="8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пункт 3 викласти у такій редакції:</w:t>
      </w:r>
    </w:p>
    <w:p w:rsidR="00F448E2" w:rsidRDefault="00C72248">
      <w:pPr>
        <w:pStyle w:val="32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«3. Звіт подається у разі, якщо сукупний консолідований дохід </w:t>
      </w:r>
      <w:r>
        <w:rPr>
          <w:rFonts w:ascii="Times New Roman" w:hAnsi="Times New Roman"/>
          <w:bCs/>
          <w:sz w:val="28"/>
          <w:szCs w:val="28"/>
        </w:rPr>
        <w:t>МГК, до якої входить платник податків, за фінансовий рік, що передує звітному, розрахований згідно із стандартами бухгалтерського обліку, які застосовує материнська компанія МГК (за відсутності інформації – відповідно до міжнародних стандартів бухгалтерськ</w:t>
      </w:r>
      <w:r>
        <w:rPr>
          <w:rFonts w:ascii="Times New Roman" w:hAnsi="Times New Roman"/>
          <w:bCs/>
          <w:sz w:val="28"/>
          <w:szCs w:val="28"/>
        </w:rPr>
        <w:t>ого обліку), дорівнює або перевищує відповідний показник мінімального розміру сукупного консолідованого доходу, визначений підпунктом 39.4.10</w:t>
      </w:r>
      <w:r>
        <w:rPr>
          <w:rFonts w:ascii="Times New Roman" w:hAnsi="Times New Roman"/>
          <w:bCs/>
          <w:sz w:val="28"/>
          <w:szCs w:val="28"/>
          <w:vertAlign w:val="superscript"/>
        </w:rPr>
        <w:t>2</w:t>
      </w:r>
      <w:r>
        <w:rPr>
          <w:rFonts w:ascii="Times New Roman" w:hAnsi="Times New Roman"/>
          <w:bCs/>
          <w:sz w:val="28"/>
          <w:szCs w:val="28"/>
        </w:rPr>
        <w:t xml:space="preserve"> пункту 39.4 статті 39 розділу I Кодексу, та за наявності однієї із обставин, визначених підпунктом 39.4.10 пункту</w:t>
      </w:r>
      <w:r>
        <w:rPr>
          <w:rFonts w:ascii="Times New Roman" w:hAnsi="Times New Roman"/>
          <w:bCs/>
          <w:sz w:val="28"/>
          <w:szCs w:val="28"/>
        </w:rPr>
        <w:t xml:space="preserve"> 39.4 статті 39 розділу I Кодексу:</w:t>
      </w:r>
    </w:p>
    <w:p w:rsidR="00F448E2" w:rsidRDefault="00C72248">
      <w:pPr>
        <w:pStyle w:val="32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а) платник податків є материнською компанією МГК;</w:t>
      </w:r>
    </w:p>
    <w:p w:rsidR="00F448E2" w:rsidRDefault="00C72248">
      <w:pPr>
        <w:pStyle w:val="32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б) материнська компанія МГК уповноважує платника податків – резидента України на подання Звіту до контролюючого органу;</w:t>
      </w:r>
    </w:p>
    <w:p w:rsidR="00F448E2" w:rsidRDefault="00C72248">
      <w:pPr>
        <w:pStyle w:val="32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в) відповідно до вимог законодавства юрисдикції </w:t>
      </w:r>
      <w:r>
        <w:rPr>
          <w:rFonts w:ascii="Times New Roman" w:hAnsi="Times New Roman"/>
          <w:bCs/>
          <w:sz w:val="28"/>
          <w:szCs w:val="28"/>
        </w:rPr>
        <w:t>податкового резидентства материнської компанії МГК подання Звіту від такої МГК не вимагається;</w:t>
      </w:r>
    </w:p>
    <w:p w:rsidR="00F448E2" w:rsidRDefault="00C72248">
      <w:pPr>
        <w:pStyle w:val="32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г) між Україною та відповідною іноземною юрисдикцією податкового резидентства материнської компанії МГК є чинний міжнародний договір, що містить положення про об</w:t>
      </w:r>
      <w:r>
        <w:rPr>
          <w:rFonts w:ascii="Times New Roman" w:hAnsi="Times New Roman"/>
          <w:bCs/>
          <w:sz w:val="28"/>
          <w:szCs w:val="28"/>
        </w:rPr>
        <w:t>мін інформацією для податкових цілей, але не набрала чинності відповідна угода QCAA станом на дату закінчення фінансового року, за який згідно з підпунктом 39.4.11 пункту 39.4 статті 39 розділу I Кодексу має бути поданий Звіт щодо такої МГК;</w:t>
      </w:r>
    </w:p>
    <w:p w:rsidR="00F448E2" w:rsidRDefault="00C72248">
      <w:pPr>
        <w:pStyle w:val="32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ґ) між Україно</w:t>
      </w:r>
      <w:r>
        <w:rPr>
          <w:rFonts w:ascii="Times New Roman" w:hAnsi="Times New Roman"/>
          <w:bCs/>
          <w:sz w:val="28"/>
          <w:szCs w:val="28"/>
        </w:rPr>
        <w:t xml:space="preserve">ю та відповідною іноземною юрисдикцією податкового резидентства материнської компанії МГК є чинний міжнародний договір, що </w:t>
      </w:r>
      <w:r>
        <w:rPr>
          <w:rFonts w:ascii="Times New Roman" w:hAnsi="Times New Roman"/>
          <w:bCs/>
          <w:sz w:val="28"/>
          <w:szCs w:val="28"/>
        </w:rPr>
        <w:lastRenderedPageBreak/>
        <w:t>містить положення про обмін інформацією для податкових цілей, але наявні факти системного невиконання відповідної угоди QCAA.</w:t>
      </w:r>
    </w:p>
    <w:p w:rsidR="00F448E2" w:rsidRDefault="00C72248">
      <w:pPr>
        <w:pStyle w:val="32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Для ціл</w:t>
      </w:r>
      <w:r>
        <w:rPr>
          <w:rFonts w:ascii="Times New Roman" w:hAnsi="Times New Roman"/>
          <w:bCs/>
          <w:sz w:val="28"/>
          <w:szCs w:val="28"/>
        </w:rPr>
        <w:t xml:space="preserve">ей цього підпункту системне невиконання угоди QCAA щодо іноземної юрисдикції означає, що іноземна юрисдикція податкового резидентства відповідного учасника МГК має чинну угоду QCAA з Україною, але призупинила автоматичний обмін Звітами з причин, відмінних </w:t>
      </w:r>
      <w:r>
        <w:rPr>
          <w:rFonts w:ascii="Times New Roman" w:hAnsi="Times New Roman"/>
          <w:bCs/>
          <w:sz w:val="28"/>
          <w:szCs w:val="28"/>
        </w:rPr>
        <w:t>від тих, що відповідають умовам такої угоди, або іншим чином тривало і послідовно не надає в автоматичному режимі до України Звіти, що знаходяться в її розпорядженні, про МГК, які мають учасників в Україні.</w:t>
      </w:r>
    </w:p>
    <w:p w:rsidR="00F448E2" w:rsidRDefault="00C72248">
      <w:pPr>
        <w:pStyle w:val="32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Для цілей подання Звіту застосовуються такі показ</w:t>
      </w:r>
      <w:r>
        <w:rPr>
          <w:rFonts w:ascii="Times New Roman" w:hAnsi="Times New Roman"/>
          <w:bCs/>
          <w:sz w:val="28"/>
          <w:szCs w:val="28"/>
        </w:rPr>
        <w:t>ники мінімального розміру сукупного консолідованого доходу МГК, до якої входить платник податків, що дорівнюють або перевищують:</w:t>
      </w:r>
    </w:p>
    <w:p w:rsidR="00F448E2" w:rsidRDefault="00C72248">
      <w:pPr>
        <w:pStyle w:val="32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а) еквівалент 750 мільйонів євро – для обставин, визначених абзацом другим цього пункту;</w:t>
      </w:r>
    </w:p>
    <w:p w:rsidR="00F448E2" w:rsidRDefault="00C72248">
      <w:pPr>
        <w:pStyle w:val="32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б) еквівалент 750 мільйонів євро – для</w:t>
      </w:r>
      <w:r>
        <w:rPr>
          <w:rFonts w:ascii="Times New Roman" w:hAnsi="Times New Roman"/>
          <w:bCs/>
          <w:sz w:val="28"/>
          <w:szCs w:val="28"/>
        </w:rPr>
        <w:t xml:space="preserve"> обставин, визначених абзацами третім – шостим цього пункту, але якщо законодавством іноземної юрисдикції податкового резидентства материнської компанії МГК або уповноваженого учасника материнської компанії (у разі його призначення материнською компанією) </w:t>
      </w:r>
      <w:r>
        <w:rPr>
          <w:rFonts w:ascii="Times New Roman" w:hAnsi="Times New Roman"/>
          <w:bCs/>
          <w:sz w:val="28"/>
          <w:szCs w:val="28"/>
        </w:rPr>
        <w:t>визначено інший розмір сукупного консолідованого доходу МГК, деномінований не в євро, який згідно із законодавством такої іноземної юрисдикції застосовується для цілей подання Звіту (за наявності такого законодавства), граничним розміром для обставин подан</w:t>
      </w:r>
      <w:r>
        <w:rPr>
          <w:rFonts w:ascii="Times New Roman" w:hAnsi="Times New Roman"/>
          <w:bCs/>
          <w:sz w:val="28"/>
          <w:szCs w:val="28"/>
        </w:rPr>
        <w:t>ня Звіту, визначених абзацами третім – шостим цього пункту, вважається такий інший розмір.»;</w:t>
      </w:r>
    </w:p>
    <w:p w:rsidR="00F448E2" w:rsidRDefault="00F448E2">
      <w:pPr>
        <w:pStyle w:val="32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F448E2" w:rsidRDefault="00C72248">
      <w:pPr>
        <w:pStyle w:val="32"/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пункт 6 викласти у такій редакції:</w:t>
      </w:r>
    </w:p>
    <w:p w:rsidR="00F448E2" w:rsidRDefault="00C72248">
      <w:pPr>
        <w:pStyle w:val="32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«6. Звіт подається платниками податків – резидентами України, що належать до МГК, до контролюючого органу засобами електронного</w:t>
      </w:r>
      <w:r>
        <w:rPr>
          <w:rFonts w:ascii="Times New Roman" w:hAnsi="Times New Roman"/>
          <w:bCs/>
          <w:sz w:val="28"/>
          <w:szCs w:val="28"/>
        </w:rPr>
        <w:t xml:space="preserve"> кабінету в електронній формі із дотриманням вимог законів України «Про електронні документи та електронний документообіг», «Про електронні довірчі послуги» та Порядку обміну електронними документами з контролюючими органами, затвердженого наказом Міністер</w:t>
      </w:r>
      <w:r>
        <w:rPr>
          <w:rFonts w:ascii="Times New Roman" w:hAnsi="Times New Roman"/>
          <w:bCs/>
          <w:sz w:val="28"/>
          <w:szCs w:val="28"/>
        </w:rPr>
        <w:t>ства фінансів України від 06 червня 2017 року № 557, зареєстрованого у Міністерстві юстиції України 03 серпня 2017 року за № 959/30827 (у редакції наказу Міністерства фінансів України від 01 червня 2020 року № 261).»;</w:t>
      </w:r>
    </w:p>
    <w:p w:rsidR="00F448E2" w:rsidRDefault="00F448E2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F448E2" w:rsidRDefault="00C72248">
      <w:pPr>
        <w:numPr>
          <w:ilvl w:val="0"/>
          <w:numId w:val="8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підпункт «б» пункту 10 викласти у так</w:t>
      </w:r>
      <w:r>
        <w:rPr>
          <w:rFonts w:ascii="Times New Roman" w:hAnsi="Times New Roman"/>
          <w:bCs/>
          <w:sz w:val="28"/>
          <w:szCs w:val="28"/>
        </w:rPr>
        <w:t>ій редакції:</w:t>
      </w:r>
    </w:p>
    <w:p w:rsidR="00F448E2" w:rsidRDefault="00C72248">
      <w:pPr>
        <w:pStyle w:val="32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«б) основна частина («Окремі звіти в розрізі країн») – є набором окремих звітів щодо кожної юрисдикції (держави, території), у якій зареєстрований учасник відповідної МГК або в якій МГК здійснює свою діяльність. Кожен такий звіт складається із</w:t>
      </w:r>
      <w:r>
        <w:rPr>
          <w:rFonts w:ascii="Times New Roman" w:hAnsi="Times New Roman"/>
          <w:bCs/>
          <w:sz w:val="28"/>
          <w:szCs w:val="28"/>
        </w:rPr>
        <w:t xml:space="preserve"> таких розділів:</w:t>
      </w:r>
    </w:p>
    <w:p w:rsidR="00F448E2" w:rsidRDefault="00C72248">
      <w:pPr>
        <w:pStyle w:val="32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розділ I «Інформація про розподіл доходів, податків та ділової активності в розрізі кожної юрисдикції (держави, території)» Звіту, в якому зазначається інформація про розподіл доходів, податків та ділової активності МГК у відповідній юрисд</w:t>
      </w:r>
      <w:r>
        <w:rPr>
          <w:rFonts w:ascii="Times New Roman" w:hAnsi="Times New Roman"/>
          <w:bCs/>
          <w:sz w:val="28"/>
          <w:szCs w:val="28"/>
        </w:rPr>
        <w:t>икції (державі, території);</w:t>
      </w:r>
    </w:p>
    <w:p w:rsidR="00F448E2" w:rsidRDefault="00C72248">
      <w:pPr>
        <w:pStyle w:val="32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розділ II «Перелік учасників міжнародної групи компаній в розрізі кожної юрисдикції (держави, території)» Звіту, в якому зазначаються відомості про перелік усіх учасників МГК, до якої входить платник податків, в межах кожної </w:t>
      </w:r>
      <w:r>
        <w:rPr>
          <w:rFonts w:ascii="Times New Roman" w:hAnsi="Times New Roman"/>
          <w:bCs/>
          <w:sz w:val="28"/>
          <w:szCs w:val="28"/>
        </w:rPr>
        <w:t>юрисдикції (держави, території), в якій здійснює діяльність МГК;»;</w:t>
      </w:r>
    </w:p>
    <w:p w:rsidR="00F448E2" w:rsidRDefault="00F448E2">
      <w:pPr>
        <w:pStyle w:val="32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F448E2" w:rsidRDefault="00C72248">
      <w:pPr>
        <w:pStyle w:val="32"/>
        <w:numPr>
          <w:ilvl w:val="0"/>
          <w:numId w:val="8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у пункті 16:</w:t>
      </w:r>
    </w:p>
    <w:p w:rsidR="00F448E2" w:rsidRDefault="00C72248">
      <w:pPr>
        <w:pStyle w:val="32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 абзаці першому після слова «обсязі,» доповнити словами «або відображена недостовірна інформація (яка вплинула на правильність ідентифікації юрисдикції (держави, території), </w:t>
      </w:r>
      <w:r>
        <w:rPr>
          <w:rFonts w:ascii="Times New Roman" w:hAnsi="Times New Roman"/>
          <w:bCs/>
          <w:sz w:val="28"/>
          <w:szCs w:val="28"/>
        </w:rPr>
        <w:t>резидентом якої є один (декілька) учасників МГК, та/або на правильність ідентифікації кожного з учасників відповідної МГК, та/або на правильність ідентифікації юрисдикції (держави, території) подання Звіту),»;</w:t>
      </w:r>
    </w:p>
    <w:p w:rsidR="00F448E2" w:rsidRDefault="00C72248">
      <w:pPr>
        <w:pStyle w:val="32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абзаци четвертий – дев’ятий виключити;</w:t>
      </w:r>
    </w:p>
    <w:p w:rsidR="00F448E2" w:rsidRDefault="00C72248">
      <w:pPr>
        <w:pStyle w:val="32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доповнити новим абзацом такого змісту:</w:t>
      </w:r>
    </w:p>
    <w:p w:rsidR="00F448E2" w:rsidRDefault="00C72248">
      <w:pPr>
        <w:pStyle w:val="32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«Якщо контролюючий орган виявляє помилки у поданому Звіті або отримує повідомлення про такі помилки від компетентного органу іншої юрисдикції на підставі угоди QCAA, він повідомляє платника податків про необхідність в</w:t>
      </w:r>
      <w:r>
        <w:rPr>
          <w:rFonts w:ascii="Times New Roman" w:hAnsi="Times New Roman"/>
          <w:bCs/>
          <w:sz w:val="28"/>
          <w:szCs w:val="28"/>
        </w:rPr>
        <w:t>иправлення помилок або уточнення інформації у поданому Звіті. Платник податків зобов’язаний подати уточнений Звіт із відповідними виправленнями або надати пояснення засобами електронного зв’язку в порядку, передбаченому статтею 42 Кодексу, не пізніше 30 ка</w:t>
      </w:r>
      <w:r>
        <w:rPr>
          <w:rFonts w:ascii="Times New Roman" w:hAnsi="Times New Roman"/>
          <w:bCs/>
          <w:sz w:val="28"/>
          <w:szCs w:val="28"/>
        </w:rPr>
        <w:t>лендарних днів з дня отримання повідомлення контролюючого органу.»;</w:t>
      </w:r>
    </w:p>
    <w:p w:rsidR="00F448E2" w:rsidRDefault="00F448E2">
      <w:pPr>
        <w:pStyle w:val="32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F448E2" w:rsidRDefault="00C72248">
      <w:pPr>
        <w:pStyle w:val="32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перше речення пункту 17 викласти у такій редакції: «Звіт подається не пізніше дванадцяти місяців після останнього дня фінансового року.»;</w:t>
      </w:r>
    </w:p>
    <w:p w:rsidR="00F448E2" w:rsidRDefault="00F448E2">
      <w:pPr>
        <w:pStyle w:val="32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F448E2" w:rsidRDefault="00C72248">
      <w:pPr>
        <w:pStyle w:val="32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пункт 19 викласти у такій редакції:</w:t>
      </w:r>
    </w:p>
    <w:p w:rsidR="00F448E2" w:rsidRDefault="00C72248">
      <w:pPr>
        <w:pStyle w:val="32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«19. Подання</w:t>
      </w:r>
      <w:r>
        <w:rPr>
          <w:rFonts w:ascii="Times New Roman" w:hAnsi="Times New Roman"/>
          <w:bCs/>
          <w:sz w:val="28"/>
          <w:szCs w:val="28"/>
        </w:rPr>
        <w:t xml:space="preserve"> платниками податків Звіту вперше застосовується щодо фінансового року:</w:t>
      </w:r>
    </w:p>
    <w:p w:rsidR="00F448E2" w:rsidRDefault="00C72248">
      <w:pPr>
        <w:pStyle w:val="32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а) встановленого материнською компанією МГК, який закінчується у період з 01 січня до 31 грудня 2022 року, – платниками податків, визначеними підпунктом «а» пункту 3 розділу</w:t>
      </w:r>
      <w:r>
        <w:rPr>
          <w:rFonts w:ascii="Times New Roman" w:hAnsi="Times New Roman"/>
          <w:bCs/>
          <w:color w:val="FFFF00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І цього По</w:t>
      </w:r>
      <w:r>
        <w:rPr>
          <w:rFonts w:ascii="Times New Roman" w:hAnsi="Times New Roman"/>
          <w:bCs/>
          <w:sz w:val="28"/>
          <w:szCs w:val="28"/>
        </w:rPr>
        <w:t>рядку;</w:t>
      </w:r>
    </w:p>
    <w:p w:rsidR="00F448E2" w:rsidRDefault="00C72248">
      <w:pPr>
        <w:pStyle w:val="32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б) який розпочинається у період з 01 січня до 31 грудня року, в якому Багатостороння угода CbC набрала чинності щонайменше з однією іноземною юрисдикцією – стороною Багатосторонньої угоди CbC, яка є партнером України щодо автоматичного обміну інформ</w:t>
      </w:r>
      <w:r>
        <w:rPr>
          <w:rFonts w:ascii="Times New Roman" w:hAnsi="Times New Roman"/>
          <w:bCs/>
          <w:sz w:val="28"/>
          <w:szCs w:val="28"/>
        </w:rPr>
        <w:t>ацією, – платниками податків, визначеними підпунктами «б» – «ґ» пункту 3 розділу</w:t>
      </w:r>
      <w:r>
        <w:rPr>
          <w:rFonts w:ascii="Times New Roman" w:hAnsi="Times New Roman"/>
          <w:bCs/>
          <w:color w:val="FFFF00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І цього Порядку.».</w:t>
      </w:r>
    </w:p>
    <w:p w:rsidR="00F448E2" w:rsidRDefault="00F448E2">
      <w:pPr>
        <w:pStyle w:val="32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F448E2" w:rsidRDefault="00C72248">
      <w:pPr>
        <w:pStyle w:val="32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 У розділі ІІ:</w:t>
      </w:r>
    </w:p>
    <w:p w:rsidR="00F448E2" w:rsidRDefault="00F448E2">
      <w:pPr>
        <w:pStyle w:val="32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F448E2" w:rsidRDefault="00C72248">
      <w:pPr>
        <w:pStyle w:val="32"/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у пункті 1:</w:t>
      </w:r>
    </w:p>
    <w:p w:rsidR="00F448E2" w:rsidRDefault="00C72248">
      <w:pPr>
        <w:pStyle w:val="32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2"/>
        </w:rPr>
      </w:pPr>
      <w:r>
        <w:rPr>
          <w:rFonts w:ascii="Times New Roman" w:hAnsi="Times New Roman"/>
          <w:bCs/>
          <w:sz w:val="28"/>
          <w:szCs w:val="28"/>
        </w:rPr>
        <w:t>в абзаці першому</w:t>
      </w:r>
      <w:r>
        <w:rPr>
          <w:rFonts w:ascii="Times New Roman" w:hAnsi="Times New Roman"/>
          <w:sz w:val="28"/>
          <w:szCs w:val="22"/>
        </w:rPr>
        <w:t>:</w:t>
      </w:r>
    </w:p>
    <w:p w:rsidR="00F448E2" w:rsidRDefault="00C72248">
      <w:pPr>
        <w:pStyle w:val="32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2"/>
        </w:rPr>
      </w:pPr>
      <w:r>
        <w:rPr>
          <w:rFonts w:ascii="Times New Roman" w:hAnsi="Times New Roman"/>
          <w:bCs/>
          <w:sz w:val="28"/>
          <w:szCs w:val="28"/>
        </w:rPr>
        <w:t>цифри «2021-07-01» замінити цифрами «2022-07-01»</w:t>
      </w:r>
      <w:r>
        <w:rPr>
          <w:rFonts w:ascii="Times New Roman" w:hAnsi="Times New Roman"/>
          <w:sz w:val="28"/>
          <w:szCs w:val="22"/>
        </w:rPr>
        <w:t>;</w:t>
      </w:r>
    </w:p>
    <w:p w:rsidR="00F448E2" w:rsidRDefault="00C72248">
      <w:pPr>
        <w:pStyle w:val="32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слова та цифри «Для цілей формування уточнюючого Звіту у </w:t>
      </w:r>
      <w:r>
        <w:rPr>
          <w:rFonts w:ascii="Times New Roman" w:hAnsi="Times New Roman"/>
          <w:bCs/>
          <w:sz w:val="28"/>
          <w:szCs w:val="28"/>
        </w:rPr>
        <w:t>графі 1.3 застосовується один з таких кодів типу повідомлення:» виключити;</w:t>
      </w:r>
    </w:p>
    <w:p w:rsidR="00F448E2" w:rsidRDefault="00C72248">
      <w:pPr>
        <w:pStyle w:val="32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абзаци другий і третій виключити;</w:t>
      </w:r>
    </w:p>
    <w:p w:rsidR="00F448E2" w:rsidRDefault="00F448E2">
      <w:pPr>
        <w:pStyle w:val="32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F448E2" w:rsidRDefault="00C72248">
      <w:pPr>
        <w:pStyle w:val="32"/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у пункті 5 слова «контролюючий орган» замінити словами «найменування контролюючого органу»;</w:t>
      </w:r>
    </w:p>
    <w:p w:rsidR="00F448E2" w:rsidRDefault="00F448E2">
      <w:pPr>
        <w:pStyle w:val="32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F448E2" w:rsidRDefault="00C72248">
      <w:pPr>
        <w:pStyle w:val="32"/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у пункті 8:</w:t>
      </w:r>
    </w:p>
    <w:p w:rsidR="00F448E2" w:rsidRDefault="00C72248">
      <w:pPr>
        <w:pStyle w:val="32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цифри «2021-04-01» замінити цифрами </w:t>
      </w:r>
      <w:r>
        <w:rPr>
          <w:rFonts w:ascii="Times New Roman" w:hAnsi="Times New Roman"/>
          <w:bCs/>
          <w:sz w:val="28"/>
          <w:szCs w:val="28"/>
        </w:rPr>
        <w:t>«2022-04-01»;</w:t>
      </w:r>
    </w:p>
    <w:p w:rsidR="00F448E2" w:rsidRDefault="00C72248">
      <w:pPr>
        <w:pStyle w:val="32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слова та цифри «з 01 квітня 2021 року» замінити словами та цифрами «з 01 квітня 2022 року»;</w:t>
      </w:r>
    </w:p>
    <w:p w:rsidR="00F448E2" w:rsidRDefault="00F448E2">
      <w:pPr>
        <w:pStyle w:val="32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F448E2" w:rsidRDefault="00C72248">
      <w:pPr>
        <w:pStyle w:val="32"/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у пункті 9:</w:t>
      </w:r>
    </w:p>
    <w:p w:rsidR="00F448E2" w:rsidRDefault="00C72248">
      <w:pPr>
        <w:pStyle w:val="32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слова та цифри «з 01 квітня 2021 року по 31 березня 2022 року, у елементі має бути вказано “2022-03-31”» замінити словами та цифрами «з 0</w:t>
      </w:r>
      <w:r>
        <w:rPr>
          <w:rFonts w:ascii="Times New Roman" w:hAnsi="Times New Roman"/>
          <w:bCs/>
          <w:sz w:val="28"/>
          <w:szCs w:val="28"/>
        </w:rPr>
        <w:t>1 квітня 2022 року по 31 березня 2023 року, в елементі має бути вказано “2023-03-31”»;</w:t>
      </w:r>
    </w:p>
    <w:p w:rsidR="00F448E2" w:rsidRDefault="00F448E2">
      <w:pPr>
        <w:pStyle w:val="32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F448E2" w:rsidRDefault="00C72248">
      <w:pPr>
        <w:pStyle w:val="32"/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пункт 10 викласти у такій редакції:</w:t>
      </w:r>
    </w:p>
    <w:p w:rsidR="00F448E2" w:rsidRDefault="00C72248">
      <w:pPr>
        <w:pStyle w:val="32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«10. У графі 8 зазначається код, який відповідає статусу платника податків у поданні Звіту. Залежно від обставин, визначених підпунк</w:t>
      </w:r>
      <w:r>
        <w:rPr>
          <w:rFonts w:ascii="Times New Roman" w:hAnsi="Times New Roman"/>
          <w:bCs/>
          <w:sz w:val="28"/>
          <w:szCs w:val="28"/>
        </w:rPr>
        <w:t>том 39.4.10 пункту 39.4 статті 39 Кодексу, зазначається один із таких кодів:</w:t>
      </w:r>
    </w:p>
    <w:p w:rsidR="00F448E2" w:rsidRDefault="00C72248">
      <w:pPr>
        <w:pStyle w:val="32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платник податків є материнською компанією МГК – CBC701;</w:t>
      </w:r>
    </w:p>
    <w:p w:rsidR="00F448E2" w:rsidRDefault="00C72248">
      <w:pPr>
        <w:pStyle w:val="32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материнська компанія МГК уповноважує платника податків – резидента України на подання Звіту до контролюючого органу – CBC70</w:t>
      </w:r>
      <w:r>
        <w:rPr>
          <w:rFonts w:ascii="Times New Roman" w:hAnsi="Times New Roman"/>
          <w:bCs/>
          <w:sz w:val="28"/>
          <w:szCs w:val="28"/>
        </w:rPr>
        <w:t>2;</w:t>
      </w:r>
    </w:p>
    <w:p w:rsidR="00F448E2" w:rsidRDefault="00C72248">
      <w:pPr>
        <w:pStyle w:val="32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відповідно до вимог законодавства юрисдикції податкового резидентства материнської компанії МГК подання Звіту від такої МГК не вимагається – CBC703;</w:t>
      </w:r>
    </w:p>
    <w:p w:rsidR="00F448E2" w:rsidRDefault="00C72248">
      <w:pPr>
        <w:pStyle w:val="32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між Україною та відповідною іноземною юрисдикцією податкового резидентства материнської компанії МГК є ч</w:t>
      </w:r>
      <w:r>
        <w:rPr>
          <w:rFonts w:ascii="Times New Roman" w:hAnsi="Times New Roman"/>
          <w:bCs/>
          <w:sz w:val="28"/>
          <w:szCs w:val="28"/>
        </w:rPr>
        <w:t>инний міжнародний договір, що містить положення про обмін інформацією для податкових цілей, але не набрала чинності відповідна угода QCAA станом на дату закінчення фінансового року, за який згідно з підпунктом 39.4.11 пункту 39.4 статті 39 Кодексу має бути</w:t>
      </w:r>
      <w:r>
        <w:rPr>
          <w:rFonts w:ascii="Times New Roman" w:hAnsi="Times New Roman"/>
          <w:bCs/>
          <w:sz w:val="28"/>
          <w:szCs w:val="28"/>
        </w:rPr>
        <w:t xml:space="preserve"> поданий Звіт щодо такої МГК – CBC703;</w:t>
      </w:r>
    </w:p>
    <w:p w:rsidR="00F448E2" w:rsidRDefault="00C72248">
      <w:pPr>
        <w:pStyle w:val="32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між Україною та відповідною іноземною юрисдикцією податкового резидентства материнської компанії МГК є чинний міжнародний договір, що містить положення про обмін інформацією для податкових цілей, але наявні факти сист</w:t>
      </w:r>
      <w:r>
        <w:rPr>
          <w:rFonts w:ascii="Times New Roman" w:hAnsi="Times New Roman"/>
          <w:bCs/>
          <w:sz w:val="28"/>
          <w:szCs w:val="28"/>
        </w:rPr>
        <w:t>емного невиконання відповідної угоди QCAA – CBC703.».</w:t>
      </w:r>
    </w:p>
    <w:p w:rsidR="00F448E2" w:rsidRDefault="00F448E2">
      <w:pPr>
        <w:pStyle w:val="32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F448E2" w:rsidRDefault="00C72248">
      <w:pPr>
        <w:pStyle w:val="32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 У розділі ІІІ:</w:t>
      </w:r>
    </w:p>
    <w:p w:rsidR="00F448E2" w:rsidRDefault="00F448E2">
      <w:pPr>
        <w:pStyle w:val="32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F448E2" w:rsidRDefault="00C72248">
      <w:pPr>
        <w:pStyle w:val="32"/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пункт 1 викласти у такій редакції:</w:t>
      </w:r>
    </w:p>
    <w:p w:rsidR="00F448E2" w:rsidRDefault="00C72248">
      <w:pPr>
        <w:pStyle w:val="32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«1. Основна частина Звіту містить набір окремих звітів щодо кожної юрисдикції (держави, території), у якій зареєстрований учасник відповідної МГК а</w:t>
      </w:r>
      <w:r>
        <w:rPr>
          <w:rFonts w:ascii="Times New Roman" w:hAnsi="Times New Roman"/>
          <w:bCs/>
          <w:sz w:val="28"/>
          <w:szCs w:val="28"/>
        </w:rPr>
        <w:t>бо в якій МГК здійснює свою діяльність, із зазначенням:</w:t>
      </w:r>
    </w:p>
    <w:p w:rsidR="00F448E2" w:rsidRDefault="00C72248">
      <w:pPr>
        <w:pStyle w:val="32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основних показників діяльності МГК у відповідній юрисдикції (державі, території);</w:t>
      </w:r>
    </w:p>
    <w:p w:rsidR="00F448E2" w:rsidRDefault="00C72248">
      <w:pPr>
        <w:pStyle w:val="32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ідентифікаційних відомостей про усіх учасників МГК у відповідній юрисдикції (державі, території), податковими </w:t>
      </w:r>
      <w:r>
        <w:rPr>
          <w:rFonts w:ascii="Times New Roman" w:hAnsi="Times New Roman"/>
          <w:bCs/>
          <w:sz w:val="28"/>
          <w:szCs w:val="28"/>
        </w:rPr>
        <w:t>резидентами якої вони є або на території якої діяльність цих учасників призводить до утворення постійних представництв, а також про тип (типи) їхньої економічної діяльності.</w:t>
      </w:r>
    </w:p>
    <w:p w:rsidR="00F448E2" w:rsidRDefault="00C72248">
      <w:pPr>
        <w:pStyle w:val="32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Для кожної юрисдикції (держави, території) складається один звіт, а їхня загальна </w:t>
      </w:r>
      <w:r>
        <w:rPr>
          <w:rFonts w:ascii="Times New Roman" w:hAnsi="Times New Roman"/>
          <w:bCs/>
          <w:sz w:val="28"/>
          <w:szCs w:val="28"/>
        </w:rPr>
        <w:t>кількість у складі основної частини Звіту має відповідати загальній кількості юрисдикцій (держав, територій), в яких МГК здійснює діяльність.»;</w:t>
      </w:r>
    </w:p>
    <w:p w:rsidR="00F448E2" w:rsidRDefault="00F448E2">
      <w:pPr>
        <w:pStyle w:val="32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F448E2" w:rsidRDefault="00C72248">
      <w:pPr>
        <w:pStyle w:val="32"/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пункт 2 викласти у такій редакції:</w:t>
      </w:r>
    </w:p>
    <w:p w:rsidR="00F448E2" w:rsidRDefault="00C72248">
      <w:pPr>
        <w:pStyle w:val="32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«2. У графі 11 зазначається інформація про назву та код відповідної юрисдикц</w:t>
      </w:r>
      <w:r>
        <w:rPr>
          <w:rFonts w:ascii="Times New Roman" w:hAnsi="Times New Roman"/>
          <w:bCs/>
          <w:sz w:val="28"/>
          <w:szCs w:val="28"/>
        </w:rPr>
        <w:t>ії (держави, території) податкового резидентства або в якій МГК здійснює свою діяльність. Для цілей заповнення графи 11.2 застосовується двозначний літерний код альфа-2 відповідно до Переліку кодів країн світу.».</w:t>
      </w:r>
    </w:p>
    <w:p w:rsidR="00F448E2" w:rsidRDefault="00F448E2">
      <w:pPr>
        <w:pStyle w:val="32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F448E2" w:rsidRDefault="00C72248">
      <w:pPr>
        <w:pStyle w:val="32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4. У </w:t>
      </w:r>
      <w:r>
        <w:rPr>
          <w:rFonts w:ascii="Times New Roman" w:hAnsi="Times New Roman"/>
          <w:b/>
          <w:bCs/>
          <w:sz w:val="28"/>
          <w:szCs w:val="28"/>
        </w:rPr>
        <w:t>Розділі І «Інформація про розподіл до</w:t>
      </w:r>
      <w:r>
        <w:rPr>
          <w:rFonts w:ascii="Times New Roman" w:hAnsi="Times New Roman"/>
          <w:b/>
          <w:bCs/>
          <w:sz w:val="28"/>
          <w:szCs w:val="28"/>
        </w:rPr>
        <w:t>ходів, податків та ділової активності в розрізі відповідної держави (території)»</w:t>
      </w:r>
      <w:r>
        <w:rPr>
          <w:rFonts w:ascii="Times New Roman" w:hAnsi="Times New Roman"/>
          <w:bCs/>
          <w:sz w:val="28"/>
          <w:szCs w:val="28"/>
        </w:rPr>
        <w:t xml:space="preserve"> основної частини («Окремі звіти в розрізі країн») Звіту:</w:t>
      </w:r>
    </w:p>
    <w:p w:rsidR="00F448E2" w:rsidRDefault="00F448E2">
      <w:pPr>
        <w:pStyle w:val="32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F448E2" w:rsidRDefault="00C72248">
      <w:pPr>
        <w:pStyle w:val="32"/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у заголовку слова «відповідної держави (території)» замінити словами «кожної юрисдикції (держави, території)»;</w:t>
      </w:r>
    </w:p>
    <w:p w:rsidR="00F448E2" w:rsidRDefault="00F448E2">
      <w:pPr>
        <w:pStyle w:val="32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F448E2" w:rsidRDefault="00C72248">
      <w:pPr>
        <w:pStyle w:val="32"/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у пун</w:t>
      </w:r>
      <w:r>
        <w:rPr>
          <w:rFonts w:ascii="Times New Roman" w:hAnsi="Times New Roman"/>
          <w:bCs/>
          <w:sz w:val="28"/>
          <w:szCs w:val="28"/>
        </w:rPr>
        <w:t>кті 2 слова та цифри «у редакції постанови Правління Національного банку України від 19 квітня 2016 року № 269» замінити словами та цифрами «у редакції постанови Правління Національного банку України від 27 квітня 2020 року № 57»;</w:t>
      </w:r>
    </w:p>
    <w:p w:rsidR="00F448E2" w:rsidRDefault="00F448E2">
      <w:pPr>
        <w:pStyle w:val="32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F448E2" w:rsidRDefault="00C72248">
      <w:pPr>
        <w:pStyle w:val="32"/>
        <w:numPr>
          <w:ilvl w:val="0"/>
          <w:numId w:val="11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пункт 6 викласти у такій</w:t>
      </w:r>
      <w:r>
        <w:rPr>
          <w:rFonts w:ascii="Times New Roman" w:hAnsi="Times New Roman"/>
          <w:bCs/>
          <w:sz w:val="28"/>
          <w:szCs w:val="28"/>
        </w:rPr>
        <w:t xml:space="preserve"> редакції:</w:t>
      </w:r>
    </w:p>
    <w:p w:rsidR="00F448E2" w:rsidRDefault="00C72248">
      <w:pPr>
        <w:pStyle w:val="32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«6. У графі 14 зазначається загальна сума прибутку (збитку) до оподаткування прибутку, обчислена по всіх учасниках МГК, які є податковими резидентами у відповідній юрисдикції (державі, території), за звітний фінансовий рік. Прибуток або збиток д</w:t>
      </w:r>
      <w:r>
        <w:rPr>
          <w:rFonts w:ascii="Times New Roman" w:hAnsi="Times New Roman"/>
          <w:bCs/>
          <w:sz w:val="28"/>
          <w:szCs w:val="28"/>
        </w:rPr>
        <w:t xml:space="preserve">о оподаткування повинні включати всі надзвичайні статті доходів та витрат. Інформація зазначається у числовому форматi без десяткових знакiв та може приймати від’ємне значення (зi знаком </w:t>
      </w:r>
      <w:r>
        <w:rPr>
          <w:rFonts w:ascii="Times New Roman" w:hAnsi="Times New Roman"/>
          <w:bCs/>
          <w:sz w:val="28"/>
          <w:szCs w:val="28"/>
        </w:rPr>
        <w:br/>
        <w:t>«-»).»;</w:t>
      </w:r>
    </w:p>
    <w:p w:rsidR="00F448E2" w:rsidRDefault="00F448E2">
      <w:pPr>
        <w:pStyle w:val="32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F448E2" w:rsidRDefault="00C72248">
      <w:pPr>
        <w:pStyle w:val="32"/>
        <w:numPr>
          <w:ilvl w:val="0"/>
          <w:numId w:val="11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пункт 10 викласти у такій редакції:</w:t>
      </w:r>
    </w:p>
    <w:p w:rsidR="00F448E2" w:rsidRDefault="00C72248">
      <w:pPr>
        <w:pStyle w:val="32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«10. У графі 18 зазнача</w:t>
      </w:r>
      <w:r>
        <w:rPr>
          <w:rFonts w:ascii="Times New Roman" w:hAnsi="Times New Roman"/>
          <w:bCs/>
          <w:sz w:val="28"/>
          <w:szCs w:val="28"/>
        </w:rPr>
        <w:t xml:space="preserve">ється загальна сума нерозподіленого (накопиченого) прибутку всіх учасників МГК, які є податковими резидентами відповідної юрисдикції (держави, території), станом на дату закінчення звітного фінансового року. Щодо постійних представництв, то інформація про </w:t>
      </w:r>
      <w:r>
        <w:rPr>
          <w:rFonts w:ascii="Times New Roman" w:hAnsi="Times New Roman"/>
          <w:bCs/>
          <w:sz w:val="28"/>
          <w:szCs w:val="28"/>
        </w:rPr>
        <w:t xml:space="preserve">суму нерозподіленого (накопиченого) прибутку повідомляється у складі відомостей про того учасника МГК, до якого належить таке постійне представництво. Інформація зазначається </w:t>
      </w:r>
      <w:r>
        <w:rPr>
          <w:rFonts w:ascii="Times New Roman" w:hAnsi="Times New Roman"/>
          <w:bCs/>
          <w:sz w:val="28"/>
          <w:szCs w:val="28"/>
        </w:rPr>
        <w:lastRenderedPageBreak/>
        <w:t xml:space="preserve">у числовому форматi без десяткових знакiв та може приймати від’ємне значення (зi </w:t>
      </w:r>
      <w:r>
        <w:rPr>
          <w:rFonts w:ascii="Times New Roman" w:hAnsi="Times New Roman"/>
          <w:bCs/>
          <w:sz w:val="28"/>
          <w:szCs w:val="28"/>
        </w:rPr>
        <w:t>знаком «-»).»;</w:t>
      </w:r>
    </w:p>
    <w:p w:rsidR="00F448E2" w:rsidRDefault="00F448E2">
      <w:pPr>
        <w:pStyle w:val="32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F448E2" w:rsidRDefault="00C72248">
      <w:pPr>
        <w:pStyle w:val="32"/>
        <w:numPr>
          <w:ilvl w:val="0"/>
          <w:numId w:val="11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пункт 12 викласти у такій редакції:</w:t>
      </w:r>
    </w:p>
    <w:p w:rsidR="00F448E2" w:rsidRDefault="00C72248">
      <w:pPr>
        <w:pStyle w:val="32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«12. У графі 20 зазначається сума чистої балансової вартості матеріальних активів (інших, ніж грошові кошти або грошові еквіваленти, нематеріальні активи, фінансові активи) усіх учасників МГК, які є подат</w:t>
      </w:r>
      <w:r>
        <w:rPr>
          <w:rFonts w:ascii="Times New Roman" w:hAnsi="Times New Roman"/>
          <w:bCs/>
          <w:sz w:val="28"/>
          <w:szCs w:val="28"/>
        </w:rPr>
        <w:t>ковими резидентами відповідної юрисдикції (держави, території). Щодо постійних представництв, то інформація про балансову вартість матеріальних активів (інших, ніж грошові кошти або грошові еквіваленти, нематеріальні активи, фінансові активи) повідомляєтьс</w:t>
      </w:r>
      <w:r>
        <w:rPr>
          <w:rFonts w:ascii="Times New Roman" w:hAnsi="Times New Roman"/>
          <w:bCs/>
          <w:sz w:val="28"/>
          <w:szCs w:val="28"/>
        </w:rPr>
        <w:t>я у складі відомостей про ту юрисдикцію (державу, територію), в якій знаходиться таке постійне представництво.».</w:t>
      </w:r>
    </w:p>
    <w:p w:rsidR="00F448E2" w:rsidRDefault="00F448E2">
      <w:pPr>
        <w:pStyle w:val="32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F448E2" w:rsidRDefault="00C72248">
      <w:pPr>
        <w:pStyle w:val="32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5. У </w:t>
      </w:r>
      <w:r>
        <w:rPr>
          <w:rFonts w:ascii="Times New Roman" w:hAnsi="Times New Roman"/>
          <w:b/>
          <w:bCs/>
          <w:sz w:val="28"/>
          <w:szCs w:val="28"/>
        </w:rPr>
        <w:t>Розділі ІІ «Перелік учасників міжнародної групи компаній в розрізі відповідної держави (території)»</w:t>
      </w:r>
      <w:r>
        <w:rPr>
          <w:rFonts w:ascii="Times New Roman" w:hAnsi="Times New Roman"/>
          <w:bCs/>
          <w:sz w:val="28"/>
          <w:szCs w:val="28"/>
        </w:rPr>
        <w:t xml:space="preserve"> основної частини («Окремі звіти в розрізі країн») Звіту:</w:t>
      </w:r>
    </w:p>
    <w:p w:rsidR="00F448E2" w:rsidRDefault="00F448E2">
      <w:pPr>
        <w:pStyle w:val="32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F448E2" w:rsidRDefault="00C72248">
      <w:pPr>
        <w:pStyle w:val="32"/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у заголовку слова «відповідної держави (території)» замінити словами «кожної юрисдикції (держави, території)»;</w:t>
      </w:r>
    </w:p>
    <w:p w:rsidR="00F448E2" w:rsidRDefault="00F448E2">
      <w:pPr>
        <w:pStyle w:val="32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F448E2" w:rsidRDefault="00C72248">
      <w:pPr>
        <w:pStyle w:val="32"/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пункт 1 викласти у такій редакції:</w:t>
      </w:r>
    </w:p>
    <w:p w:rsidR="00F448E2" w:rsidRDefault="00C72248">
      <w:pPr>
        <w:pStyle w:val="32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«1. Розділ II окремого звіту, складеного для відпо</w:t>
      </w:r>
      <w:r>
        <w:rPr>
          <w:rFonts w:ascii="Times New Roman" w:hAnsi="Times New Roman"/>
          <w:bCs/>
          <w:sz w:val="28"/>
          <w:szCs w:val="28"/>
        </w:rPr>
        <w:t>відної юрисдикції (держави, території), містить дані щодо кожного учасника МГК у такій юрисдикції (державі, території), а також надає відомості про тип їхньої економічної діяльності.</w:t>
      </w:r>
    </w:p>
    <w:p w:rsidR="00F448E2" w:rsidRDefault="00C72248">
      <w:pPr>
        <w:pStyle w:val="32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У структурі окремого звіту, складеного для відповідної юрисдикції (держав</w:t>
      </w:r>
      <w:r>
        <w:rPr>
          <w:rFonts w:ascii="Times New Roman" w:hAnsi="Times New Roman"/>
          <w:bCs/>
          <w:sz w:val="28"/>
          <w:szCs w:val="28"/>
        </w:rPr>
        <w:t xml:space="preserve">и, території), цей розділ повинен повторюватися відповідно до кількості учасників МГК щодо кожного такого учасника, який є податковим резидентом або підлягає оподаткуванню як постійне представництво у відповідній юрисдикції (державі, території), включаючи </w:t>
      </w:r>
      <w:r>
        <w:rPr>
          <w:rFonts w:ascii="Times New Roman" w:hAnsi="Times New Roman"/>
          <w:bCs/>
          <w:sz w:val="28"/>
          <w:szCs w:val="28"/>
        </w:rPr>
        <w:t>платника податків, який подає Звіт, що має містити інформацію щодо найменування учасників МГК, юрисдикції (держави, території) їхнього резидентства, адреси їхньої реєстрації, реєстраційного номера, присвоєного відповідному учаснику МГК у юрисдикції (держав</w:t>
      </w:r>
      <w:r>
        <w:rPr>
          <w:rFonts w:ascii="Times New Roman" w:hAnsi="Times New Roman"/>
          <w:bCs/>
          <w:sz w:val="28"/>
          <w:szCs w:val="28"/>
        </w:rPr>
        <w:t>і, території) його реєстрації, коду (кодів) такого учасника МГК як платника податків у  юрисдикції (державі, території) його реєстрації.»;</w:t>
      </w:r>
    </w:p>
    <w:p w:rsidR="00F448E2" w:rsidRDefault="00F448E2">
      <w:pPr>
        <w:pStyle w:val="32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F448E2" w:rsidRDefault="00C72248">
      <w:pPr>
        <w:pStyle w:val="32"/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у пункті 3:</w:t>
      </w:r>
    </w:p>
    <w:p w:rsidR="00F448E2" w:rsidRDefault="00C72248">
      <w:pPr>
        <w:pStyle w:val="32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абзаці першому слова «одне із таких можливих значень» замінити словами «одне із таких значень»;</w:t>
      </w:r>
    </w:p>
    <w:p w:rsidR="00F448E2" w:rsidRDefault="00C72248">
      <w:pPr>
        <w:pStyle w:val="32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доповн</w:t>
      </w:r>
      <w:r>
        <w:rPr>
          <w:rFonts w:ascii="Times New Roman" w:hAnsi="Times New Roman"/>
          <w:bCs/>
          <w:sz w:val="28"/>
          <w:szCs w:val="28"/>
        </w:rPr>
        <w:t>ити новим абзацом такого змісту:</w:t>
      </w:r>
    </w:p>
    <w:p w:rsidR="00F448E2" w:rsidRDefault="00C72248">
      <w:pPr>
        <w:pStyle w:val="32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«Якщо статус учасника МГК не підпадає під жодне із значень, ця графа не заповнюється.»;</w:t>
      </w:r>
    </w:p>
    <w:p w:rsidR="00F448E2" w:rsidRDefault="00F448E2">
      <w:pPr>
        <w:pStyle w:val="32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F448E2" w:rsidRDefault="00C72248">
      <w:pPr>
        <w:pStyle w:val="32"/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у пункті 4:</w:t>
      </w:r>
    </w:p>
    <w:p w:rsidR="00F448E2" w:rsidRDefault="00C72248">
      <w:pPr>
        <w:pStyle w:val="32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слова «держави (території), відповідно до законодавства якої учасник міжнародної групи компаній створений або інкорпорован</w:t>
      </w:r>
      <w:r>
        <w:rPr>
          <w:rFonts w:ascii="Times New Roman" w:hAnsi="Times New Roman"/>
          <w:bCs/>
          <w:sz w:val="28"/>
          <w:szCs w:val="28"/>
        </w:rPr>
        <w:t>ий, якщо така держава (територія) відрізняється від держави (території) податкового резидентства такого учасника міжнародної групи компаній» замінити словами «юрисдикції (держави, території) реєстрації, якщо така юрисдикція (держава, територія) відрізняєть</w:t>
      </w:r>
      <w:r>
        <w:rPr>
          <w:rFonts w:ascii="Times New Roman" w:hAnsi="Times New Roman"/>
          <w:bCs/>
          <w:sz w:val="28"/>
          <w:szCs w:val="28"/>
        </w:rPr>
        <w:t>ся від юрисдикції (держави, території) податкового резидентства такого учасника МГК»;</w:t>
      </w:r>
    </w:p>
    <w:p w:rsidR="00F448E2" w:rsidRDefault="00F448E2">
      <w:pPr>
        <w:pStyle w:val="32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F448E2" w:rsidRDefault="00C72248">
      <w:pPr>
        <w:pStyle w:val="32"/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у пункті 5 після слів «ідентифікаційний номер» доповнити словами «(реєстраційний код)»;</w:t>
      </w:r>
    </w:p>
    <w:p w:rsidR="00F448E2" w:rsidRDefault="00F448E2">
      <w:pPr>
        <w:pStyle w:val="32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F448E2" w:rsidRDefault="00C72248">
      <w:pPr>
        <w:pStyle w:val="32"/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абзацах першому – третьому пункту 6 після слів «ідентифікаційні номери» у всіх</w:t>
      </w:r>
      <w:r>
        <w:rPr>
          <w:rFonts w:ascii="Times New Roman" w:hAnsi="Times New Roman"/>
          <w:bCs/>
          <w:sz w:val="28"/>
          <w:szCs w:val="28"/>
        </w:rPr>
        <w:t xml:space="preserve"> відмінках і числах доповнити словами «(реєстраційні коди)» у відповідних відмінках і числах;</w:t>
      </w:r>
    </w:p>
    <w:p w:rsidR="00F448E2" w:rsidRDefault="00F448E2">
      <w:pPr>
        <w:pStyle w:val="32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F448E2" w:rsidRDefault="00C72248">
      <w:pPr>
        <w:pStyle w:val="32"/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у пункті 7:</w:t>
      </w:r>
    </w:p>
    <w:p w:rsidR="00F448E2" w:rsidRDefault="00C72248">
      <w:pPr>
        <w:pStyle w:val="32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абзаці другому слово «або» замінити словом «та»;</w:t>
      </w:r>
    </w:p>
    <w:p w:rsidR="00F448E2" w:rsidRDefault="00C72248">
      <w:pPr>
        <w:pStyle w:val="32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абзаці шостому слова «в рамках» замінити словами «в межах»;</w:t>
      </w:r>
    </w:p>
    <w:p w:rsidR="00F448E2" w:rsidRDefault="00F448E2">
      <w:pPr>
        <w:pStyle w:val="32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F448E2" w:rsidRDefault="00C72248">
      <w:pPr>
        <w:pStyle w:val="32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доповнити пункт 11 новим абзацом </w:t>
      </w:r>
      <w:r>
        <w:rPr>
          <w:rFonts w:ascii="Times New Roman" w:hAnsi="Times New Roman"/>
          <w:bCs/>
          <w:sz w:val="28"/>
          <w:szCs w:val="28"/>
        </w:rPr>
        <w:t>такого змісту:</w:t>
      </w:r>
    </w:p>
    <w:p w:rsidR="00F448E2" w:rsidRDefault="00C72248">
      <w:pPr>
        <w:pStyle w:val="32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«Графи 26−29.2 Звіту можуть повторюватися залежно від кількості типів адрес учасників МГК.»;</w:t>
      </w:r>
    </w:p>
    <w:p w:rsidR="00F448E2" w:rsidRDefault="00F448E2">
      <w:pPr>
        <w:pStyle w:val="32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F448E2" w:rsidRDefault="00C72248">
      <w:pPr>
        <w:pStyle w:val="32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абзаці першому пункту 12 слова «(може бути вказано більше одного коду)» замінити словами «(зазначається один або декілька кодів)».</w:t>
      </w:r>
    </w:p>
    <w:p w:rsidR="00F448E2" w:rsidRDefault="00F448E2">
      <w:pPr>
        <w:pStyle w:val="32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F448E2" w:rsidRDefault="00C72248">
      <w:pPr>
        <w:pStyle w:val="32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6. У тексті ц</w:t>
      </w:r>
      <w:r>
        <w:rPr>
          <w:rFonts w:ascii="Times New Roman" w:hAnsi="Times New Roman"/>
          <w:bCs/>
          <w:sz w:val="28"/>
          <w:szCs w:val="28"/>
        </w:rPr>
        <w:t>ього Порядку:</w:t>
      </w:r>
    </w:p>
    <w:p w:rsidR="00F448E2" w:rsidRDefault="00C72248">
      <w:pPr>
        <w:pStyle w:val="32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слова «міжнародної групи» та «міжнародної групи компаній» в усіх відмінках замінити словом «МГК»;</w:t>
      </w:r>
    </w:p>
    <w:p w:rsidR="00F448E2" w:rsidRDefault="00C72248">
      <w:pPr>
        <w:pStyle w:val="32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слова «державі (території)» у всіх відмінках і числах замінити словами «юрисдикції (державі, території)» у відповідних відмінках і числах.</w:t>
      </w:r>
    </w:p>
    <w:p w:rsidR="00F448E2" w:rsidRDefault="00F448E2">
      <w:pPr>
        <w:pStyle w:val="32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F448E2" w:rsidRDefault="00F448E2">
      <w:pPr>
        <w:pStyle w:val="32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F448E2" w:rsidRDefault="00C72248">
      <w:pPr>
        <w:suppressAutoHyphens w:val="0"/>
        <w:spacing w:after="0" w:line="240" w:lineRule="auto"/>
        <w:ind w:left="113" w:hanging="113"/>
        <w:jc w:val="both"/>
        <w:rPr>
          <w:rFonts w:ascii="Times New Roman" w:hAnsi="Times New Roman"/>
          <w:b/>
          <w:sz w:val="28"/>
          <w:szCs w:val="20"/>
          <w:lang w:eastAsia="ru-RU"/>
        </w:rPr>
      </w:pPr>
      <w:r>
        <w:rPr>
          <w:rFonts w:ascii="Times New Roman" w:hAnsi="Times New Roman"/>
          <w:b/>
          <w:sz w:val="28"/>
          <w:szCs w:val="20"/>
          <w:lang w:eastAsia="ru-RU"/>
        </w:rPr>
        <w:t>Дир</w:t>
      </w:r>
      <w:r>
        <w:rPr>
          <w:rFonts w:ascii="Times New Roman" w:hAnsi="Times New Roman"/>
          <w:b/>
          <w:sz w:val="28"/>
          <w:szCs w:val="20"/>
          <w:lang w:eastAsia="ru-RU"/>
        </w:rPr>
        <w:t>ектор Департаменту</w:t>
      </w:r>
    </w:p>
    <w:p w:rsidR="00F448E2" w:rsidRDefault="00C72248">
      <w:pPr>
        <w:suppressAutoHyphens w:val="0"/>
        <w:spacing w:after="0" w:line="240" w:lineRule="auto"/>
        <w:ind w:left="113" w:hanging="113"/>
        <w:jc w:val="both"/>
        <w:rPr>
          <w:rFonts w:ascii="Times New Roman" w:hAnsi="Times New Roman"/>
          <w:b/>
          <w:sz w:val="28"/>
          <w:szCs w:val="20"/>
          <w:lang w:eastAsia="ru-RU"/>
        </w:rPr>
      </w:pPr>
      <w:r>
        <w:rPr>
          <w:rFonts w:ascii="Times New Roman" w:hAnsi="Times New Roman"/>
          <w:b/>
          <w:sz w:val="28"/>
          <w:szCs w:val="20"/>
          <w:lang w:eastAsia="ru-RU"/>
        </w:rPr>
        <w:t>міжнародного оподаткування</w:t>
      </w:r>
      <w:r>
        <w:rPr>
          <w:rFonts w:ascii="Times New Roman" w:hAnsi="Times New Roman"/>
          <w:b/>
          <w:sz w:val="28"/>
          <w:szCs w:val="20"/>
          <w:lang w:eastAsia="ru-RU"/>
        </w:rPr>
        <w:tab/>
      </w:r>
      <w:r>
        <w:rPr>
          <w:rFonts w:ascii="Times New Roman" w:hAnsi="Times New Roman"/>
          <w:b/>
          <w:sz w:val="28"/>
          <w:szCs w:val="20"/>
          <w:lang w:eastAsia="ru-RU"/>
        </w:rPr>
        <w:tab/>
      </w:r>
      <w:r>
        <w:rPr>
          <w:rFonts w:ascii="Times New Roman" w:hAnsi="Times New Roman"/>
          <w:b/>
          <w:sz w:val="28"/>
          <w:szCs w:val="20"/>
          <w:lang w:eastAsia="ru-RU"/>
        </w:rPr>
        <w:tab/>
      </w:r>
      <w:r>
        <w:rPr>
          <w:rFonts w:ascii="Times New Roman" w:hAnsi="Times New Roman"/>
          <w:b/>
          <w:sz w:val="28"/>
          <w:szCs w:val="20"/>
          <w:lang w:eastAsia="ru-RU"/>
        </w:rPr>
        <w:tab/>
        <w:t xml:space="preserve">     Людмила ПАЛАМАР</w:t>
      </w:r>
    </w:p>
    <w:sectPr w:rsidR="00F448E2">
      <w:headerReference w:type="default" r:id="rId8"/>
      <w:pgSz w:w="11906" w:h="16838"/>
      <w:pgMar w:top="1134" w:right="567" w:bottom="1134" w:left="1701" w:header="708" w:footer="7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2248" w:rsidRDefault="00C72248">
      <w:pPr>
        <w:spacing w:after="0" w:line="240" w:lineRule="auto"/>
      </w:pPr>
    </w:p>
  </w:endnote>
  <w:endnote w:type="continuationSeparator" w:id="0">
    <w:p w:rsidR="00C72248" w:rsidRDefault="00C7224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2248" w:rsidRDefault="00C72248">
      <w:pPr>
        <w:spacing w:after="0" w:line="240" w:lineRule="auto"/>
      </w:pPr>
    </w:p>
  </w:footnote>
  <w:footnote w:type="continuationSeparator" w:id="0">
    <w:p w:rsidR="00C72248" w:rsidRDefault="00C7224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48E2" w:rsidRDefault="00C72248">
    <w:pPr>
      <w:pStyle w:val="a5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 xml:space="preserve"> PAGE   \* MERGEFORMAT </w:instrText>
    </w:r>
    <w:r>
      <w:rPr>
        <w:rFonts w:ascii="Times New Roman" w:hAnsi="Times New Roman"/>
        <w:sz w:val="24"/>
        <w:szCs w:val="24"/>
      </w:rPr>
      <w:fldChar w:fldCharType="separate"/>
    </w:r>
    <w:r w:rsidR="00B73A99">
      <w:rPr>
        <w:rFonts w:ascii="Times New Roman" w:hAnsi="Times New Roman"/>
        <w:noProof/>
        <w:sz w:val="24"/>
        <w:szCs w:val="24"/>
      </w:rPr>
      <w:t>2</w:t>
    </w:r>
    <w:r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50CC3C2A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151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165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80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94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08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223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37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252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2664" w:hanging="1584"/>
      </w:pPr>
    </w:lvl>
  </w:abstractNum>
  <w:abstractNum w:abstractNumId="1" w15:restartNumberingAfterBreak="0">
    <w:nsid w:val="025E10EA"/>
    <w:multiLevelType w:val="hybridMultilevel"/>
    <w:tmpl w:val="739ED9EA"/>
    <w:lvl w:ilvl="0" w:tplc="AD7ABF94">
      <w:start w:val="1"/>
      <w:numFmt w:val="decimal"/>
      <w:lvlText w:val="%1)"/>
      <w:lvlJc w:val="left"/>
      <w:pPr>
        <w:ind w:left="927" w:hanging="360"/>
      </w:p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A272588"/>
    <w:multiLevelType w:val="hybridMultilevel"/>
    <w:tmpl w:val="943075FA"/>
    <w:lvl w:ilvl="0" w:tplc="47364FFC">
      <w:start w:val="1"/>
      <w:numFmt w:val="decimal"/>
      <w:lvlText w:val="%1."/>
      <w:lvlJc w:val="left"/>
      <w:pPr>
        <w:ind w:left="927" w:hanging="360"/>
      </w:p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59A7A92"/>
    <w:multiLevelType w:val="hybridMultilevel"/>
    <w:tmpl w:val="898EA2FC"/>
    <w:lvl w:ilvl="0" w:tplc="AD7ABF94">
      <w:start w:val="1"/>
      <w:numFmt w:val="decimal"/>
      <w:lvlText w:val="%1)"/>
      <w:lvlJc w:val="left"/>
      <w:pPr>
        <w:ind w:left="927" w:hanging="360"/>
      </w:p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4254981"/>
    <w:multiLevelType w:val="hybridMultilevel"/>
    <w:tmpl w:val="EC8C3A46"/>
    <w:lvl w:ilvl="0" w:tplc="AD7ABF94">
      <w:start w:val="1"/>
      <w:numFmt w:val="decimal"/>
      <w:lvlText w:val="%1)"/>
      <w:lvlJc w:val="left"/>
      <w:pPr>
        <w:ind w:left="927" w:hanging="360"/>
      </w:p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6BC55E5"/>
    <w:multiLevelType w:val="hybridMultilevel"/>
    <w:tmpl w:val="1F3C84B8"/>
    <w:lvl w:ilvl="0" w:tplc="02B41A44">
      <w:start w:val="1"/>
      <w:numFmt w:val="decimal"/>
      <w:lvlText w:val="%1)"/>
      <w:lvlJc w:val="left"/>
      <w:pPr>
        <w:ind w:left="927" w:hanging="360"/>
      </w:p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9F00385"/>
    <w:multiLevelType w:val="hybridMultilevel"/>
    <w:tmpl w:val="4300BF60"/>
    <w:lvl w:ilvl="0" w:tplc="5BA08142">
      <w:start w:val="1"/>
      <w:numFmt w:val="decimal"/>
      <w:lvlText w:val="%1)"/>
      <w:lvlJc w:val="left"/>
      <w:pPr>
        <w:ind w:left="927" w:hanging="360"/>
      </w:p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5D942EBF"/>
    <w:multiLevelType w:val="hybridMultilevel"/>
    <w:tmpl w:val="68E2FD64"/>
    <w:lvl w:ilvl="0" w:tplc="C04C9A3A">
      <w:start w:val="1"/>
      <w:numFmt w:val="decimal"/>
      <w:lvlText w:val="%1)"/>
      <w:lvlJc w:val="left"/>
      <w:pPr>
        <w:ind w:left="1080" w:hanging="360"/>
      </w:p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EAC338A"/>
    <w:multiLevelType w:val="hybridMultilevel"/>
    <w:tmpl w:val="93860582"/>
    <w:lvl w:ilvl="0" w:tplc="AD7ABF94">
      <w:start w:val="1"/>
      <w:numFmt w:val="decimal"/>
      <w:lvlText w:val="%1)"/>
      <w:lvlJc w:val="left"/>
      <w:pPr>
        <w:ind w:left="927" w:hanging="360"/>
      </w:p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634C1940"/>
    <w:multiLevelType w:val="hybridMultilevel"/>
    <w:tmpl w:val="97E83DEC"/>
    <w:lvl w:ilvl="0" w:tplc="AD7ABF94">
      <w:start w:val="1"/>
      <w:numFmt w:val="decimal"/>
      <w:lvlText w:val="%1)"/>
      <w:lvlJc w:val="left"/>
      <w:pPr>
        <w:ind w:left="927" w:hanging="360"/>
      </w:p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71760219"/>
    <w:multiLevelType w:val="hybridMultilevel"/>
    <w:tmpl w:val="961C56DA"/>
    <w:lvl w:ilvl="0" w:tplc="F9DE7FA6">
      <w:start w:val="1"/>
      <w:numFmt w:val="decimal"/>
      <w:lvlText w:val="%1."/>
      <w:lvlJc w:val="left"/>
      <w:pPr>
        <w:ind w:left="927" w:hanging="360"/>
      </w:p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738205CC"/>
    <w:multiLevelType w:val="hybridMultilevel"/>
    <w:tmpl w:val="F8DEE422"/>
    <w:lvl w:ilvl="0" w:tplc="E34A0CE0">
      <w:start w:val="4"/>
      <w:numFmt w:val="decimal"/>
      <w:lvlText w:val="%1."/>
      <w:lvlJc w:val="left"/>
      <w:pPr>
        <w:ind w:left="1287" w:hanging="360"/>
      </w:pPr>
      <w:rPr>
        <w:sz w:val="20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>
      <w:start w:val="1"/>
      <w:numFmt w:val="lowerRoman"/>
      <w:lvlText w:val="%3."/>
      <w:lvlJc w:val="right"/>
      <w:pPr>
        <w:ind w:left="2727" w:hanging="180"/>
      </w:pPr>
    </w:lvl>
    <w:lvl w:ilvl="3" w:tplc="0422000F">
      <w:start w:val="1"/>
      <w:numFmt w:val="decimal"/>
      <w:lvlText w:val="%4."/>
      <w:lvlJc w:val="left"/>
      <w:pPr>
        <w:ind w:left="3447" w:hanging="360"/>
      </w:pPr>
    </w:lvl>
    <w:lvl w:ilvl="4" w:tplc="04220019">
      <w:start w:val="1"/>
      <w:numFmt w:val="lowerLetter"/>
      <w:lvlText w:val="%5."/>
      <w:lvlJc w:val="left"/>
      <w:pPr>
        <w:ind w:left="4167" w:hanging="360"/>
      </w:pPr>
    </w:lvl>
    <w:lvl w:ilvl="5" w:tplc="0422001B">
      <w:start w:val="1"/>
      <w:numFmt w:val="lowerRoman"/>
      <w:lvlText w:val="%6."/>
      <w:lvlJc w:val="right"/>
      <w:pPr>
        <w:ind w:left="4887" w:hanging="180"/>
      </w:pPr>
    </w:lvl>
    <w:lvl w:ilvl="6" w:tplc="0422000F">
      <w:start w:val="1"/>
      <w:numFmt w:val="decimal"/>
      <w:lvlText w:val="%7."/>
      <w:lvlJc w:val="left"/>
      <w:pPr>
        <w:ind w:left="5607" w:hanging="360"/>
      </w:pPr>
    </w:lvl>
    <w:lvl w:ilvl="7" w:tplc="04220019">
      <w:start w:val="1"/>
      <w:numFmt w:val="lowerLetter"/>
      <w:lvlText w:val="%8."/>
      <w:lvlJc w:val="left"/>
      <w:pPr>
        <w:ind w:left="6327" w:hanging="360"/>
      </w:pPr>
    </w:lvl>
    <w:lvl w:ilvl="8" w:tplc="0422001B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77B660EF"/>
    <w:multiLevelType w:val="hybridMultilevel"/>
    <w:tmpl w:val="6D06032A"/>
    <w:lvl w:ilvl="0" w:tplc="44443E76">
      <w:start w:val="1"/>
      <w:numFmt w:val="decimal"/>
      <w:lvlText w:val="%1."/>
      <w:lvlJc w:val="left"/>
      <w:pPr>
        <w:ind w:left="1080" w:hanging="360"/>
      </w:p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B6A6050"/>
    <w:multiLevelType w:val="multilevel"/>
    <w:tmpl w:val="4926BCE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"/>
      <w:lvlJc w:val="left"/>
      <w:pPr>
        <w:ind w:left="1215" w:hanging="495"/>
      </w:p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1080"/>
      </w:pPr>
    </w:lvl>
    <w:lvl w:ilvl="4">
      <w:start w:val="1"/>
      <w:numFmt w:val="decimal"/>
      <w:isLgl/>
      <w:lvlText w:val="%1.%2.%3.%4.%5"/>
      <w:lvlJc w:val="left"/>
      <w:pPr>
        <w:ind w:left="1800" w:hanging="1080"/>
      </w:pPr>
    </w:lvl>
    <w:lvl w:ilvl="5">
      <w:start w:val="1"/>
      <w:numFmt w:val="decimal"/>
      <w:isLgl/>
      <w:lvlText w:val="%1.%2.%3.%4.%5.%6"/>
      <w:lvlJc w:val="left"/>
      <w:pPr>
        <w:ind w:left="2160" w:hanging="1440"/>
      </w:pPr>
    </w:lvl>
    <w:lvl w:ilvl="6">
      <w:start w:val="1"/>
      <w:numFmt w:val="decimal"/>
      <w:isLgl/>
      <w:lvlText w:val="%1.%2.%3.%4.%5.%6.%7"/>
      <w:lvlJc w:val="left"/>
      <w:pPr>
        <w:ind w:left="2160" w:hanging="1440"/>
      </w:p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</w:lvl>
  </w:abstractNum>
  <w:num w:numId="1">
    <w:abstractNumId w:val="0"/>
  </w:num>
  <w:num w:numId="2">
    <w:abstractNumId w:val="13"/>
  </w:num>
  <w:num w:numId="3">
    <w:abstractNumId w:val="7"/>
  </w:num>
  <w:num w:numId="4">
    <w:abstractNumId w:val="12"/>
  </w:num>
  <w:num w:numId="5">
    <w:abstractNumId w:val="2"/>
  </w:num>
  <w:num w:numId="6">
    <w:abstractNumId w:val="11"/>
  </w:num>
  <w:num w:numId="7">
    <w:abstractNumId w:val="10"/>
  </w:num>
  <w:num w:numId="8">
    <w:abstractNumId w:val="6"/>
  </w:num>
  <w:num w:numId="9">
    <w:abstractNumId w:val="5"/>
  </w:num>
  <w:num w:numId="10">
    <w:abstractNumId w:val="1"/>
  </w:num>
  <w:num w:numId="11">
    <w:abstractNumId w:val="4"/>
  </w:num>
  <w:num w:numId="12">
    <w:abstractNumId w:val="3"/>
  </w:num>
  <w:num w:numId="13">
    <w:abstractNumId w:val="9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8E2"/>
    <w:rsid w:val="00B73A99"/>
    <w:rsid w:val="00C72248"/>
    <w:rsid w:val="00F44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3F344"/>
  <w15:docId w15:val="{18449203-1457-4BCA-BF2C-1B14BC17B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200" w:line="276" w:lineRule="auto"/>
    </w:pPr>
    <w:rPr>
      <w:sz w:val="22"/>
      <w:lang w:eastAsia="ar-SA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2">
    <w:name w:val="Основной текст с отступом 32"/>
    <w:basedOn w:val="a"/>
    <w:pPr>
      <w:suppressAutoHyphens w:val="0"/>
      <w:spacing w:after="120"/>
      <w:ind w:left="283"/>
    </w:pPr>
    <w:rPr>
      <w:sz w:val="16"/>
      <w:szCs w:val="16"/>
    </w:rPr>
  </w:style>
  <w:style w:type="paragraph" w:styleId="a3">
    <w:name w:val="Body Text"/>
    <w:basedOn w:val="a"/>
    <w:link w:val="a4"/>
    <w:pPr>
      <w:spacing w:after="120"/>
    </w:pPr>
  </w:style>
  <w:style w:type="paragraph" w:styleId="a5">
    <w:name w:val="header"/>
    <w:basedOn w:val="a"/>
    <w:link w:val="a6"/>
    <w:pPr>
      <w:tabs>
        <w:tab w:val="center" w:pos="4819"/>
        <w:tab w:val="right" w:pos="9639"/>
      </w:tabs>
    </w:pPr>
  </w:style>
  <w:style w:type="paragraph" w:styleId="a7">
    <w:name w:val="footer"/>
    <w:basedOn w:val="a"/>
    <w:link w:val="a8"/>
    <w:pPr>
      <w:tabs>
        <w:tab w:val="center" w:pos="4819"/>
        <w:tab w:val="right" w:pos="9639"/>
      </w:tabs>
    </w:pPr>
  </w:style>
  <w:style w:type="paragraph" w:styleId="a9">
    <w:name w:val="Normal (Web)"/>
    <w:basedOn w:val="a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styleId="aa">
    <w:name w:val="Balloon Text"/>
    <w:basedOn w:val="a"/>
    <w:link w:val="ab"/>
    <w:semiHidden/>
    <w:pPr>
      <w:spacing w:after="0" w:line="240" w:lineRule="auto"/>
    </w:pPr>
    <w:rPr>
      <w:rFonts w:ascii="Segoe UI" w:hAnsi="Segoe UI"/>
      <w:sz w:val="18"/>
      <w:szCs w:val="18"/>
    </w:rPr>
  </w:style>
  <w:style w:type="paragraph" w:customStyle="1" w:styleId="rvps7">
    <w:name w:val="rvps7"/>
    <w:basedOn w:val="a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styleId="ac">
    <w:name w:val="annotation text"/>
    <w:basedOn w:val="a"/>
    <w:link w:val="ad"/>
    <w:semiHidden/>
    <w:rPr>
      <w:sz w:val="20"/>
      <w:szCs w:val="20"/>
    </w:rPr>
  </w:style>
  <w:style w:type="paragraph" w:styleId="ae">
    <w:name w:val="annotation subject"/>
    <w:basedOn w:val="ac"/>
    <w:next w:val="ac"/>
    <w:link w:val="af"/>
    <w:semiHidden/>
    <w:rPr>
      <w:b/>
      <w:bCs/>
    </w:rPr>
  </w:style>
  <w:style w:type="paragraph" w:styleId="af0">
    <w:name w:val="List Paragraph"/>
    <w:basedOn w:val="a"/>
    <w:qFormat/>
    <w:pPr>
      <w:ind w:left="708"/>
    </w:pPr>
  </w:style>
  <w:style w:type="paragraph" w:styleId="af1">
    <w:name w:val="footnote text"/>
    <w:link w:val="af2"/>
    <w:semiHidden/>
    <w:rPr>
      <w:szCs w:val="20"/>
    </w:rPr>
  </w:style>
  <w:style w:type="paragraph" w:styleId="af3">
    <w:name w:val="endnote text"/>
    <w:link w:val="af4"/>
    <w:semiHidden/>
    <w:rPr>
      <w:szCs w:val="20"/>
    </w:rPr>
  </w:style>
  <w:style w:type="character" w:styleId="af5">
    <w:name w:val="line number"/>
    <w:basedOn w:val="a0"/>
    <w:semiHidden/>
  </w:style>
  <w:style w:type="character" w:styleId="af6">
    <w:name w:val="Hyperlink"/>
    <w:semiHidden/>
    <w:rPr>
      <w:color w:val="0000FF"/>
      <w:u w:val="single"/>
    </w:rPr>
  </w:style>
  <w:style w:type="character" w:customStyle="1" w:styleId="af7">
    <w:name w:val="Шрифт абзацу за замовчуванням"/>
    <w:semiHidden/>
  </w:style>
  <w:style w:type="character" w:customStyle="1" w:styleId="10">
    <w:name w:val="Заголовок 1 Знак"/>
    <w:link w:val="1"/>
    <w:rPr>
      <w:rFonts w:ascii="Calibri" w:hAnsi="Calibri"/>
      <w:b/>
      <w:bCs/>
      <w:sz w:val="28"/>
      <w:szCs w:val="28"/>
      <w:lang w:eastAsia="ar-SA"/>
    </w:rPr>
  </w:style>
  <w:style w:type="character" w:customStyle="1" w:styleId="a4">
    <w:name w:val="Основний текст Знак"/>
    <w:link w:val="a3"/>
    <w:rPr>
      <w:sz w:val="22"/>
      <w:szCs w:val="22"/>
      <w:lang w:eastAsia="ar-SA"/>
    </w:rPr>
  </w:style>
  <w:style w:type="character" w:customStyle="1" w:styleId="a6">
    <w:name w:val="Верхній колонтитул Знак"/>
    <w:link w:val="a5"/>
    <w:rPr>
      <w:sz w:val="22"/>
      <w:szCs w:val="22"/>
      <w:lang w:eastAsia="ar-SA"/>
    </w:rPr>
  </w:style>
  <w:style w:type="character" w:customStyle="1" w:styleId="a8">
    <w:name w:val="Нижній колонтитул Знак"/>
    <w:link w:val="a7"/>
    <w:rPr>
      <w:sz w:val="22"/>
      <w:szCs w:val="22"/>
      <w:lang w:eastAsia="ar-SA"/>
    </w:rPr>
  </w:style>
  <w:style w:type="character" w:customStyle="1" w:styleId="WW-Absatz-Standardschriftart1">
    <w:name w:val="WW-Absatz-Standardschriftart1"/>
  </w:style>
  <w:style w:type="character" w:customStyle="1" w:styleId="ab">
    <w:name w:val="Текст у виносці Знак"/>
    <w:link w:val="aa"/>
    <w:semiHidden/>
    <w:rPr>
      <w:rFonts w:ascii="Segoe UI" w:hAnsi="Segoe UI"/>
      <w:sz w:val="18"/>
      <w:szCs w:val="18"/>
      <w:lang w:eastAsia="ar-SA"/>
    </w:rPr>
  </w:style>
  <w:style w:type="character" w:styleId="af8">
    <w:name w:val="annotation reference"/>
    <w:semiHidden/>
    <w:rPr>
      <w:sz w:val="16"/>
      <w:szCs w:val="16"/>
    </w:rPr>
  </w:style>
  <w:style w:type="character" w:customStyle="1" w:styleId="ad">
    <w:name w:val="Текст примітки Знак"/>
    <w:link w:val="ac"/>
    <w:semiHidden/>
    <w:rPr>
      <w:lang w:eastAsia="ar-SA"/>
    </w:rPr>
  </w:style>
  <w:style w:type="character" w:customStyle="1" w:styleId="af">
    <w:name w:val="Тема примітки Знак"/>
    <w:link w:val="ae"/>
    <w:semiHidden/>
    <w:rPr>
      <w:b/>
      <w:bCs/>
      <w:lang w:eastAsia="ar-SA"/>
    </w:rPr>
  </w:style>
  <w:style w:type="character" w:customStyle="1" w:styleId="rvts0">
    <w:name w:val="rvts0"/>
  </w:style>
  <w:style w:type="character" w:styleId="af9">
    <w:name w:val="footnote reference"/>
    <w:semiHidden/>
    <w:rPr>
      <w:vertAlign w:val="superscript"/>
    </w:rPr>
  </w:style>
  <w:style w:type="character" w:customStyle="1" w:styleId="af2">
    <w:name w:val="Текст виноски Знак"/>
    <w:link w:val="af1"/>
    <w:semiHidden/>
    <w:rPr>
      <w:sz w:val="20"/>
      <w:szCs w:val="20"/>
    </w:rPr>
  </w:style>
  <w:style w:type="character" w:styleId="afa">
    <w:name w:val="endnote reference"/>
    <w:semiHidden/>
    <w:rPr>
      <w:vertAlign w:val="superscript"/>
    </w:rPr>
  </w:style>
  <w:style w:type="character" w:customStyle="1" w:styleId="af4">
    <w:name w:val="Текст кінцевої виноски Знак"/>
    <w:link w:val="af3"/>
    <w:semiHidden/>
    <w:rPr>
      <w:sz w:val="20"/>
      <w:szCs w:val="20"/>
    </w:rPr>
  </w:style>
  <w:style w:type="table" w:styleId="1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63B524-5BA7-4E92-A0A7-6F855A9A8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9947</Words>
  <Characters>5670</Characters>
  <Application>Microsoft Office Word</Application>
  <DocSecurity>0</DocSecurity>
  <Lines>47</Lines>
  <Paragraphs>31</Paragraphs>
  <ScaleCrop>false</ScaleCrop>
  <Company>dksu</Company>
  <LinksUpToDate>false</LinksUpToDate>
  <CharactersWithSpaces>15586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2800-zaetsY</dc:creator>
  <cp:lastModifiedBy>Грабова Валентина Василівна</cp:lastModifiedBy>
  <cp:revision>323</cp:revision>
  <cp:lastPrinted>2023-06-29T06:37:00Z</cp:lastPrinted>
  <dcterms:created xsi:type="dcterms:W3CDTF">2023-09-26T06:54:00Z</dcterms:created>
  <dcterms:modified xsi:type="dcterms:W3CDTF">2024-01-11T14:26:00Z</dcterms:modified>
</cp:coreProperties>
</file>