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498"/>
      </w:tblGrid>
      <w:tr w:rsidR="00B13710" w:rsidTr="00B67181">
        <w:tc>
          <w:tcPr>
            <w:tcW w:w="9498" w:type="dxa"/>
          </w:tcPr>
          <w:p w:rsidR="00B13710" w:rsidRDefault="00B13710" w:rsidP="008E292F">
            <w:pPr>
              <w:jc w:val="right"/>
              <w:rPr>
                <w:rFonts w:ascii="Times New Roman" w:hAnsi="Times New Roman"/>
                <w:sz w:val="24"/>
              </w:rPr>
            </w:pPr>
            <w:r>
              <w:rPr>
                <w:rFonts w:ascii="Times New Roman" w:hAnsi="Times New Roman"/>
                <w:sz w:val="24"/>
              </w:rPr>
              <w:t>Додаток 2</w:t>
            </w:r>
          </w:p>
          <w:p w:rsidR="00B13710" w:rsidRDefault="00B13710" w:rsidP="00356601">
            <w:pPr>
              <w:jc w:val="right"/>
            </w:pPr>
            <w:r>
              <w:rPr>
                <w:rFonts w:ascii="Times New Roman" w:hAnsi="Times New Roman"/>
                <w:sz w:val="24"/>
              </w:rPr>
              <w:t xml:space="preserve">до </w:t>
            </w:r>
            <w:r w:rsidR="00356601">
              <w:rPr>
                <w:rFonts w:ascii="Times New Roman" w:hAnsi="Times New Roman"/>
                <w:sz w:val="24"/>
              </w:rPr>
              <w:t>Аналізу</w:t>
            </w:r>
            <w:r>
              <w:rPr>
                <w:rFonts w:ascii="Times New Roman" w:hAnsi="Times New Roman"/>
                <w:sz w:val="24"/>
              </w:rPr>
              <w:t xml:space="preserve"> регуляторного </w:t>
            </w:r>
            <w:r w:rsidR="00356601">
              <w:rPr>
                <w:rFonts w:ascii="Times New Roman" w:hAnsi="Times New Roman"/>
                <w:sz w:val="24"/>
              </w:rPr>
              <w:t>впливу</w:t>
            </w:r>
          </w:p>
        </w:tc>
      </w:tr>
    </w:tbl>
    <w:p w:rsidR="00B13710" w:rsidRDefault="00B13710" w:rsidP="00B13710">
      <w:pPr>
        <w:jc w:val="center"/>
        <w:rPr>
          <w:rFonts w:ascii="Times New Roman" w:hAnsi="Times New Roman"/>
          <w:b/>
          <w:sz w:val="32"/>
        </w:rPr>
      </w:pPr>
      <w:r>
        <w:rPr>
          <w:rFonts w:ascii="Times New Roman" w:hAnsi="Times New Roman"/>
          <w:b/>
          <w:sz w:val="32"/>
        </w:rPr>
        <w:t>ВИТРАТИ</w:t>
      </w:r>
    </w:p>
    <w:p w:rsidR="00B13710" w:rsidRPr="00F71E5E" w:rsidRDefault="00B13710" w:rsidP="00B13710">
      <w:pPr>
        <w:jc w:val="center"/>
        <w:rPr>
          <w:rFonts w:ascii="Times New Roman" w:hAnsi="Times New Roman"/>
          <w:b/>
          <w:sz w:val="32"/>
          <w:lang w:val="ru-RU"/>
        </w:rPr>
      </w:pPr>
      <w:r>
        <w:rPr>
          <w:rFonts w:ascii="Times New Roman" w:hAnsi="Times New Roman"/>
          <w:b/>
          <w:sz w:val="32"/>
        </w:rPr>
        <w:t>на одного суб'єкта господарювання великого і середнього підприємництва, які виникають внаслідок дії регуляторного акта</w:t>
      </w:r>
    </w:p>
    <w:p w:rsidR="00F71E5E" w:rsidRPr="00F71E5E" w:rsidRDefault="00F71E5E" w:rsidP="00B13710">
      <w:pPr>
        <w:jc w:val="center"/>
        <w:rPr>
          <w:rFonts w:ascii="Times New Roman" w:hAnsi="Times New Roman"/>
          <w:b/>
          <w:sz w:val="20"/>
        </w:rPr>
      </w:pPr>
      <w:r>
        <w:rPr>
          <w:rFonts w:ascii="Times New Roman" w:hAnsi="Times New Roman"/>
          <w:b/>
          <w:sz w:val="32"/>
        </w:rPr>
        <w:t>Альтернатива 2</w:t>
      </w:r>
    </w:p>
    <w:tbl>
      <w:tblPr>
        <w:tblW w:w="9601" w:type="dxa"/>
        <w:tblInd w:w="-108" w:type="dxa"/>
        <w:tblLayout w:type="fixed"/>
        <w:tblLook w:val="0000" w:firstRow="0" w:lastRow="0" w:firstColumn="0" w:lastColumn="0" w:noHBand="0" w:noVBand="0"/>
      </w:tblPr>
      <w:tblGrid>
        <w:gridCol w:w="954"/>
        <w:gridCol w:w="4678"/>
        <w:gridCol w:w="2126"/>
        <w:gridCol w:w="1843"/>
      </w:tblGrid>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Поряд</w:t>
            </w:r>
            <w:r w:rsidR="00CF5D87">
              <w:rPr>
                <w:rFonts w:ascii="Times New Roman" w:hAnsi="Times New Roman"/>
                <w:sz w:val="24"/>
              </w:rPr>
              <w:t>-</w:t>
            </w:r>
            <w:r>
              <w:rPr>
                <w:rFonts w:ascii="Times New Roman" w:hAnsi="Times New Roman"/>
                <w:sz w:val="24"/>
              </w:rPr>
              <w:t>ковий номер</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Витрати</w:t>
            </w:r>
          </w:p>
        </w:tc>
        <w:tc>
          <w:tcPr>
            <w:tcW w:w="2126"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За перший рік</w:t>
            </w:r>
          </w:p>
        </w:tc>
        <w:tc>
          <w:tcPr>
            <w:tcW w:w="1843"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За п'ять років</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1</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7D0C6E" w:rsidP="00B13710">
            <w:pPr>
              <w:jc w:val="center"/>
            </w:pPr>
            <w:r>
              <w:rPr>
                <w:rFonts w:ascii="Times New Roman" w:hAnsi="Times New Roman"/>
                <w:sz w:val="24"/>
              </w:rPr>
              <w:t>0</w:t>
            </w:r>
            <w:r w:rsidR="00B13710">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Default="007D0C6E" w:rsidP="00B13710">
            <w:pPr>
              <w:jc w:val="center"/>
            </w:pPr>
            <w:r>
              <w:rPr>
                <w:rFonts w:ascii="Times New Roman" w:hAnsi="Times New Roman"/>
                <w:sz w:val="24"/>
              </w:rPr>
              <w:t>0</w:t>
            </w:r>
            <w:r w:rsidR="00B13710">
              <w:rPr>
                <w:rFonts w:ascii="Times New Roman" w:hAnsi="Times New Roman"/>
                <w:sz w:val="24"/>
              </w:rPr>
              <w:t> </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2</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Податки та збори (зміна розміру податків/зборів, виникнення необхідності у сплаті податків/зборів),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7D0C6E" w:rsidP="00B13710">
            <w:pPr>
              <w:jc w:val="center"/>
            </w:pPr>
            <w:r>
              <w:rPr>
                <w:rFonts w:ascii="Times New Roman" w:hAnsi="Times New Roman"/>
                <w:sz w:val="24"/>
              </w:rPr>
              <w:t>0</w:t>
            </w:r>
            <w:r w:rsidR="00B13710">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Default="007D0C6E" w:rsidP="00B13710">
            <w:pPr>
              <w:jc w:val="center"/>
            </w:pPr>
            <w:r>
              <w:rPr>
                <w:rFonts w:ascii="Times New Roman" w:hAnsi="Times New Roman"/>
                <w:sz w:val="24"/>
              </w:rPr>
              <w:t>0</w:t>
            </w:r>
            <w:r w:rsidR="00B13710">
              <w:rPr>
                <w:rFonts w:ascii="Times New Roman" w:hAnsi="Times New Roman"/>
                <w:sz w:val="24"/>
              </w:rPr>
              <w:t> </w:t>
            </w:r>
          </w:p>
        </w:tc>
      </w:tr>
      <w:tr w:rsidR="00B13710" w:rsidRPr="00351ACF" w:rsidTr="00CF5D87">
        <w:trPr>
          <w:trHeight w:val="2400"/>
        </w:trPr>
        <w:tc>
          <w:tcPr>
            <w:tcW w:w="954" w:type="dxa"/>
            <w:tcBorders>
              <w:top w:val="single" w:sz="4" w:space="0" w:color="auto"/>
              <w:left w:val="single" w:sz="4" w:space="0" w:color="auto"/>
              <w:bottom w:val="single" w:sz="4" w:space="0" w:color="auto"/>
              <w:right w:val="single" w:sz="4" w:space="0" w:color="auto"/>
            </w:tcBorders>
          </w:tcPr>
          <w:p w:rsidR="00B13710" w:rsidRPr="00237364" w:rsidRDefault="00B13710" w:rsidP="00B13710">
            <w:pPr>
              <w:jc w:val="center"/>
            </w:pPr>
            <w:r w:rsidRPr="00237364">
              <w:rPr>
                <w:rFonts w:ascii="Times New Roman" w:hAnsi="Times New Roman"/>
                <w:sz w:val="24"/>
              </w:rPr>
              <w:t>3</w:t>
            </w:r>
          </w:p>
        </w:tc>
        <w:tc>
          <w:tcPr>
            <w:tcW w:w="4678" w:type="dxa"/>
            <w:tcBorders>
              <w:top w:val="single" w:sz="4" w:space="0" w:color="auto"/>
              <w:left w:val="single" w:sz="4" w:space="0" w:color="auto"/>
              <w:bottom w:val="single" w:sz="4" w:space="0" w:color="auto"/>
              <w:right w:val="single" w:sz="4" w:space="0" w:color="auto"/>
            </w:tcBorders>
          </w:tcPr>
          <w:p w:rsidR="00B13710" w:rsidRPr="00237364" w:rsidRDefault="00B13710" w:rsidP="00B13710">
            <w:pPr>
              <w:rPr>
                <w:rFonts w:ascii="Times New Roman" w:hAnsi="Times New Roman"/>
                <w:b/>
                <w:sz w:val="24"/>
              </w:rPr>
            </w:pPr>
            <w:r w:rsidRPr="00237364">
              <w:rPr>
                <w:rFonts w:ascii="Times New Roman" w:hAnsi="Times New Roman"/>
                <w:sz w:val="24"/>
              </w:rPr>
              <w:t>Витрати, пов'язані із веденням обліку, підготовкою та поданням звітності державним органам</w:t>
            </w:r>
            <w:r w:rsidR="00356601" w:rsidRPr="00237364">
              <w:rPr>
                <w:rFonts w:ascii="Times New Roman" w:hAnsi="Times New Roman"/>
                <w:b/>
                <w:sz w:val="24"/>
              </w:rPr>
              <w:t>:</w:t>
            </w:r>
          </w:p>
          <w:p w:rsidR="002C0AB2" w:rsidRPr="00237364" w:rsidRDefault="00356601" w:rsidP="002C0AB2">
            <w:pPr>
              <w:pStyle w:val="a9"/>
              <w:spacing w:before="60" w:beforeAutospacing="0" w:after="60" w:afterAutospacing="0"/>
              <w:jc w:val="both"/>
              <w:rPr>
                <w:color w:val="auto"/>
                <w:szCs w:val="24"/>
                <w:lang w:val="uk-UA"/>
              </w:rPr>
            </w:pPr>
            <w:r w:rsidRPr="00237364">
              <w:rPr>
                <w:color w:val="auto"/>
                <w:szCs w:val="24"/>
                <w:lang w:val="uk-UA"/>
              </w:rPr>
              <w:t>Ознайомлення з про</w:t>
            </w:r>
            <w:r w:rsidR="00B46E08" w:rsidRPr="00237364">
              <w:rPr>
                <w:color w:val="auto"/>
                <w:szCs w:val="24"/>
                <w:lang w:val="uk-UA"/>
              </w:rPr>
              <w:t>е</w:t>
            </w:r>
            <w:r w:rsidRPr="00237364">
              <w:rPr>
                <w:color w:val="auto"/>
                <w:szCs w:val="24"/>
                <w:lang w:val="uk-UA"/>
              </w:rPr>
              <w:t>ктом акта</w:t>
            </w:r>
          </w:p>
          <w:p w:rsidR="002C0AB2" w:rsidRPr="00237364" w:rsidRDefault="002C0AB2" w:rsidP="002C0AB2">
            <w:pPr>
              <w:pStyle w:val="a9"/>
              <w:spacing w:before="60" w:beforeAutospacing="0" w:after="60" w:afterAutospacing="0"/>
              <w:jc w:val="both"/>
              <w:rPr>
                <w:color w:val="auto"/>
                <w:szCs w:val="24"/>
                <w:lang w:val="uk-UA"/>
              </w:rPr>
            </w:pPr>
          </w:p>
          <w:p w:rsidR="00356601" w:rsidRPr="00237364" w:rsidRDefault="00356601" w:rsidP="00237364">
            <w:pPr>
              <w:pStyle w:val="a9"/>
              <w:spacing w:before="60" w:beforeAutospacing="0" w:after="60" w:afterAutospacing="0"/>
              <w:jc w:val="both"/>
            </w:pPr>
            <w:r w:rsidRPr="00237364">
              <w:rPr>
                <w:color w:val="auto"/>
                <w:szCs w:val="24"/>
                <w:lang w:val="uk-UA"/>
              </w:rPr>
              <w:t xml:space="preserve"> Формування</w:t>
            </w:r>
            <w:r w:rsidRPr="00237364">
              <w:t xml:space="preserve"> </w:t>
            </w:r>
            <w:r w:rsidRPr="00237364">
              <w:rPr>
                <w:color w:val="auto"/>
                <w:szCs w:val="24"/>
                <w:lang w:val="uk-UA"/>
              </w:rPr>
              <w:t>стандартного аудиторського файлу (SAF-T UA) *</w:t>
            </w:r>
          </w:p>
        </w:tc>
        <w:tc>
          <w:tcPr>
            <w:tcW w:w="2126" w:type="dxa"/>
            <w:tcBorders>
              <w:top w:val="single" w:sz="4" w:space="0" w:color="auto"/>
              <w:left w:val="single" w:sz="4" w:space="0" w:color="auto"/>
              <w:bottom w:val="single" w:sz="4" w:space="0" w:color="auto"/>
              <w:right w:val="single" w:sz="4" w:space="0" w:color="auto"/>
            </w:tcBorders>
          </w:tcPr>
          <w:p w:rsidR="002E1258" w:rsidRPr="00237364" w:rsidRDefault="002E1258" w:rsidP="00B13710">
            <w:pPr>
              <w:jc w:val="center"/>
              <w:rPr>
                <w:rFonts w:ascii="Times New Roman" w:hAnsi="Times New Roman"/>
                <w:sz w:val="24"/>
              </w:rPr>
            </w:pPr>
          </w:p>
          <w:p w:rsidR="005823C4" w:rsidRPr="00237364" w:rsidRDefault="005823C4" w:rsidP="00B13710">
            <w:pPr>
              <w:jc w:val="center"/>
              <w:rPr>
                <w:rFonts w:ascii="Times New Roman" w:hAnsi="Times New Roman"/>
                <w:sz w:val="24"/>
              </w:rPr>
            </w:pPr>
          </w:p>
          <w:p w:rsidR="002E1258" w:rsidRPr="00237364" w:rsidRDefault="002C0AB2" w:rsidP="00B13710">
            <w:pPr>
              <w:jc w:val="center"/>
              <w:rPr>
                <w:rFonts w:ascii="Times New Roman" w:hAnsi="Times New Roman"/>
                <w:sz w:val="24"/>
              </w:rPr>
            </w:pPr>
            <w:r w:rsidRPr="00237364">
              <w:rPr>
                <w:rFonts w:ascii="Times New Roman" w:hAnsi="Times New Roman"/>
                <w:sz w:val="24"/>
              </w:rPr>
              <w:t>0,5 год</w:t>
            </w:r>
          </w:p>
          <w:p w:rsidR="002C0AB2" w:rsidRPr="00237364" w:rsidRDefault="002C0AB2" w:rsidP="00B13710">
            <w:pPr>
              <w:jc w:val="center"/>
              <w:rPr>
                <w:rFonts w:ascii="Times New Roman" w:hAnsi="Times New Roman"/>
                <w:sz w:val="24"/>
              </w:rPr>
            </w:pPr>
          </w:p>
          <w:p w:rsidR="002C0AB2" w:rsidRPr="00237364" w:rsidRDefault="002C0AB2" w:rsidP="00B13710">
            <w:pPr>
              <w:jc w:val="center"/>
              <w:rPr>
                <w:rFonts w:ascii="Times New Roman" w:hAnsi="Times New Roman"/>
                <w:sz w:val="24"/>
              </w:rPr>
            </w:pPr>
            <w:r w:rsidRPr="00237364">
              <w:rPr>
                <w:rFonts w:ascii="Times New Roman" w:hAnsi="Times New Roman"/>
                <w:sz w:val="24"/>
              </w:rPr>
              <w:t>40 год</w:t>
            </w:r>
          </w:p>
          <w:p w:rsidR="005823C4" w:rsidRPr="00237364" w:rsidRDefault="00237364" w:rsidP="00237364">
            <w:pPr>
              <w:jc w:val="center"/>
              <w:rPr>
                <w:rFonts w:ascii="Times New Roman" w:hAnsi="Times New Roman"/>
                <w:sz w:val="24"/>
              </w:rPr>
            </w:pPr>
            <w:r w:rsidRPr="00237364">
              <w:rPr>
                <w:rFonts w:ascii="Times New Roman" w:hAnsi="Times New Roman"/>
                <w:sz w:val="24"/>
                <w:szCs w:val="24"/>
                <w:lang w:eastAsia="ru-RU"/>
              </w:rPr>
              <w:t xml:space="preserve">1462, 45 грн </w:t>
            </w:r>
          </w:p>
        </w:tc>
        <w:tc>
          <w:tcPr>
            <w:tcW w:w="1843" w:type="dxa"/>
            <w:tcBorders>
              <w:top w:val="single" w:sz="4" w:space="0" w:color="auto"/>
              <w:left w:val="single" w:sz="4" w:space="0" w:color="auto"/>
              <w:bottom w:val="single" w:sz="4" w:space="0" w:color="auto"/>
              <w:right w:val="single" w:sz="4" w:space="0" w:color="auto"/>
            </w:tcBorders>
          </w:tcPr>
          <w:p w:rsidR="002E1258" w:rsidRPr="00237364" w:rsidRDefault="002E1258" w:rsidP="00B13710">
            <w:pPr>
              <w:jc w:val="center"/>
              <w:rPr>
                <w:rFonts w:ascii="Times New Roman" w:hAnsi="Times New Roman"/>
                <w:sz w:val="24"/>
              </w:rPr>
            </w:pPr>
          </w:p>
          <w:p w:rsidR="005823C4" w:rsidRPr="00237364" w:rsidRDefault="005823C4" w:rsidP="00B13710">
            <w:pPr>
              <w:jc w:val="center"/>
              <w:rPr>
                <w:rFonts w:ascii="Times New Roman" w:hAnsi="Times New Roman"/>
                <w:sz w:val="24"/>
              </w:rPr>
            </w:pPr>
          </w:p>
          <w:p w:rsidR="002E1258" w:rsidRPr="00237364" w:rsidRDefault="00356601" w:rsidP="00B13710">
            <w:pPr>
              <w:jc w:val="center"/>
              <w:rPr>
                <w:rFonts w:ascii="Times New Roman" w:hAnsi="Times New Roman"/>
                <w:sz w:val="24"/>
              </w:rPr>
            </w:pPr>
            <w:r w:rsidRPr="00237364">
              <w:rPr>
                <w:rFonts w:ascii="Times New Roman" w:hAnsi="Times New Roman"/>
                <w:sz w:val="24"/>
              </w:rPr>
              <w:t>0</w:t>
            </w:r>
          </w:p>
          <w:p w:rsidR="00237364" w:rsidRPr="00237364" w:rsidRDefault="00237364" w:rsidP="00B13710">
            <w:pPr>
              <w:jc w:val="center"/>
              <w:rPr>
                <w:rFonts w:ascii="Times New Roman" w:hAnsi="Times New Roman"/>
                <w:sz w:val="24"/>
              </w:rPr>
            </w:pPr>
          </w:p>
          <w:p w:rsidR="00237364" w:rsidRPr="00237364" w:rsidRDefault="00237364" w:rsidP="00B13710">
            <w:pPr>
              <w:jc w:val="center"/>
              <w:rPr>
                <w:rFonts w:ascii="Times New Roman" w:hAnsi="Times New Roman"/>
                <w:sz w:val="24"/>
              </w:rPr>
            </w:pPr>
          </w:p>
          <w:p w:rsidR="00237364" w:rsidRPr="00351ACF" w:rsidRDefault="00237364" w:rsidP="00237364">
            <w:pPr>
              <w:jc w:val="center"/>
              <w:rPr>
                <w:rFonts w:ascii="Times New Roman" w:hAnsi="Times New Roman"/>
                <w:sz w:val="24"/>
              </w:rPr>
            </w:pPr>
            <w:r w:rsidRPr="00237364">
              <w:rPr>
                <w:rFonts w:ascii="Times New Roman" w:hAnsi="Times New Roman"/>
                <w:sz w:val="24"/>
              </w:rPr>
              <w:t>7 312,25</w:t>
            </w:r>
            <w:r w:rsidR="009B1CC3">
              <w:rPr>
                <w:rFonts w:ascii="Times New Roman" w:hAnsi="Times New Roman"/>
                <w:sz w:val="24"/>
              </w:rPr>
              <w:t xml:space="preserve"> грн</w:t>
            </w:r>
            <w:r>
              <w:rPr>
                <w:rFonts w:ascii="Times New Roman" w:hAnsi="Times New Roman"/>
                <w:sz w:val="24"/>
              </w:rPr>
              <w:t> </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4</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2F18A0" w:rsidP="00B13710">
            <w:pPr>
              <w:jc w:val="center"/>
            </w:pPr>
            <w:r>
              <w:rPr>
                <w:rFonts w:ascii="Times New Roman" w:hAnsi="Times New Roman"/>
                <w:sz w:val="24"/>
                <w:lang w:val="en-US"/>
              </w:rPr>
              <w:t>0</w:t>
            </w:r>
            <w:r w:rsidR="00B13710">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Pr="002F18A0" w:rsidRDefault="00B13710" w:rsidP="00B13710">
            <w:pPr>
              <w:jc w:val="center"/>
              <w:rPr>
                <w:lang w:val="en-US"/>
              </w:rPr>
            </w:pPr>
            <w:r>
              <w:rPr>
                <w:rFonts w:ascii="Times New Roman" w:hAnsi="Times New Roman"/>
                <w:sz w:val="24"/>
              </w:rPr>
              <w:t> </w:t>
            </w:r>
            <w:r w:rsidR="002F18A0">
              <w:rPr>
                <w:rFonts w:ascii="Times New Roman" w:hAnsi="Times New Roman"/>
                <w:sz w:val="24"/>
                <w:lang w:val="en-US"/>
              </w:rPr>
              <w:t>0</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p>
          <w:p w:rsidR="00B13710" w:rsidRDefault="00B13710" w:rsidP="00B13710">
            <w:pPr>
              <w:jc w:val="center"/>
            </w:pPr>
            <w:r>
              <w:rPr>
                <w:rFonts w:ascii="Times New Roman" w:hAnsi="Times New Roman"/>
                <w:sz w:val="24"/>
              </w:rPr>
              <w:t>5</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p>
          <w:p w:rsidR="00B13710" w:rsidRPr="002F18A0" w:rsidRDefault="00B13710" w:rsidP="00B13710">
            <w:pPr>
              <w:jc w:val="center"/>
              <w:rPr>
                <w:lang w:val="en-US"/>
              </w:rPr>
            </w:pPr>
            <w:r>
              <w:rPr>
                <w:rFonts w:ascii="Times New Roman" w:hAnsi="Times New Roman"/>
                <w:sz w:val="24"/>
              </w:rPr>
              <w:t> </w:t>
            </w:r>
            <w:r w:rsidR="002F18A0">
              <w:rPr>
                <w:rFonts w:ascii="Times New Roman" w:hAnsi="Times New Roman"/>
                <w:sz w:val="24"/>
                <w:lang w:val="en-US"/>
              </w:rPr>
              <w:t>0</w:t>
            </w:r>
          </w:p>
        </w:tc>
        <w:tc>
          <w:tcPr>
            <w:tcW w:w="1843"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p>
          <w:p w:rsidR="00B13710" w:rsidRPr="002F18A0" w:rsidRDefault="00B13710" w:rsidP="00B13710">
            <w:pPr>
              <w:jc w:val="center"/>
              <w:rPr>
                <w:lang w:val="en-US"/>
              </w:rPr>
            </w:pPr>
            <w:r>
              <w:rPr>
                <w:rFonts w:ascii="Times New Roman" w:hAnsi="Times New Roman"/>
                <w:sz w:val="24"/>
              </w:rPr>
              <w:t> </w:t>
            </w:r>
            <w:r w:rsidR="002F18A0">
              <w:rPr>
                <w:rFonts w:ascii="Times New Roman" w:hAnsi="Times New Roman"/>
                <w:sz w:val="24"/>
                <w:lang w:val="en-US"/>
              </w:rPr>
              <w:t>0</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lastRenderedPageBreak/>
              <w:t>6</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Витрати на оборотні активи (матеріали, канцелярські товари тощо),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 </w:t>
            </w:r>
          </w:p>
        </w:tc>
      </w:tr>
      <w:tr w:rsidR="00B13710" w:rsidTr="00CF5D87">
        <w:trPr>
          <w:trHeight w:val="1390"/>
        </w:trPr>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7</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Витрати, пов'язані із наймом додаткового персоналу,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2F18A0" w:rsidP="00B13710">
            <w:pPr>
              <w:jc w:val="center"/>
            </w:pPr>
            <w:r>
              <w:rPr>
                <w:rFonts w:ascii="Times New Roman" w:hAnsi="Times New Roman"/>
                <w:sz w:val="24"/>
                <w:lang w:val="en-US"/>
              </w:rPr>
              <w:t>0</w:t>
            </w:r>
            <w:r w:rsidR="00B13710">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Pr="002F18A0" w:rsidRDefault="00B13710" w:rsidP="00B13710">
            <w:pPr>
              <w:jc w:val="center"/>
              <w:rPr>
                <w:lang w:val="en-US"/>
              </w:rPr>
            </w:pPr>
            <w:r>
              <w:rPr>
                <w:rFonts w:ascii="Times New Roman" w:hAnsi="Times New Roman"/>
                <w:sz w:val="24"/>
              </w:rPr>
              <w:t> </w:t>
            </w:r>
            <w:r w:rsidR="002F18A0">
              <w:rPr>
                <w:rFonts w:ascii="Times New Roman" w:hAnsi="Times New Roman"/>
                <w:sz w:val="24"/>
                <w:lang w:val="en-US"/>
              </w:rPr>
              <w:t>0</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8</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Інше (уточнити), гривень</w:t>
            </w:r>
          </w:p>
        </w:tc>
        <w:tc>
          <w:tcPr>
            <w:tcW w:w="2126" w:type="dxa"/>
            <w:tcBorders>
              <w:top w:val="single" w:sz="4" w:space="0" w:color="auto"/>
              <w:left w:val="single" w:sz="4" w:space="0" w:color="auto"/>
              <w:bottom w:val="single" w:sz="4" w:space="0" w:color="auto"/>
              <w:right w:val="single" w:sz="4" w:space="0" w:color="auto"/>
            </w:tcBorders>
          </w:tcPr>
          <w:p w:rsidR="00B13710" w:rsidRPr="002F18A0" w:rsidRDefault="002F18A0" w:rsidP="00B13710">
            <w:pPr>
              <w:jc w:val="center"/>
              <w:rPr>
                <w:lang w:val="en-US"/>
              </w:rPr>
            </w:pPr>
            <w:r>
              <w:rPr>
                <w:lang w:val="en-US"/>
              </w:rPr>
              <w:t>0</w:t>
            </w:r>
          </w:p>
          <w:p w:rsidR="00B13710" w:rsidRDefault="00B13710" w:rsidP="00B13710">
            <w:pPr>
              <w:jc w:val="center"/>
            </w:pPr>
            <w:r>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Pr="002F18A0" w:rsidRDefault="002F18A0" w:rsidP="00B13710">
            <w:pPr>
              <w:jc w:val="center"/>
              <w:rPr>
                <w:lang w:val="en-US"/>
              </w:rPr>
            </w:pPr>
            <w:r>
              <w:rPr>
                <w:lang w:val="en-US"/>
              </w:rPr>
              <w:t>0</w:t>
            </w:r>
          </w:p>
          <w:p w:rsidR="00B13710" w:rsidRDefault="00B13710" w:rsidP="00B13710">
            <w:pPr>
              <w:jc w:val="center"/>
            </w:pPr>
            <w:r>
              <w:rPr>
                <w:rFonts w:ascii="Times New Roman" w:hAnsi="Times New Roman"/>
                <w:sz w:val="24"/>
              </w:rPr>
              <w:t> </w:t>
            </w:r>
          </w:p>
        </w:tc>
      </w:tr>
      <w:tr w:rsidR="002E1258" w:rsidTr="00CF5D87">
        <w:tc>
          <w:tcPr>
            <w:tcW w:w="954" w:type="dxa"/>
            <w:tcBorders>
              <w:top w:val="single" w:sz="4" w:space="0" w:color="auto"/>
              <w:left w:val="single" w:sz="4" w:space="0" w:color="auto"/>
              <w:bottom w:val="single" w:sz="4" w:space="0" w:color="auto"/>
              <w:right w:val="single" w:sz="4" w:space="0" w:color="auto"/>
            </w:tcBorders>
          </w:tcPr>
          <w:p w:rsidR="002E1258" w:rsidRDefault="002E1258" w:rsidP="00B13710">
            <w:pPr>
              <w:jc w:val="center"/>
            </w:pPr>
            <w:r>
              <w:rPr>
                <w:rFonts w:ascii="Times New Roman" w:hAnsi="Times New Roman"/>
                <w:sz w:val="24"/>
              </w:rPr>
              <w:t>9</w:t>
            </w:r>
          </w:p>
        </w:tc>
        <w:tc>
          <w:tcPr>
            <w:tcW w:w="4678" w:type="dxa"/>
            <w:tcBorders>
              <w:top w:val="single" w:sz="4" w:space="0" w:color="auto"/>
              <w:left w:val="single" w:sz="4" w:space="0" w:color="auto"/>
              <w:bottom w:val="single" w:sz="4" w:space="0" w:color="auto"/>
              <w:right w:val="single" w:sz="4" w:space="0" w:color="auto"/>
            </w:tcBorders>
          </w:tcPr>
          <w:p w:rsidR="002E1258" w:rsidRDefault="002E1258" w:rsidP="00B13710">
            <w:r>
              <w:rPr>
                <w:rFonts w:ascii="Times New Roman" w:hAnsi="Times New Roman"/>
                <w:sz w:val="24"/>
              </w:rPr>
              <w:t>РАЗОМ (сума рядків: 1 + 2 + 3 + 4 + 5 + 6 + 7 + 8), гривень</w:t>
            </w:r>
          </w:p>
        </w:tc>
        <w:tc>
          <w:tcPr>
            <w:tcW w:w="2126" w:type="dxa"/>
            <w:tcBorders>
              <w:top w:val="single" w:sz="4" w:space="0" w:color="auto"/>
              <w:left w:val="single" w:sz="4" w:space="0" w:color="auto"/>
              <w:bottom w:val="single" w:sz="4" w:space="0" w:color="auto"/>
              <w:right w:val="single" w:sz="4" w:space="0" w:color="auto"/>
            </w:tcBorders>
          </w:tcPr>
          <w:p w:rsidR="002E1258" w:rsidRDefault="002E1258" w:rsidP="00F05585">
            <w:pPr>
              <w:jc w:val="center"/>
              <w:rPr>
                <w:rFonts w:ascii="Times New Roman" w:hAnsi="Times New Roman"/>
                <w:sz w:val="24"/>
              </w:rPr>
            </w:pPr>
          </w:p>
          <w:p w:rsidR="002E1258" w:rsidRPr="00351ACF" w:rsidRDefault="002E1258" w:rsidP="00F05585">
            <w:pPr>
              <w:jc w:val="center"/>
              <w:rPr>
                <w:rFonts w:ascii="Times New Roman" w:hAnsi="Times New Roman"/>
                <w:sz w:val="24"/>
              </w:rPr>
            </w:pPr>
            <w:r w:rsidRPr="002E1258">
              <w:rPr>
                <w:rFonts w:ascii="Times New Roman" w:hAnsi="Times New Roman"/>
                <w:sz w:val="24"/>
              </w:rPr>
              <w:t>1 462,45</w:t>
            </w:r>
          </w:p>
        </w:tc>
        <w:tc>
          <w:tcPr>
            <w:tcW w:w="1843" w:type="dxa"/>
            <w:tcBorders>
              <w:top w:val="single" w:sz="4" w:space="0" w:color="auto"/>
              <w:left w:val="single" w:sz="4" w:space="0" w:color="auto"/>
              <w:bottom w:val="single" w:sz="4" w:space="0" w:color="auto"/>
              <w:right w:val="single" w:sz="4" w:space="0" w:color="auto"/>
            </w:tcBorders>
          </w:tcPr>
          <w:p w:rsidR="002E1258" w:rsidRDefault="002E1258" w:rsidP="00F05585">
            <w:pPr>
              <w:jc w:val="center"/>
              <w:rPr>
                <w:rFonts w:ascii="Times New Roman" w:hAnsi="Times New Roman"/>
                <w:sz w:val="24"/>
              </w:rPr>
            </w:pPr>
          </w:p>
          <w:p w:rsidR="002E1258" w:rsidRPr="00351ACF" w:rsidRDefault="002E1258" w:rsidP="00F05585">
            <w:pPr>
              <w:jc w:val="center"/>
              <w:rPr>
                <w:rFonts w:ascii="Times New Roman" w:hAnsi="Times New Roman"/>
                <w:sz w:val="24"/>
              </w:rPr>
            </w:pPr>
            <w:r>
              <w:rPr>
                <w:rFonts w:ascii="Times New Roman" w:hAnsi="Times New Roman"/>
                <w:sz w:val="24"/>
              </w:rPr>
              <w:t>7 312,25 </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10</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Кількість суб'єктів господарювання великого та середнього підприємництва, на яких буде поширено регулювання, одиниць</w:t>
            </w:r>
          </w:p>
        </w:tc>
        <w:tc>
          <w:tcPr>
            <w:tcW w:w="2126" w:type="dxa"/>
            <w:tcBorders>
              <w:top w:val="single" w:sz="4" w:space="0" w:color="auto"/>
              <w:left w:val="single" w:sz="4" w:space="0" w:color="auto"/>
              <w:bottom w:val="single" w:sz="4" w:space="0" w:color="auto"/>
              <w:right w:val="single" w:sz="4" w:space="0" w:color="auto"/>
            </w:tcBorders>
          </w:tcPr>
          <w:p w:rsidR="00B13710" w:rsidRPr="00CF5D87" w:rsidRDefault="00B13710" w:rsidP="00B13710">
            <w:pPr>
              <w:jc w:val="center"/>
            </w:pPr>
            <w:r>
              <w:rPr>
                <w:rFonts w:ascii="Times New Roman" w:hAnsi="Times New Roman"/>
                <w:sz w:val="24"/>
              </w:rPr>
              <w:t> </w:t>
            </w:r>
            <w:r w:rsidR="002F18A0">
              <w:rPr>
                <w:rFonts w:ascii="Times New Roman" w:hAnsi="Times New Roman"/>
                <w:sz w:val="24"/>
                <w:lang w:val="en-US"/>
              </w:rPr>
              <w:t>1371</w:t>
            </w:r>
            <w:r w:rsidR="002E1258">
              <w:rPr>
                <w:rFonts w:ascii="Times New Roman" w:hAnsi="Times New Roman"/>
                <w:sz w:val="24"/>
                <w:lang w:val="en-US"/>
              </w:rPr>
              <w:t>*</w:t>
            </w:r>
            <w:r w:rsidR="00CF5D87">
              <w:rPr>
                <w:rFonts w:ascii="Times New Roman" w:hAnsi="Times New Roman"/>
                <w:sz w:val="24"/>
              </w:rPr>
              <w:t>*</w:t>
            </w:r>
          </w:p>
        </w:tc>
        <w:tc>
          <w:tcPr>
            <w:tcW w:w="1843" w:type="dxa"/>
            <w:tcBorders>
              <w:top w:val="single" w:sz="4" w:space="0" w:color="auto"/>
              <w:left w:val="single" w:sz="4" w:space="0" w:color="auto"/>
              <w:bottom w:val="single" w:sz="4" w:space="0" w:color="auto"/>
              <w:right w:val="single" w:sz="4" w:space="0" w:color="auto"/>
            </w:tcBorders>
          </w:tcPr>
          <w:p w:rsidR="00B13710" w:rsidRDefault="00B13710" w:rsidP="00237364">
            <w:pPr>
              <w:jc w:val="center"/>
            </w:pPr>
            <w:r>
              <w:rPr>
                <w:rFonts w:ascii="Times New Roman" w:hAnsi="Times New Roman"/>
                <w:sz w:val="24"/>
              </w:rPr>
              <w:t> </w:t>
            </w:r>
            <w:r w:rsidR="00237364">
              <w:rPr>
                <w:rFonts w:ascii="Times New Roman" w:hAnsi="Times New Roman"/>
                <w:sz w:val="24"/>
              </w:rPr>
              <w:t>1371</w:t>
            </w:r>
          </w:p>
        </w:tc>
      </w:tr>
      <w:tr w:rsidR="00B13710" w:rsidTr="00CF5D87">
        <w:tc>
          <w:tcPr>
            <w:tcW w:w="954" w:type="dxa"/>
            <w:tcBorders>
              <w:top w:val="single" w:sz="4" w:space="0" w:color="auto"/>
              <w:left w:val="single" w:sz="4" w:space="0" w:color="auto"/>
              <w:bottom w:val="single" w:sz="4" w:space="0" w:color="auto"/>
              <w:right w:val="single" w:sz="4" w:space="0" w:color="auto"/>
            </w:tcBorders>
          </w:tcPr>
          <w:p w:rsidR="00B13710" w:rsidRDefault="00B13710" w:rsidP="00B13710">
            <w:pPr>
              <w:jc w:val="center"/>
            </w:pPr>
            <w:r>
              <w:rPr>
                <w:rFonts w:ascii="Times New Roman" w:hAnsi="Times New Roman"/>
                <w:sz w:val="24"/>
              </w:rPr>
              <w:t>11</w:t>
            </w:r>
          </w:p>
        </w:tc>
        <w:tc>
          <w:tcPr>
            <w:tcW w:w="4678" w:type="dxa"/>
            <w:tcBorders>
              <w:top w:val="single" w:sz="4" w:space="0" w:color="auto"/>
              <w:left w:val="single" w:sz="4" w:space="0" w:color="auto"/>
              <w:bottom w:val="single" w:sz="4" w:space="0" w:color="auto"/>
              <w:right w:val="single" w:sz="4" w:space="0" w:color="auto"/>
            </w:tcBorders>
          </w:tcPr>
          <w:p w:rsidR="00B13710" w:rsidRDefault="00B13710" w:rsidP="00B13710">
            <w:r>
              <w:rPr>
                <w:rFonts w:ascii="Times New Roman" w:hAnsi="Times New Roman"/>
                <w:sz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2126" w:type="dxa"/>
            <w:tcBorders>
              <w:top w:val="single" w:sz="4" w:space="0" w:color="auto"/>
              <w:left w:val="single" w:sz="4" w:space="0" w:color="auto"/>
              <w:bottom w:val="single" w:sz="4" w:space="0" w:color="auto"/>
              <w:right w:val="single" w:sz="4" w:space="0" w:color="auto"/>
            </w:tcBorders>
          </w:tcPr>
          <w:p w:rsidR="00B13710" w:rsidRDefault="002E1258" w:rsidP="00B13710">
            <w:pPr>
              <w:jc w:val="center"/>
            </w:pPr>
            <w:r>
              <w:rPr>
                <w:rFonts w:ascii="Times New Roman" w:hAnsi="Times New Roman"/>
                <w:sz w:val="24"/>
              </w:rPr>
              <w:t>2</w:t>
            </w:r>
            <w:r w:rsidR="009A4DDC">
              <w:rPr>
                <w:rFonts w:ascii="Times New Roman" w:hAnsi="Times New Roman"/>
                <w:sz w:val="24"/>
              </w:rPr>
              <w:t xml:space="preserve"> </w:t>
            </w:r>
            <w:r>
              <w:rPr>
                <w:rFonts w:ascii="Times New Roman" w:hAnsi="Times New Roman"/>
                <w:sz w:val="24"/>
              </w:rPr>
              <w:t>005</w:t>
            </w:r>
            <w:r w:rsidR="009A4DDC">
              <w:rPr>
                <w:rFonts w:ascii="Times New Roman" w:hAnsi="Times New Roman"/>
                <w:sz w:val="24"/>
              </w:rPr>
              <w:t xml:space="preserve"> </w:t>
            </w:r>
            <w:r>
              <w:rPr>
                <w:rFonts w:ascii="Times New Roman" w:hAnsi="Times New Roman"/>
                <w:sz w:val="24"/>
              </w:rPr>
              <w:t>018,95</w:t>
            </w:r>
            <w:r w:rsidR="00B13710">
              <w:rPr>
                <w:rFonts w:ascii="Times New Roman" w:hAnsi="Times New Roman"/>
                <w:sz w:val="24"/>
              </w:rPr>
              <w:t> </w:t>
            </w:r>
          </w:p>
        </w:tc>
        <w:tc>
          <w:tcPr>
            <w:tcW w:w="1843" w:type="dxa"/>
            <w:tcBorders>
              <w:top w:val="single" w:sz="4" w:space="0" w:color="auto"/>
              <w:left w:val="single" w:sz="4" w:space="0" w:color="auto"/>
              <w:bottom w:val="single" w:sz="4" w:space="0" w:color="auto"/>
              <w:right w:val="single" w:sz="4" w:space="0" w:color="auto"/>
            </w:tcBorders>
          </w:tcPr>
          <w:p w:rsidR="00B13710" w:rsidRDefault="009A4DDC" w:rsidP="00B13710">
            <w:pPr>
              <w:jc w:val="center"/>
            </w:pPr>
            <w:r>
              <w:rPr>
                <w:rFonts w:ascii="Times New Roman" w:hAnsi="Times New Roman"/>
                <w:sz w:val="24"/>
              </w:rPr>
              <w:t>10 025 094,75</w:t>
            </w:r>
            <w:r w:rsidR="00B13710">
              <w:rPr>
                <w:rFonts w:ascii="Times New Roman" w:hAnsi="Times New Roman"/>
                <w:sz w:val="24"/>
              </w:rPr>
              <w:t> </w:t>
            </w:r>
          </w:p>
        </w:tc>
      </w:tr>
    </w:tbl>
    <w:p w:rsidR="002B4C26" w:rsidRPr="00237364" w:rsidRDefault="00356601" w:rsidP="00B46E08">
      <w:pPr>
        <w:spacing w:after="0" w:line="240" w:lineRule="auto"/>
        <w:jc w:val="both"/>
        <w:rPr>
          <w:rFonts w:ascii="Times New Roman" w:hAnsi="Times New Roman"/>
          <w:sz w:val="24"/>
          <w:szCs w:val="24"/>
          <w:lang w:eastAsia="ru-RU"/>
        </w:rPr>
      </w:pPr>
      <w:r w:rsidRPr="00237364">
        <w:rPr>
          <w:rFonts w:ascii="Times New Roman" w:hAnsi="Times New Roman"/>
          <w:sz w:val="24"/>
          <w:szCs w:val="24"/>
          <w:lang w:eastAsia="ru-RU"/>
        </w:rPr>
        <w:t xml:space="preserve">*У вартісному еквіваленті з розрахунку мінімальної погодинної оплати праці – 36,11 грн/год. (відповідно до Закону України «Про Державний бюджет України на 2021 рік») витрати становлять: </w:t>
      </w:r>
    </w:p>
    <w:p w:rsidR="00356601" w:rsidRPr="00237364" w:rsidRDefault="00356601" w:rsidP="00277B51">
      <w:pPr>
        <w:spacing w:after="0" w:line="240" w:lineRule="auto"/>
        <w:ind w:left="567"/>
        <w:rPr>
          <w:rFonts w:ascii="Times New Roman" w:hAnsi="Times New Roman"/>
          <w:sz w:val="24"/>
          <w:szCs w:val="24"/>
          <w:lang w:eastAsia="ru-RU"/>
        </w:rPr>
      </w:pPr>
      <w:r w:rsidRPr="00237364">
        <w:rPr>
          <w:rFonts w:ascii="Times New Roman" w:hAnsi="Times New Roman"/>
          <w:sz w:val="24"/>
          <w:szCs w:val="24"/>
          <w:lang w:eastAsia="ru-RU"/>
        </w:rPr>
        <w:t>0,5 (годин)+40 (годин)</w:t>
      </w:r>
      <w:r w:rsidR="00B46E08" w:rsidRPr="00237364">
        <w:rPr>
          <w:rFonts w:ascii="Times New Roman" w:hAnsi="Times New Roman"/>
          <w:sz w:val="24"/>
          <w:szCs w:val="24"/>
          <w:lang w:eastAsia="ru-RU"/>
        </w:rPr>
        <w:t xml:space="preserve"> х </w:t>
      </w:r>
      <w:r w:rsidRPr="00237364">
        <w:rPr>
          <w:rFonts w:ascii="Times New Roman" w:hAnsi="Times New Roman"/>
          <w:sz w:val="24"/>
          <w:szCs w:val="24"/>
          <w:lang w:eastAsia="ru-RU"/>
        </w:rPr>
        <w:t>36,11 грн/год.= 1 462,45 грн (на одного суб’єкта господарювання);</w:t>
      </w:r>
    </w:p>
    <w:p w:rsidR="00356601" w:rsidRPr="00237364" w:rsidRDefault="00356601" w:rsidP="00277B51">
      <w:pPr>
        <w:spacing w:after="0" w:line="240" w:lineRule="auto"/>
        <w:ind w:left="567"/>
        <w:rPr>
          <w:rFonts w:ascii="Times New Roman" w:hAnsi="Times New Roman"/>
          <w:sz w:val="24"/>
          <w:szCs w:val="24"/>
          <w:lang w:eastAsia="ru-RU"/>
        </w:rPr>
      </w:pPr>
      <w:r w:rsidRPr="00237364">
        <w:rPr>
          <w:rFonts w:ascii="Times New Roman" w:hAnsi="Times New Roman"/>
          <w:sz w:val="24"/>
          <w:szCs w:val="24"/>
          <w:lang w:eastAsia="ru-RU"/>
        </w:rPr>
        <w:t>1 462,45 грн</w:t>
      </w:r>
      <w:r w:rsidR="00B46E08" w:rsidRPr="00237364">
        <w:rPr>
          <w:rFonts w:ascii="Times New Roman" w:hAnsi="Times New Roman"/>
          <w:sz w:val="24"/>
          <w:szCs w:val="24"/>
          <w:lang w:eastAsia="ru-RU"/>
        </w:rPr>
        <w:t xml:space="preserve"> х </w:t>
      </w:r>
      <w:r w:rsidRPr="00237364">
        <w:rPr>
          <w:rFonts w:ascii="Times New Roman" w:hAnsi="Times New Roman"/>
          <w:sz w:val="24"/>
          <w:szCs w:val="24"/>
          <w:lang w:eastAsia="ru-RU"/>
        </w:rPr>
        <w:t>1371 загальна кількість суб’єктів господарювання</w:t>
      </w:r>
      <w:r w:rsidR="00E52921">
        <w:rPr>
          <w:rFonts w:ascii="Times New Roman" w:hAnsi="Times New Roman"/>
          <w:sz w:val="24"/>
          <w:szCs w:val="24"/>
          <w:lang w:eastAsia="ru-RU"/>
        </w:rPr>
        <w:t xml:space="preserve"> </w:t>
      </w:r>
      <w:bookmarkStart w:id="0" w:name="_GoBack"/>
      <w:bookmarkEnd w:id="0"/>
      <w:r w:rsidRPr="00237364">
        <w:rPr>
          <w:rFonts w:ascii="Times New Roman" w:hAnsi="Times New Roman"/>
          <w:sz w:val="24"/>
          <w:szCs w:val="24"/>
          <w:lang w:eastAsia="ru-RU"/>
        </w:rPr>
        <w:t>=2 005 018,95 грн (на всіх суб’єктів господарювання)</w:t>
      </w:r>
      <w:r w:rsidR="00080A30">
        <w:rPr>
          <w:rFonts w:ascii="Times New Roman" w:hAnsi="Times New Roman"/>
          <w:sz w:val="24"/>
          <w:szCs w:val="24"/>
          <w:lang w:eastAsia="ru-RU"/>
        </w:rPr>
        <w:t>.</w:t>
      </w:r>
    </w:p>
    <w:p w:rsidR="00B13710" w:rsidRDefault="00B46E08" w:rsidP="00CF5D87">
      <w:pPr>
        <w:jc w:val="both"/>
      </w:pPr>
      <w:r>
        <w:rPr>
          <w:rFonts w:ascii="Times New Roman" w:hAnsi="Times New Roman"/>
          <w:sz w:val="24"/>
        </w:rPr>
        <w:t>**</w:t>
      </w:r>
      <w:r w:rsidR="002E1258" w:rsidRPr="002E1258">
        <w:rPr>
          <w:rFonts w:ascii="Times New Roman" w:hAnsi="Times New Roman"/>
          <w:sz w:val="24"/>
        </w:rPr>
        <w:t>1371</w:t>
      </w:r>
      <w:r w:rsidR="002E1258">
        <w:rPr>
          <w:rFonts w:ascii="Times New Roman" w:hAnsi="Times New Roman"/>
          <w:sz w:val="24"/>
        </w:rPr>
        <w:t xml:space="preserve">- </w:t>
      </w:r>
      <w:r w:rsidR="00087E1F" w:rsidRPr="00087E1F">
        <w:rPr>
          <w:rFonts w:ascii="Times New Roman" w:hAnsi="Times New Roman"/>
          <w:sz w:val="24"/>
        </w:rPr>
        <w:t>великих платниках податків визначених відповідно</w:t>
      </w:r>
      <w:r w:rsidR="00087E1F">
        <w:rPr>
          <w:rFonts w:ascii="Times New Roman" w:hAnsi="Times New Roman"/>
          <w:sz w:val="24"/>
        </w:rPr>
        <w:t xml:space="preserve"> до наказу ДПС від 25.09.2020 № </w:t>
      </w:r>
      <w:r w:rsidR="00087E1F" w:rsidRPr="00087E1F">
        <w:rPr>
          <w:rFonts w:ascii="Times New Roman" w:hAnsi="Times New Roman"/>
          <w:sz w:val="24"/>
        </w:rPr>
        <w:t>590 зі змінами, внесеними</w:t>
      </w:r>
      <w:r w:rsidR="00087E1F">
        <w:rPr>
          <w:rFonts w:ascii="Times New Roman" w:hAnsi="Times New Roman"/>
          <w:sz w:val="24"/>
        </w:rPr>
        <w:t xml:space="preserve"> наказом ДПС </w:t>
      </w:r>
      <w:r w:rsidR="00087E1F" w:rsidRPr="00087E1F">
        <w:rPr>
          <w:rFonts w:ascii="Times New Roman" w:hAnsi="Times New Roman"/>
          <w:sz w:val="24"/>
        </w:rPr>
        <w:t>від 22.12.2020 № 745.</w:t>
      </w:r>
    </w:p>
    <w:sectPr w:rsidR="00B13710" w:rsidSect="00B67181">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D0" w:rsidRDefault="003C26D0" w:rsidP="00B13710">
      <w:pPr>
        <w:spacing w:after="0" w:line="240" w:lineRule="auto"/>
      </w:pPr>
      <w:r>
        <w:separator/>
      </w:r>
    </w:p>
  </w:endnote>
  <w:endnote w:type="continuationSeparator" w:id="0">
    <w:p w:rsidR="003C26D0" w:rsidRDefault="003C26D0" w:rsidP="00B1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D0" w:rsidRDefault="003C26D0" w:rsidP="00B13710">
      <w:pPr>
        <w:spacing w:after="0" w:line="240" w:lineRule="auto"/>
      </w:pPr>
      <w:r>
        <w:separator/>
      </w:r>
    </w:p>
  </w:footnote>
  <w:footnote w:type="continuationSeparator" w:id="0">
    <w:p w:rsidR="003C26D0" w:rsidRDefault="003C26D0" w:rsidP="00B13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F1244"/>
    <w:multiLevelType w:val="hybridMultilevel"/>
    <w:tmpl w:val="431A918A"/>
    <w:lvl w:ilvl="0" w:tplc="92265C38">
      <w:start w:val="13"/>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2D"/>
    <w:rsid w:val="00080A30"/>
    <w:rsid w:val="00087E1F"/>
    <w:rsid w:val="00090D9A"/>
    <w:rsid w:val="000D01C7"/>
    <w:rsid w:val="00224749"/>
    <w:rsid w:val="00237364"/>
    <w:rsid w:val="00277B51"/>
    <w:rsid w:val="002B4C26"/>
    <w:rsid w:val="002C0AB2"/>
    <w:rsid w:val="002E1258"/>
    <w:rsid w:val="002F18A0"/>
    <w:rsid w:val="0030340E"/>
    <w:rsid w:val="00351ACF"/>
    <w:rsid w:val="00356601"/>
    <w:rsid w:val="003974AB"/>
    <w:rsid w:val="003C26D0"/>
    <w:rsid w:val="003D78B5"/>
    <w:rsid w:val="0044132D"/>
    <w:rsid w:val="004B47CF"/>
    <w:rsid w:val="004F0459"/>
    <w:rsid w:val="00570C4A"/>
    <w:rsid w:val="005823C4"/>
    <w:rsid w:val="00590477"/>
    <w:rsid w:val="0063783A"/>
    <w:rsid w:val="00670F0E"/>
    <w:rsid w:val="006845CE"/>
    <w:rsid w:val="0069461E"/>
    <w:rsid w:val="006B237F"/>
    <w:rsid w:val="007D0C6E"/>
    <w:rsid w:val="00875906"/>
    <w:rsid w:val="008E292F"/>
    <w:rsid w:val="00946ED0"/>
    <w:rsid w:val="009A4DDC"/>
    <w:rsid w:val="009B1CC3"/>
    <w:rsid w:val="00AD4DFA"/>
    <w:rsid w:val="00B01EA6"/>
    <w:rsid w:val="00B13710"/>
    <w:rsid w:val="00B15E7F"/>
    <w:rsid w:val="00B46E08"/>
    <w:rsid w:val="00B67181"/>
    <w:rsid w:val="00CF5D87"/>
    <w:rsid w:val="00D2536B"/>
    <w:rsid w:val="00D54447"/>
    <w:rsid w:val="00D7048C"/>
    <w:rsid w:val="00DD76DB"/>
    <w:rsid w:val="00E52921"/>
    <w:rsid w:val="00E83CB8"/>
    <w:rsid w:val="00EF6B2C"/>
    <w:rsid w:val="00F04265"/>
    <w:rsid w:val="00F5010E"/>
    <w:rsid w:val="00F71E5E"/>
    <w:rsid w:val="00FB79D4"/>
    <w:rsid w:val="00FE1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8710"/>
  <w15:docId w15:val="{9860B44F-63E9-475A-8222-1A832582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0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71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13710"/>
  </w:style>
  <w:style w:type="paragraph" w:styleId="a5">
    <w:name w:val="footer"/>
    <w:basedOn w:val="a"/>
    <w:link w:val="a6"/>
    <w:uiPriority w:val="99"/>
    <w:unhideWhenUsed/>
    <w:rsid w:val="00B1371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13710"/>
  </w:style>
  <w:style w:type="character" w:customStyle="1" w:styleId="10">
    <w:name w:val="Заголовок 1 Знак"/>
    <w:basedOn w:val="a0"/>
    <w:link w:val="1"/>
    <w:uiPriority w:val="9"/>
    <w:rsid w:val="004F0459"/>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0D01C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D01C7"/>
    <w:rPr>
      <w:rFonts w:ascii="Tahoma" w:hAnsi="Tahoma" w:cs="Tahoma"/>
      <w:sz w:val="16"/>
      <w:szCs w:val="16"/>
    </w:rPr>
  </w:style>
  <w:style w:type="paragraph" w:styleId="a9">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a"/>
    <w:rsid w:val="00356601"/>
    <w:pPr>
      <w:spacing w:before="100" w:beforeAutospacing="1" w:after="100" w:afterAutospacing="1" w:line="240" w:lineRule="auto"/>
    </w:pPr>
    <w:rPr>
      <w:rFonts w:ascii="Times New Roman" w:eastAsia="Calibri" w:hAnsi="Times New Roman" w:cs="Times New Roman"/>
      <w:color w:val="000000"/>
      <w:sz w:val="24"/>
      <w:szCs w:val="20"/>
      <w:lang w:val="x-none" w:eastAsia="ru-RU"/>
    </w:rPr>
  </w:style>
  <w:style w:type="character" w:customStyle="1" w:styleId="aa">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9"/>
    <w:locked/>
    <w:rsid w:val="00356601"/>
    <w:rPr>
      <w:rFonts w:ascii="Times New Roman" w:eastAsia="Calibri" w:hAnsi="Times New Roman" w:cs="Times New Roman"/>
      <w:color w:val="000000"/>
      <w:sz w:val="24"/>
      <w:szCs w:val="20"/>
      <w:lang w:val="x-none" w:eastAsia="ru-RU"/>
    </w:rPr>
  </w:style>
  <w:style w:type="paragraph" w:styleId="ab">
    <w:name w:val="List Paragraph"/>
    <w:basedOn w:val="a"/>
    <w:uiPriority w:val="34"/>
    <w:qFormat/>
    <w:rsid w:val="0035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20BE-62B9-424F-A739-4CE2B4B7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1482</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АНТОНЕНКО НАТАЛІЯ ІГОРІВНА</dc:creator>
  <cp:lastModifiedBy>Чаюн Алла Василівна</cp:lastModifiedBy>
  <cp:revision>2</cp:revision>
  <cp:lastPrinted>2021-08-16T14:23:00Z</cp:lastPrinted>
  <dcterms:created xsi:type="dcterms:W3CDTF">2021-08-18T06:36:00Z</dcterms:created>
  <dcterms:modified xsi:type="dcterms:W3CDTF">2021-08-18T06:36:00Z</dcterms:modified>
</cp:coreProperties>
</file>