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4"/>
        <w:gridCol w:w="1619"/>
        <w:gridCol w:w="1417"/>
        <w:gridCol w:w="3814"/>
        <w:gridCol w:w="1647"/>
        <w:gridCol w:w="2651"/>
        <w:gridCol w:w="37"/>
        <w:gridCol w:w="4430"/>
        <w:gridCol w:w="32"/>
      </w:tblGrid>
      <w:tr w:rsidR="00885D1B" w:rsidRPr="00FA4530" w:rsidTr="004B3771">
        <w:trPr>
          <w:gridAfter w:val="1"/>
          <w:wAfter w:w="32" w:type="dxa"/>
          <w:trHeight w:val="234"/>
          <w:tblHeader/>
        </w:trPr>
        <w:tc>
          <w:tcPr>
            <w:tcW w:w="5464" w:type="dxa"/>
            <w:vMerge w:val="restart"/>
            <w:vAlign w:val="center"/>
            <w:hideMark/>
          </w:tcPr>
          <w:p w:rsidR="00885D1B" w:rsidRPr="00FA4530" w:rsidRDefault="00885D1B" w:rsidP="00910F0E">
            <w:pPr>
              <w:spacing w:before="60"/>
              <w:ind w:left="321" w:hanging="321"/>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Найменування та зміст заходу</w:t>
            </w:r>
          </w:p>
        </w:tc>
        <w:tc>
          <w:tcPr>
            <w:tcW w:w="3036" w:type="dxa"/>
            <w:gridSpan w:val="2"/>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Строки виконання</w:t>
            </w:r>
          </w:p>
        </w:tc>
        <w:tc>
          <w:tcPr>
            <w:tcW w:w="3814" w:type="dxa"/>
            <w:vMerge w:val="restart"/>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Виконавці</w:t>
            </w:r>
          </w:p>
        </w:tc>
        <w:tc>
          <w:tcPr>
            <w:tcW w:w="4335" w:type="dxa"/>
            <w:gridSpan w:val="3"/>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Фінансові ресурси</w:t>
            </w:r>
          </w:p>
        </w:tc>
        <w:tc>
          <w:tcPr>
            <w:tcW w:w="4430" w:type="dxa"/>
            <w:vMerge w:val="restart"/>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Показник (індикатор) виконання</w:t>
            </w:r>
          </w:p>
        </w:tc>
      </w:tr>
      <w:tr w:rsidR="00885D1B" w:rsidRPr="00FA4530" w:rsidTr="004B3771">
        <w:trPr>
          <w:gridAfter w:val="1"/>
          <w:wAfter w:w="32" w:type="dxa"/>
          <w:trHeight w:val="125"/>
          <w:tblHeader/>
        </w:trPr>
        <w:tc>
          <w:tcPr>
            <w:tcW w:w="5464" w:type="dxa"/>
            <w:vMerge/>
            <w:vAlign w:val="center"/>
            <w:hideMark/>
          </w:tcPr>
          <w:p w:rsidR="00885D1B" w:rsidRPr="00FA4530" w:rsidRDefault="00885D1B" w:rsidP="00910F0E">
            <w:pPr>
              <w:rPr>
                <w:rFonts w:ascii="Times New Roman" w:eastAsia="Calibri" w:hAnsi="Times New Roman"/>
                <w:noProof/>
                <w:sz w:val="24"/>
                <w:szCs w:val="24"/>
                <w:lang w:eastAsia="en-US"/>
              </w:rPr>
            </w:pPr>
          </w:p>
        </w:tc>
        <w:tc>
          <w:tcPr>
            <w:tcW w:w="1619" w:type="dxa"/>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дата початку</w:t>
            </w:r>
          </w:p>
        </w:tc>
        <w:tc>
          <w:tcPr>
            <w:tcW w:w="1417" w:type="dxa"/>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дата завершення</w:t>
            </w:r>
          </w:p>
        </w:tc>
        <w:tc>
          <w:tcPr>
            <w:tcW w:w="3814" w:type="dxa"/>
            <w:vMerge/>
            <w:vAlign w:val="center"/>
            <w:hideMark/>
          </w:tcPr>
          <w:p w:rsidR="00885D1B" w:rsidRPr="00FA4530" w:rsidRDefault="00885D1B" w:rsidP="00910F0E">
            <w:pPr>
              <w:rPr>
                <w:rFonts w:ascii="Times New Roman" w:eastAsia="Calibri" w:hAnsi="Times New Roman"/>
                <w:noProof/>
                <w:sz w:val="24"/>
                <w:szCs w:val="24"/>
                <w:lang w:eastAsia="en-US"/>
              </w:rPr>
            </w:pPr>
          </w:p>
        </w:tc>
        <w:tc>
          <w:tcPr>
            <w:tcW w:w="1647" w:type="dxa"/>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джерела фінансування</w:t>
            </w:r>
          </w:p>
        </w:tc>
        <w:tc>
          <w:tcPr>
            <w:tcW w:w="2688" w:type="dxa"/>
            <w:gridSpan w:val="2"/>
            <w:vAlign w:val="center"/>
            <w:hideMark/>
          </w:tcPr>
          <w:p w:rsidR="00885D1B" w:rsidRPr="00FA4530" w:rsidRDefault="00885D1B" w:rsidP="00910F0E">
            <w:pPr>
              <w:spacing w:before="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обсяги фінансування,</w:t>
            </w:r>
          </w:p>
          <w:p w:rsidR="00885D1B" w:rsidRPr="00FA4530" w:rsidRDefault="00885D1B" w:rsidP="00910F0E">
            <w:pPr>
              <w:spacing w:after="60"/>
              <w:jc w:val="center"/>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тис. гривень</w:t>
            </w:r>
          </w:p>
        </w:tc>
        <w:tc>
          <w:tcPr>
            <w:tcW w:w="4430" w:type="dxa"/>
            <w:vMerge/>
            <w:vAlign w:val="center"/>
            <w:hideMark/>
          </w:tcPr>
          <w:p w:rsidR="00885D1B" w:rsidRPr="00FA4530" w:rsidRDefault="00885D1B" w:rsidP="00910F0E">
            <w:pPr>
              <w:rPr>
                <w:rFonts w:ascii="Times New Roman" w:eastAsia="Calibri" w:hAnsi="Times New Roman"/>
                <w:noProof/>
                <w:sz w:val="24"/>
                <w:szCs w:val="24"/>
                <w:lang w:eastAsia="en-US"/>
              </w:rPr>
            </w:pPr>
          </w:p>
        </w:tc>
      </w:tr>
      <w:tr w:rsidR="00EA2F1E" w:rsidRPr="00FA4530" w:rsidTr="00910F0E">
        <w:trPr>
          <w:trHeight w:val="375"/>
          <w:tblHeader/>
        </w:trPr>
        <w:tc>
          <w:tcPr>
            <w:tcW w:w="21111" w:type="dxa"/>
            <w:gridSpan w:val="9"/>
            <w:vAlign w:val="center"/>
          </w:tcPr>
          <w:p w:rsidR="00EA2F1E" w:rsidRPr="00FA4530" w:rsidRDefault="00EA2F1E" w:rsidP="00910F0E">
            <w:pPr>
              <w:spacing w:before="240" w:after="240"/>
              <w:jc w:val="center"/>
              <w:rPr>
                <w:rFonts w:ascii="Times New Roman" w:eastAsia="Calibri" w:hAnsi="Times New Roman"/>
                <w:sz w:val="24"/>
                <w:szCs w:val="24"/>
                <w:lang w:eastAsia="uk-UA" w:bidi="uk-UA"/>
              </w:rPr>
            </w:pPr>
            <w:r w:rsidRPr="00FA4530">
              <w:rPr>
                <w:rFonts w:ascii="Times New Roman" w:eastAsia="Calibri" w:hAnsi="Times New Roman"/>
                <w:sz w:val="24"/>
                <w:szCs w:val="24"/>
                <w:lang w:eastAsia="en-US"/>
              </w:rPr>
              <w:t xml:space="preserve">1. </w:t>
            </w:r>
            <w:r w:rsidRPr="00FA4530">
              <w:rPr>
                <w:rFonts w:ascii="Times New Roman" w:eastAsia="Calibri" w:hAnsi="Times New Roman"/>
                <w:sz w:val="24"/>
                <w:szCs w:val="24"/>
                <w:lang w:eastAsia="uk-UA" w:bidi="uk-UA"/>
              </w:rPr>
              <w:t>ПІДВИЩЕННЯ ЕФЕКТИВНОСТІ СИСТЕМИ ЗАПОБІГАННЯ І ПРОТИДІЇ КОРУПЦІЇ</w:t>
            </w:r>
          </w:p>
        </w:tc>
      </w:tr>
      <w:tr w:rsidR="00EA2F1E" w:rsidRPr="00FA4530" w:rsidTr="00910F0E">
        <w:trPr>
          <w:trHeight w:val="271"/>
          <w:tblHeader/>
        </w:trPr>
        <w:tc>
          <w:tcPr>
            <w:tcW w:w="21111" w:type="dxa"/>
            <w:gridSpan w:val="9"/>
            <w:vAlign w:val="center"/>
          </w:tcPr>
          <w:p w:rsidR="00EA2F1E" w:rsidRPr="00FA4530" w:rsidRDefault="00EA2F1E" w:rsidP="00910F0E">
            <w:pPr>
              <w:spacing w:before="60"/>
              <w:ind w:firstLine="595"/>
              <w:jc w:val="center"/>
              <w:rPr>
                <w:rFonts w:ascii="Times New Roman" w:eastAsia="Calibri" w:hAnsi="Times New Roman"/>
                <w:sz w:val="24"/>
                <w:szCs w:val="24"/>
                <w:lang w:eastAsia="en-US"/>
              </w:rPr>
            </w:pPr>
            <w:r w:rsidRPr="00FA4530">
              <w:rPr>
                <w:rFonts w:ascii="Times New Roman" w:eastAsia="Calibri" w:hAnsi="Times New Roman"/>
                <w:sz w:val="24"/>
                <w:szCs w:val="24"/>
                <w:lang w:eastAsia="uk-UA" w:bidi="uk-UA"/>
              </w:rPr>
              <w:t>1.1. Формування та реалізація державної антикорупційної політики</w:t>
            </w:r>
          </w:p>
        </w:tc>
      </w:tr>
      <w:tr w:rsidR="00EA2F1E" w:rsidRPr="00FA4530" w:rsidTr="00910F0E">
        <w:trPr>
          <w:trHeight w:val="473"/>
          <w:tblHeader/>
        </w:trPr>
        <w:tc>
          <w:tcPr>
            <w:tcW w:w="21111" w:type="dxa"/>
            <w:gridSpan w:val="9"/>
            <w:vAlign w:val="center"/>
          </w:tcPr>
          <w:p w:rsidR="00EA2F1E" w:rsidRPr="00FA4530" w:rsidRDefault="00EA2F1E" w:rsidP="00910F0E">
            <w:pPr>
              <w:spacing w:before="60"/>
              <w:jc w:val="both"/>
              <w:rPr>
                <w:rFonts w:ascii="Times New Roman" w:eastAsia="Calibri" w:hAnsi="Times New Roman"/>
                <w:sz w:val="24"/>
                <w:szCs w:val="24"/>
                <w:lang w:eastAsia="en-US"/>
              </w:rPr>
            </w:pPr>
            <w:r w:rsidRPr="00FA4530">
              <w:rPr>
                <w:rFonts w:ascii="Times New Roman" w:eastAsia="Calibri" w:hAnsi="Times New Roman"/>
                <w:sz w:val="24"/>
                <w:szCs w:val="24"/>
                <w:lang w:eastAsia="en-US"/>
              </w:rPr>
              <w:t>Проблема 1.1.1. Державна антикорупційна політика не завжди ґрунтується на повних, об’єктивних та достовірних даних; зусилля різних органів державної влади, органів місцевого самоврядування та громадськості недостатньо скоординовані</w:t>
            </w:r>
          </w:p>
        </w:tc>
      </w:tr>
      <w:tr w:rsidR="00EA2F1E" w:rsidRPr="00FA4530" w:rsidTr="00910F0E">
        <w:trPr>
          <w:trHeight w:val="353"/>
          <w:tblHeader/>
        </w:trPr>
        <w:tc>
          <w:tcPr>
            <w:tcW w:w="21111" w:type="dxa"/>
            <w:gridSpan w:val="9"/>
          </w:tcPr>
          <w:p w:rsidR="00EA2F1E" w:rsidRPr="00FA4530" w:rsidRDefault="00EA2F1E" w:rsidP="00910F0E">
            <w:pPr>
              <w:spacing w:before="60"/>
              <w:jc w:val="both"/>
              <w:rPr>
                <w:rFonts w:ascii="Times New Roman" w:eastAsia="Calibri" w:hAnsi="Times New Roman"/>
                <w:sz w:val="24"/>
                <w:szCs w:val="24"/>
                <w:lang w:eastAsia="uk-UA" w:bidi="uk-UA"/>
              </w:rPr>
            </w:pPr>
            <w:r w:rsidRPr="00FA4530">
              <w:rPr>
                <w:rFonts w:ascii="Times New Roman" w:eastAsia="Calibri" w:hAnsi="Times New Roman"/>
                <w:sz w:val="24"/>
                <w:szCs w:val="24"/>
                <w:lang w:eastAsia="en-US"/>
              </w:rPr>
              <w:t>Очікуваний стратегічний результат</w:t>
            </w:r>
            <w:r w:rsidRPr="00FA4530">
              <w:rPr>
                <w:rFonts w:ascii="Times New Roman" w:eastAsia="Calibri" w:hAnsi="Times New Roman"/>
                <w:sz w:val="24"/>
                <w:szCs w:val="24"/>
                <w:lang w:eastAsia="en-US" w:bidi="uk-UA"/>
              </w:rPr>
              <w:t xml:space="preserve"> 1.1.</w:t>
            </w:r>
            <w:r w:rsidRPr="00FA4530">
              <w:rPr>
                <w:rFonts w:ascii="Times New Roman" w:eastAsia="Calibri" w:hAnsi="Times New Roman"/>
                <w:sz w:val="24"/>
                <w:szCs w:val="24"/>
                <w:lang w:eastAsia="en-US"/>
              </w:rPr>
              <w:t>1.5. На потреби формування та реалізації антикорупційної політики виділяються достатні фінансові ресурси та інші необхідні ресурси</w:t>
            </w:r>
          </w:p>
        </w:tc>
      </w:tr>
      <w:tr w:rsidR="00EA2F1E" w:rsidRPr="00FA4530" w:rsidTr="004B3771">
        <w:trPr>
          <w:gridAfter w:val="1"/>
          <w:wAfter w:w="32" w:type="dxa"/>
          <w:trHeight w:val="473"/>
          <w:tblHeader/>
        </w:trPr>
        <w:tc>
          <w:tcPr>
            <w:tcW w:w="5464"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 xml:space="preserve">1.1.1.5.3. Затвердження в Державному бюджеті України достатніх фінансових ресурсів, необхідних для належного здійснення заходів, визначених Національному агентству, за бюджетною програмою 6331030 </w:t>
            </w:r>
            <w:r w:rsidRPr="00FA4530">
              <w:rPr>
                <w:rFonts w:ascii="Times New Roman" w:eastAsia="Calibri" w:hAnsi="Times New Roman"/>
                <w:sz w:val="24"/>
                <w:szCs w:val="24"/>
                <w:lang w:eastAsia="en-US"/>
              </w:rPr>
              <w:t>“</w:t>
            </w:r>
            <w:r w:rsidRPr="00FA4530">
              <w:rPr>
                <w:rFonts w:ascii="Times New Roman" w:eastAsia="Calibri" w:hAnsi="Times New Roman"/>
                <w:sz w:val="24"/>
                <w:szCs w:val="24"/>
                <w:lang w:eastAsia="uk-UA" w:bidi="uk-UA"/>
              </w:rPr>
              <w:t>Реалізація антикорупційних стратегій</w:t>
            </w:r>
            <w:r w:rsidRPr="00FA4530">
              <w:rPr>
                <w:rFonts w:ascii="Times New Roman" w:eastAsia="Calibri" w:hAnsi="Times New Roman"/>
                <w:sz w:val="24"/>
                <w:szCs w:val="24"/>
                <w:lang w:eastAsia="en-US"/>
              </w:rPr>
              <w:t>”</w:t>
            </w:r>
          </w:p>
        </w:tc>
        <w:tc>
          <w:tcPr>
            <w:tcW w:w="1619"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липень</w:t>
            </w:r>
            <w:r w:rsidRPr="00FA4530">
              <w:rPr>
                <w:rFonts w:ascii="Times New Roman" w:eastAsia="Calibri" w:hAnsi="Times New Roman"/>
                <w:sz w:val="24"/>
                <w:szCs w:val="24"/>
                <w:lang w:eastAsia="uk-UA" w:bidi="uk-UA"/>
              </w:rPr>
              <w:br/>
              <w:t>2023 р.</w:t>
            </w:r>
          </w:p>
        </w:tc>
        <w:tc>
          <w:tcPr>
            <w:tcW w:w="1417"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грудень</w:t>
            </w:r>
            <w:r w:rsidRPr="00FA4530">
              <w:rPr>
                <w:rFonts w:ascii="Times New Roman" w:eastAsia="Calibri" w:hAnsi="Times New Roman"/>
                <w:sz w:val="24"/>
                <w:szCs w:val="24"/>
                <w:lang w:eastAsia="uk-UA" w:bidi="uk-UA"/>
              </w:rPr>
              <w:br/>
              <w:t>2025 р.</w:t>
            </w:r>
          </w:p>
        </w:tc>
        <w:tc>
          <w:tcPr>
            <w:tcW w:w="3814"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Мінфін</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Національне агентство</w:t>
            </w:r>
          </w:p>
          <w:p w:rsidR="00EA2F1E" w:rsidRPr="00FA4530" w:rsidRDefault="00EA2F1E" w:rsidP="00910F0E">
            <w:pPr>
              <w:spacing w:before="60"/>
              <w:rPr>
                <w:rFonts w:ascii="Times New Roman" w:eastAsia="Calibri" w:hAnsi="Times New Roman"/>
                <w:sz w:val="24"/>
                <w:szCs w:val="24"/>
                <w:lang w:eastAsia="en-US" w:bidi="uk-UA"/>
              </w:rPr>
            </w:pPr>
          </w:p>
        </w:tc>
        <w:tc>
          <w:tcPr>
            <w:tcW w:w="1647"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державний бюджет</w:t>
            </w:r>
          </w:p>
        </w:tc>
        <w:tc>
          <w:tcPr>
            <w:tcW w:w="2688" w:type="dxa"/>
            <w:gridSpan w:val="2"/>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4430"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щорічний обсяг фінансування за бюджетною програмою 6331030 </w:t>
            </w:r>
            <w:r w:rsidRPr="00FA4530">
              <w:rPr>
                <w:rFonts w:ascii="Times New Roman" w:eastAsia="Calibri" w:hAnsi="Times New Roman"/>
                <w:sz w:val="24"/>
                <w:szCs w:val="24"/>
                <w:lang w:eastAsia="en-US"/>
              </w:rPr>
              <w:t>“</w:t>
            </w:r>
            <w:r w:rsidRPr="00FA4530">
              <w:rPr>
                <w:rFonts w:ascii="Times New Roman" w:eastAsia="Calibri" w:hAnsi="Times New Roman"/>
                <w:sz w:val="24"/>
                <w:szCs w:val="24"/>
                <w:lang w:eastAsia="en-US" w:bidi="uk-UA"/>
              </w:rPr>
              <w:t>Реалізація антикорупційних стратегій</w:t>
            </w:r>
            <w:r w:rsidRPr="00FA4530">
              <w:rPr>
                <w:rFonts w:ascii="Times New Roman" w:eastAsia="Calibri" w:hAnsi="Times New Roman"/>
                <w:sz w:val="24"/>
                <w:szCs w:val="24"/>
                <w:lang w:eastAsia="en-US"/>
              </w:rPr>
              <w:t>”</w:t>
            </w:r>
            <w:r w:rsidRPr="00FA4530">
              <w:rPr>
                <w:rFonts w:ascii="Times New Roman" w:eastAsia="Calibri" w:hAnsi="Times New Roman"/>
                <w:sz w:val="24"/>
                <w:szCs w:val="24"/>
                <w:lang w:eastAsia="en-US" w:bidi="uk-UA"/>
              </w:rPr>
              <w:t xml:space="preserve"> становить </w:t>
            </w:r>
            <w:r w:rsidRPr="00FA4530">
              <w:rPr>
                <w:rFonts w:ascii="Times New Roman" w:eastAsia="Calibri" w:hAnsi="Times New Roman"/>
                <w:sz w:val="24"/>
                <w:szCs w:val="24"/>
                <w:lang w:eastAsia="en-US" w:bidi="uk-UA"/>
              </w:rPr>
              <w:br/>
              <w:t xml:space="preserve">100 відсотків бюджетного запиту </w:t>
            </w:r>
            <w:r w:rsidRPr="00FA4530">
              <w:rPr>
                <w:rFonts w:ascii="Times New Roman" w:eastAsia="Calibri" w:hAnsi="Times New Roman"/>
                <w:sz w:val="24"/>
                <w:szCs w:val="24"/>
                <w:lang w:eastAsia="uk-UA" w:bidi="uk-UA"/>
              </w:rPr>
              <w:t>Національного агентства</w:t>
            </w:r>
            <w:r w:rsidRPr="00FA4530">
              <w:rPr>
                <w:rFonts w:ascii="Times New Roman" w:eastAsia="Calibri" w:hAnsi="Times New Roman"/>
                <w:sz w:val="24"/>
                <w:szCs w:val="24"/>
                <w:lang w:eastAsia="en-US" w:bidi="uk-UA"/>
              </w:rPr>
              <w:t xml:space="preserve"> на відповідний рік</w:t>
            </w:r>
          </w:p>
        </w:tc>
      </w:tr>
      <w:tr w:rsidR="00EA2F1E" w:rsidRPr="00FA4530" w:rsidTr="004B3771">
        <w:trPr>
          <w:gridAfter w:val="1"/>
          <w:wAfter w:w="32" w:type="dxa"/>
          <w:trHeight w:val="4243"/>
          <w:tblHeader/>
        </w:trPr>
        <w:tc>
          <w:tcPr>
            <w:tcW w:w="5464"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color w:val="000000"/>
                <w:sz w:val="24"/>
                <w:szCs w:val="24"/>
                <w:lang w:eastAsia="en-US"/>
              </w:rPr>
              <w:t>1.1.1.5.4. Проведення фінансово-економічних розрахунків потреб (зокрема шляхом розроблення техніко-економічного обґрунтування створення або модернізації засобів інформатизації), необхідних для здійснення заходів, запланованих на 2024 і 2025 роки, та тих, які потребують додаткового фінансування (зокрема спрямованих на створення або модернізацію інформаційних систем та/або електронних комунікаційних мереж, засобів інформатизації та інформаційних ресурсів), зокрема під час формування бюджетних пропозицій на 2024 і 2025 роки (обов’язковим є проведення фінансово-економічних розрахунків та розроблення техніко-економічного обґрунтування для таких заходів: 1.4.2.2.2, 1.4.2.2.4, 1.5.3.1.6, 2.2.3.1.1, 2.2.3.1.2, 2.2.3.1.3, 2.2.3.1.4, 2.2.3.3.3, 2.2.3.3.4, 2.2.3.3.5, 2.4.2.3.5, 2.4.3.1.7––2.4.3.1.10, 2.5.1.1.1, 2.5.1.1.2, 2.5.1.2.2</w:t>
            </w:r>
            <w:r w:rsidRPr="00FA4530">
              <w:rPr>
                <w:rFonts w:ascii="Times New Roman" w:eastAsia="Calibri" w:hAnsi="Times New Roman"/>
                <w:sz w:val="24"/>
                <w:szCs w:val="24"/>
                <w:lang w:eastAsia="uk-UA" w:bidi="uk-UA"/>
              </w:rPr>
              <w:t>—</w:t>
            </w:r>
            <w:r w:rsidRPr="00FA4530">
              <w:rPr>
                <w:rFonts w:ascii="Times New Roman" w:eastAsia="Calibri" w:hAnsi="Times New Roman"/>
                <w:color w:val="000000"/>
                <w:sz w:val="24"/>
                <w:szCs w:val="24"/>
                <w:lang w:eastAsia="en-US"/>
              </w:rPr>
              <w:t>2.5.1.4.2, 2.5.4.3.2––2.5.4.3.5, 2.5.10.2.5, 2.5.10.2.6, 2.5.10.3.2, 2.5.10.3.3, 2.5.10.3.5, 2.6.4.1.2, 2.7.3.4.9, 2.7.5.2.2, 2.7.7.1.4, 3.3.2.3.4, 3.3.3.8.3)</w:t>
            </w:r>
          </w:p>
        </w:tc>
        <w:tc>
          <w:tcPr>
            <w:tcW w:w="1619"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 xml:space="preserve">березень </w:t>
            </w:r>
            <w:r w:rsidRPr="00FA4530">
              <w:rPr>
                <w:rFonts w:ascii="Times New Roman" w:eastAsia="Calibri" w:hAnsi="Times New Roman"/>
                <w:sz w:val="24"/>
                <w:szCs w:val="24"/>
                <w:lang w:eastAsia="uk-UA" w:bidi="uk-UA"/>
              </w:rPr>
              <w:br/>
              <w:t>2023 р.</w:t>
            </w:r>
          </w:p>
        </w:tc>
        <w:tc>
          <w:tcPr>
            <w:tcW w:w="1417" w:type="dxa"/>
          </w:tcPr>
          <w:p w:rsidR="00EA2F1E" w:rsidRPr="00FA4530" w:rsidRDefault="00EA2F1E"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 xml:space="preserve">грудень </w:t>
            </w:r>
            <w:r w:rsidRPr="00FA4530">
              <w:rPr>
                <w:rFonts w:ascii="Times New Roman" w:eastAsia="Calibri" w:hAnsi="Times New Roman"/>
                <w:sz w:val="24"/>
                <w:szCs w:val="24"/>
                <w:lang w:eastAsia="uk-UA" w:bidi="uk-UA"/>
              </w:rPr>
              <w:br/>
              <w:t>2023 р.</w:t>
            </w:r>
          </w:p>
        </w:tc>
        <w:tc>
          <w:tcPr>
            <w:tcW w:w="3814"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Національне агентство </w:t>
            </w:r>
            <w:proofErr w:type="spellStart"/>
            <w:r w:rsidRPr="00FA4530">
              <w:rPr>
                <w:rFonts w:ascii="Times New Roman" w:eastAsia="Calibri" w:hAnsi="Times New Roman"/>
                <w:sz w:val="24"/>
                <w:szCs w:val="24"/>
                <w:lang w:eastAsia="en-US" w:bidi="uk-UA"/>
              </w:rPr>
              <w:t>Мінцифри</w:t>
            </w:r>
            <w:proofErr w:type="spellEnd"/>
            <w:r w:rsidRPr="00FA4530">
              <w:rPr>
                <w:rFonts w:ascii="Times New Roman" w:eastAsia="Calibri" w:hAnsi="Times New Roman"/>
                <w:sz w:val="24"/>
                <w:szCs w:val="24"/>
                <w:lang w:eastAsia="en-US" w:bidi="uk-UA"/>
              </w:rPr>
              <w:t xml:space="preserve"> Мінфін </w:t>
            </w:r>
            <w:proofErr w:type="spellStart"/>
            <w:r w:rsidRPr="00FA4530">
              <w:rPr>
                <w:rFonts w:ascii="Times New Roman" w:eastAsia="Calibri" w:hAnsi="Times New Roman"/>
                <w:sz w:val="24"/>
                <w:szCs w:val="24"/>
                <w:lang w:eastAsia="en-US" w:bidi="uk-UA"/>
              </w:rPr>
              <w:t>Мініфраструкту-ри</w:t>
            </w:r>
            <w:proofErr w:type="spellEnd"/>
            <w:r w:rsidRPr="00FA4530">
              <w:rPr>
                <w:rFonts w:ascii="Times New Roman" w:eastAsia="Calibri" w:hAnsi="Times New Roman"/>
                <w:sz w:val="24"/>
                <w:szCs w:val="24"/>
                <w:lang w:eastAsia="en-US" w:bidi="uk-UA"/>
              </w:rPr>
              <w:t xml:space="preserve">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Мін’юст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Мінекономіки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Мінагрополітики </w:t>
            </w:r>
          </w:p>
          <w:p w:rsidR="00EA2F1E" w:rsidRPr="00FA4530" w:rsidRDefault="00EA2F1E" w:rsidP="00910F0E">
            <w:pPr>
              <w:spacing w:before="60"/>
              <w:rPr>
                <w:rFonts w:ascii="Times New Roman" w:eastAsia="Calibri" w:hAnsi="Times New Roman"/>
                <w:sz w:val="24"/>
                <w:szCs w:val="24"/>
                <w:lang w:eastAsia="en-US" w:bidi="uk-UA"/>
              </w:rPr>
            </w:pPr>
            <w:proofErr w:type="spellStart"/>
            <w:r w:rsidRPr="00FA4530">
              <w:rPr>
                <w:rFonts w:ascii="Times New Roman" w:eastAsia="Calibri" w:hAnsi="Times New Roman"/>
                <w:sz w:val="24"/>
                <w:szCs w:val="24"/>
                <w:lang w:eastAsia="en-US" w:bidi="uk-UA"/>
              </w:rPr>
              <w:t>Мінсоцполітики</w:t>
            </w:r>
            <w:proofErr w:type="spellEnd"/>
            <w:r w:rsidRPr="00FA4530">
              <w:rPr>
                <w:rFonts w:ascii="Times New Roman" w:eastAsia="Calibri" w:hAnsi="Times New Roman"/>
                <w:sz w:val="24"/>
                <w:szCs w:val="24"/>
                <w:lang w:eastAsia="en-US" w:bidi="uk-UA"/>
              </w:rPr>
              <w:t xml:space="preserve">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Міноборони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МВС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МОЗ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МОН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Офіс Генерального прокурора (за згодою)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Державне бюро розслідувань (за згодою)</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Національна поліція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Національне антикорупційне бюро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БЕБ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АРМА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СБУ (за згодою)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Фонд державного майна </w:t>
            </w:r>
          </w:p>
          <w:p w:rsidR="00EA2F1E" w:rsidRPr="00FA4530" w:rsidRDefault="00EA2F1E" w:rsidP="00910F0E">
            <w:pPr>
              <w:spacing w:before="60"/>
              <w:rPr>
                <w:rFonts w:ascii="Times New Roman" w:eastAsia="Calibri" w:hAnsi="Times New Roman"/>
                <w:sz w:val="24"/>
                <w:szCs w:val="24"/>
                <w:lang w:eastAsia="en-US" w:bidi="uk-UA"/>
              </w:rPr>
            </w:pPr>
            <w:proofErr w:type="spellStart"/>
            <w:r w:rsidRPr="00FA4530">
              <w:rPr>
                <w:rFonts w:ascii="Times New Roman" w:eastAsia="Calibri" w:hAnsi="Times New Roman"/>
                <w:sz w:val="24"/>
                <w:szCs w:val="24"/>
                <w:lang w:eastAsia="en-US" w:bidi="uk-UA"/>
              </w:rPr>
              <w:t>Антимонополь</w:t>
            </w:r>
            <w:proofErr w:type="spellEnd"/>
            <w:r w:rsidRPr="00FA4530">
              <w:rPr>
                <w:rFonts w:ascii="Times New Roman" w:eastAsia="Calibri" w:hAnsi="Times New Roman"/>
                <w:sz w:val="24"/>
                <w:szCs w:val="24"/>
                <w:lang w:eastAsia="en-US" w:bidi="uk-UA"/>
              </w:rPr>
              <w:t>-ний комітет (за згодою)</w:t>
            </w:r>
          </w:p>
          <w:p w:rsidR="00EA2F1E" w:rsidRPr="00FA4530" w:rsidRDefault="00EA2F1E" w:rsidP="00910F0E">
            <w:pPr>
              <w:spacing w:before="60"/>
              <w:rPr>
                <w:rFonts w:ascii="Times New Roman" w:eastAsia="Calibri" w:hAnsi="Times New Roman"/>
                <w:sz w:val="24"/>
                <w:szCs w:val="24"/>
                <w:lang w:eastAsia="en-US" w:bidi="uk-UA"/>
              </w:rPr>
            </w:pPr>
            <w:proofErr w:type="spellStart"/>
            <w:r w:rsidRPr="00FA4530">
              <w:rPr>
                <w:rFonts w:ascii="Times New Roman" w:eastAsia="Calibri" w:hAnsi="Times New Roman"/>
                <w:sz w:val="24"/>
                <w:szCs w:val="24"/>
                <w:lang w:eastAsia="en-US" w:bidi="uk-UA"/>
              </w:rPr>
              <w:t>Держстат</w:t>
            </w:r>
            <w:proofErr w:type="spellEnd"/>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lastRenderedPageBreak/>
              <w:t xml:space="preserve">Адміністрація </w:t>
            </w:r>
            <w:proofErr w:type="spellStart"/>
            <w:r w:rsidRPr="00FA4530">
              <w:rPr>
                <w:rFonts w:ascii="Times New Roman" w:eastAsia="Calibri" w:hAnsi="Times New Roman"/>
                <w:sz w:val="24"/>
                <w:szCs w:val="24"/>
                <w:lang w:eastAsia="en-US" w:bidi="uk-UA"/>
              </w:rPr>
              <w:t>Держспецзв’язку</w:t>
            </w:r>
            <w:proofErr w:type="spellEnd"/>
            <w:r w:rsidRPr="00FA4530">
              <w:rPr>
                <w:rFonts w:ascii="Times New Roman" w:eastAsia="Calibri" w:hAnsi="Times New Roman"/>
                <w:sz w:val="24"/>
                <w:szCs w:val="24"/>
                <w:lang w:eastAsia="en-US" w:bidi="uk-UA"/>
              </w:rPr>
              <w:t xml:space="preserve"> </w:t>
            </w:r>
          </w:p>
          <w:p w:rsidR="00EA2F1E" w:rsidRPr="00FA4530" w:rsidRDefault="00EA2F1E" w:rsidP="00910F0E">
            <w:pPr>
              <w:spacing w:before="60"/>
              <w:rPr>
                <w:rFonts w:ascii="Times New Roman" w:eastAsia="Calibri" w:hAnsi="Times New Roman"/>
                <w:sz w:val="24"/>
                <w:szCs w:val="24"/>
                <w:lang w:eastAsia="en-US" w:bidi="uk-UA"/>
              </w:rPr>
            </w:pPr>
            <w:proofErr w:type="spellStart"/>
            <w:r w:rsidRPr="00FA4530">
              <w:rPr>
                <w:rFonts w:ascii="Times New Roman" w:eastAsia="Calibri" w:hAnsi="Times New Roman"/>
                <w:sz w:val="24"/>
                <w:szCs w:val="24"/>
                <w:lang w:eastAsia="en-US" w:bidi="uk-UA"/>
              </w:rPr>
              <w:t>Держгеокадастр</w:t>
            </w:r>
            <w:proofErr w:type="spellEnd"/>
            <w:r w:rsidRPr="00FA4530">
              <w:rPr>
                <w:rFonts w:ascii="Times New Roman" w:eastAsia="Calibri" w:hAnsi="Times New Roman"/>
                <w:sz w:val="24"/>
                <w:szCs w:val="24"/>
                <w:lang w:eastAsia="en-US" w:bidi="uk-UA"/>
              </w:rPr>
              <w:t xml:space="preserve">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ДПС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ДРС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rPr>
              <w:t>Агентство відновлення</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НСЗУ</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Фонд соціального захисту осіб з інвалідністю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Національне агентство із забезпечення якості вищої освіти</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НКЦПФР </w:t>
            </w:r>
          </w:p>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держатель (адміністратор) Реєстру декларацій</w:t>
            </w:r>
          </w:p>
        </w:tc>
        <w:tc>
          <w:tcPr>
            <w:tcW w:w="1647"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lastRenderedPageBreak/>
              <w:t>державний бюджет</w:t>
            </w:r>
          </w:p>
        </w:tc>
        <w:tc>
          <w:tcPr>
            <w:tcW w:w="2688" w:type="dxa"/>
            <w:gridSpan w:val="2"/>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 xml:space="preserve">у межах встановлених бюджетних призначень на відповідний рік </w:t>
            </w:r>
            <w:r w:rsidRPr="00FA4530">
              <w:rPr>
                <w:rFonts w:ascii="Times New Roman" w:eastAsia="Calibri" w:hAnsi="Times New Roman"/>
                <w:sz w:val="24"/>
                <w:szCs w:val="24"/>
                <w:lang w:eastAsia="uk-UA" w:bidi="uk-UA"/>
              </w:rPr>
              <w:t>(КПКВК 6331010)</w:t>
            </w:r>
          </w:p>
        </w:tc>
        <w:tc>
          <w:tcPr>
            <w:tcW w:w="4430"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фінансово-економічні розрахунки потреб проведено</w:t>
            </w:r>
          </w:p>
        </w:tc>
      </w:tr>
      <w:tr w:rsidR="00EA2F1E" w:rsidRPr="00FA4530" w:rsidTr="00910F0E">
        <w:trPr>
          <w:trHeight w:val="473"/>
          <w:tblHeader/>
        </w:trPr>
        <w:tc>
          <w:tcPr>
            <w:tcW w:w="21111" w:type="dxa"/>
            <w:gridSpan w:val="9"/>
          </w:tcPr>
          <w:p w:rsidR="00EA2F1E" w:rsidRPr="00FA4530" w:rsidRDefault="00EA2F1E" w:rsidP="00910F0E">
            <w:pPr>
              <w:spacing w:before="60" w:line="223" w:lineRule="auto"/>
              <w:jc w:val="center"/>
              <w:rPr>
                <w:rFonts w:ascii="Times New Roman" w:eastAsia="Calibri" w:hAnsi="Times New Roman"/>
                <w:sz w:val="24"/>
                <w:szCs w:val="24"/>
                <w:lang w:eastAsia="uk-UA" w:bidi="uk-UA"/>
              </w:rPr>
            </w:pPr>
            <w:r w:rsidRPr="00FA4530">
              <w:rPr>
                <w:rFonts w:ascii="Times New Roman" w:eastAsia="Calibri" w:hAnsi="Times New Roman"/>
                <w:sz w:val="24"/>
                <w:szCs w:val="24"/>
                <w:lang w:eastAsia="en-US"/>
              </w:rPr>
              <w:t xml:space="preserve">Проблема 1.1.3. Положення нормативно-правових актів та їх проектів потребують подальшого удосконалення для усунення можливих </w:t>
            </w:r>
            <w:proofErr w:type="spellStart"/>
            <w:r w:rsidRPr="00FA4530">
              <w:rPr>
                <w:rFonts w:ascii="Times New Roman" w:eastAsia="Calibri" w:hAnsi="Times New Roman"/>
                <w:sz w:val="24"/>
                <w:szCs w:val="24"/>
                <w:lang w:eastAsia="en-US"/>
              </w:rPr>
              <w:t>корупціогенних</w:t>
            </w:r>
            <w:proofErr w:type="spellEnd"/>
            <w:r w:rsidRPr="00FA4530">
              <w:rPr>
                <w:rFonts w:ascii="Times New Roman" w:eastAsia="Calibri" w:hAnsi="Times New Roman"/>
                <w:sz w:val="24"/>
                <w:szCs w:val="24"/>
                <w:lang w:eastAsia="en-US"/>
              </w:rPr>
              <w:t xml:space="preserve"> факторів</w:t>
            </w:r>
          </w:p>
        </w:tc>
      </w:tr>
      <w:tr w:rsidR="00EA2F1E" w:rsidRPr="00FA4530" w:rsidTr="00910F0E">
        <w:trPr>
          <w:trHeight w:val="473"/>
          <w:tblHeader/>
        </w:trPr>
        <w:tc>
          <w:tcPr>
            <w:tcW w:w="21111" w:type="dxa"/>
            <w:gridSpan w:val="9"/>
          </w:tcPr>
          <w:p w:rsidR="00EA2F1E" w:rsidRPr="00FA4530" w:rsidRDefault="00EA2F1E" w:rsidP="00910F0E">
            <w:pPr>
              <w:spacing w:before="60"/>
              <w:jc w:val="both"/>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 xml:space="preserve">Очікуваний стратегічний результат 1.1.3.3. Усунуто колізії, прогалини та інші </w:t>
            </w:r>
            <w:proofErr w:type="spellStart"/>
            <w:r w:rsidRPr="00FA4530">
              <w:rPr>
                <w:rFonts w:ascii="Times New Roman" w:eastAsia="Calibri" w:hAnsi="Times New Roman"/>
                <w:sz w:val="24"/>
                <w:szCs w:val="24"/>
                <w:lang w:eastAsia="uk-UA" w:bidi="uk-UA"/>
              </w:rPr>
              <w:t>корупціогенні</w:t>
            </w:r>
            <w:proofErr w:type="spellEnd"/>
            <w:r w:rsidRPr="00FA4530">
              <w:rPr>
                <w:rFonts w:ascii="Times New Roman" w:eastAsia="Calibri" w:hAnsi="Times New Roman"/>
                <w:sz w:val="24"/>
                <w:szCs w:val="24"/>
                <w:lang w:eastAsia="uk-UA" w:bidi="uk-UA"/>
              </w:rPr>
              <w:t xml:space="preserve"> фактори, що зумовлюють неоднозначне тлумачення, порушення принципу правової визначеності та системні корупційні ризики у сфері запобігання корупції та пріоритетних сферах, визначених розділом 3 Антикорупційної стратегії </w:t>
            </w:r>
          </w:p>
        </w:tc>
      </w:tr>
      <w:tr w:rsidR="00EA2F1E" w:rsidRPr="00FA4530" w:rsidTr="004B3771">
        <w:trPr>
          <w:gridAfter w:val="1"/>
          <w:wAfter w:w="32" w:type="dxa"/>
          <w:trHeight w:val="473"/>
          <w:tblHeader/>
        </w:trPr>
        <w:tc>
          <w:tcPr>
            <w:tcW w:w="5464"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uk-UA" w:bidi="uk-UA"/>
              </w:rPr>
              <w:t>1.1.3.3.</w:t>
            </w:r>
            <w:r w:rsidRPr="00FA4530">
              <w:rPr>
                <w:rFonts w:ascii="Times New Roman" w:eastAsia="Calibri" w:hAnsi="Times New Roman"/>
                <w:sz w:val="24"/>
                <w:szCs w:val="24"/>
                <w:lang w:eastAsia="en-US"/>
              </w:rPr>
              <w:t xml:space="preserve">1. Здійснення заходів правового </w:t>
            </w:r>
            <w:r w:rsidRPr="00FA4530">
              <w:rPr>
                <w:rFonts w:ascii="Times New Roman" w:eastAsia="Calibri" w:hAnsi="Times New Roman"/>
                <w:sz w:val="24"/>
                <w:szCs w:val="24"/>
                <w:lang w:eastAsia="en-US"/>
              </w:rPr>
              <w:br/>
              <w:t xml:space="preserve">моніторингу </w:t>
            </w:r>
            <w:r w:rsidRPr="00FA4530">
              <w:rPr>
                <w:rFonts w:ascii="Times New Roman" w:eastAsia="Calibri" w:hAnsi="Times New Roman"/>
                <w:sz w:val="24"/>
                <w:szCs w:val="24"/>
                <w:lang w:eastAsia="uk-UA" w:bidi="uk-UA"/>
              </w:rPr>
              <w:t>—</w:t>
            </w:r>
            <w:r w:rsidRPr="00FA4530">
              <w:rPr>
                <w:rFonts w:ascii="Times New Roman" w:eastAsia="Calibri" w:hAnsi="Times New Roman"/>
                <w:sz w:val="24"/>
                <w:szCs w:val="24"/>
                <w:lang w:eastAsia="en-US"/>
              </w:rPr>
              <w:t xml:space="preserve"> систематичної, комплексної діяльності, спрямованої на спостереження, аналіз та оцінку ефективності застосування галузевого законодавства, що регулює суспільні відносини у сферах, визначених розділом 3 Антикорупційної стратегії, з метою виявлення проблем та недоліків, а отже, і потреб у його подальшому вдосконаленні</w:t>
            </w:r>
          </w:p>
        </w:tc>
        <w:tc>
          <w:tcPr>
            <w:tcW w:w="1619"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січень</w:t>
            </w:r>
            <w:r w:rsidRPr="00FA4530">
              <w:rPr>
                <w:rFonts w:ascii="Times New Roman" w:eastAsia="Calibri" w:hAnsi="Times New Roman"/>
                <w:sz w:val="24"/>
                <w:szCs w:val="24"/>
                <w:lang w:eastAsia="en-US" w:bidi="uk-UA"/>
              </w:rPr>
              <w:br/>
              <w:t>2024 р.</w:t>
            </w:r>
          </w:p>
        </w:tc>
        <w:tc>
          <w:tcPr>
            <w:tcW w:w="1417"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грудень</w:t>
            </w:r>
            <w:r w:rsidRPr="00FA4530">
              <w:rPr>
                <w:rFonts w:ascii="Times New Roman" w:eastAsia="Calibri" w:hAnsi="Times New Roman"/>
                <w:sz w:val="24"/>
                <w:szCs w:val="24"/>
                <w:lang w:eastAsia="en-US" w:bidi="uk-UA"/>
              </w:rPr>
              <w:br/>
              <w:t>2025 р.</w:t>
            </w:r>
          </w:p>
        </w:tc>
        <w:tc>
          <w:tcPr>
            <w:tcW w:w="3814"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Мін’юст</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МВС </w:t>
            </w:r>
          </w:p>
          <w:p w:rsidR="00EA2F1E" w:rsidRPr="00FA4530" w:rsidRDefault="00EA2F1E" w:rsidP="00910F0E">
            <w:pPr>
              <w:spacing w:before="60"/>
              <w:rPr>
                <w:rFonts w:ascii="Times New Roman" w:eastAsia="Calibri" w:hAnsi="Times New Roman"/>
                <w:sz w:val="24"/>
                <w:szCs w:val="24"/>
                <w:lang w:eastAsia="en-US"/>
              </w:rPr>
            </w:pP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Національна поліція </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Мінекономіки </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Мінфін </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Мінагрополітики</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МКІП </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Міноборони</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МОЗ</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МОН</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БЕБ</w:t>
            </w:r>
          </w:p>
        </w:tc>
        <w:tc>
          <w:tcPr>
            <w:tcW w:w="1647"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bidi="uk-UA"/>
              </w:rPr>
              <w:t>державний бюджет</w:t>
            </w:r>
          </w:p>
        </w:tc>
        <w:tc>
          <w:tcPr>
            <w:tcW w:w="2688" w:type="dxa"/>
            <w:gridSpan w:val="2"/>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у межах встановлених бюджетних призначень на відповідний рік</w:t>
            </w:r>
          </w:p>
        </w:tc>
        <w:tc>
          <w:tcPr>
            <w:tcW w:w="4430"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правовий моніторинг проведено та оприлюднено його результати</w:t>
            </w:r>
          </w:p>
        </w:tc>
      </w:tr>
      <w:tr w:rsidR="00EA2F1E" w:rsidRPr="00FA4530" w:rsidTr="004B3771">
        <w:trPr>
          <w:gridAfter w:val="1"/>
          <w:wAfter w:w="32" w:type="dxa"/>
          <w:trHeight w:val="473"/>
          <w:tblHeader/>
        </w:trPr>
        <w:tc>
          <w:tcPr>
            <w:tcW w:w="5464"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uk-UA" w:bidi="uk-UA"/>
              </w:rPr>
              <w:t>1.1.3.3.</w:t>
            </w:r>
            <w:r w:rsidRPr="00FA4530">
              <w:rPr>
                <w:rFonts w:ascii="Times New Roman" w:eastAsia="Calibri" w:hAnsi="Times New Roman"/>
                <w:sz w:val="24"/>
                <w:szCs w:val="24"/>
                <w:lang w:eastAsia="en-US"/>
              </w:rPr>
              <w:t>5. Розроблення та подання Кабінетові Міністрів України проектів законів щодо вдосконалення галузевого законодавства, що регулює суспільні відносини у сферах, визначених розділом 3 Антикорупційної стратегії, на основі результатів правового моніторингу, аналітичних досліджень, зазначених у підпункті</w:t>
            </w:r>
            <w:r w:rsidRPr="00FA4530">
              <w:rPr>
                <w:rFonts w:ascii="Times New Roman" w:eastAsia="Calibri" w:hAnsi="Times New Roman"/>
                <w:sz w:val="24"/>
                <w:szCs w:val="24"/>
                <w:lang w:eastAsia="uk-UA" w:bidi="uk-UA"/>
              </w:rPr>
              <w:t xml:space="preserve"> 1.1.3.3.</w:t>
            </w:r>
            <w:r w:rsidRPr="00FA4530">
              <w:rPr>
                <w:rFonts w:ascii="Times New Roman" w:eastAsia="Calibri" w:hAnsi="Times New Roman"/>
                <w:sz w:val="24"/>
                <w:szCs w:val="24"/>
                <w:lang w:eastAsia="en-US"/>
              </w:rPr>
              <w:t xml:space="preserve">3, та/або результатів антикорупційної експертизи чинних нормативно-правових актів, проведеної на виконання заходу, зазначеного у підпункті </w:t>
            </w:r>
            <w:r w:rsidRPr="00FA4530">
              <w:rPr>
                <w:rFonts w:ascii="Times New Roman" w:eastAsia="Calibri" w:hAnsi="Times New Roman"/>
                <w:sz w:val="24"/>
                <w:szCs w:val="24"/>
                <w:lang w:eastAsia="uk-UA" w:bidi="uk-UA"/>
              </w:rPr>
              <w:t>1.1.3.3.</w:t>
            </w:r>
            <w:r w:rsidRPr="00FA4530">
              <w:rPr>
                <w:rFonts w:ascii="Times New Roman" w:eastAsia="Calibri" w:hAnsi="Times New Roman"/>
                <w:sz w:val="24"/>
                <w:szCs w:val="24"/>
                <w:lang w:eastAsia="en-US"/>
              </w:rPr>
              <w:t>4</w:t>
            </w:r>
          </w:p>
        </w:tc>
        <w:tc>
          <w:tcPr>
            <w:tcW w:w="1619"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березень</w:t>
            </w:r>
            <w:r w:rsidRPr="00FA4530">
              <w:rPr>
                <w:rFonts w:ascii="Times New Roman" w:eastAsia="Calibri" w:hAnsi="Times New Roman"/>
                <w:sz w:val="24"/>
                <w:szCs w:val="24"/>
                <w:lang w:eastAsia="en-US" w:bidi="uk-UA"/>
              </w:rPr>
              <w:br/>
              <w:t>2023 р.</w:t>
            </w:r>
          </w:p>
        </w:tc>
        <w:tc>
          <w:tcPr>
            <w:tcW w:w="1417"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листопад</w:t>
            </w:r>
            <w:r w:rsidRPr="00FA4530">
              <w:rPr>
                <w:rFonts w:ascii="Times New Roman" w:eastAsia="Calibri" w:hAnsi="Times New Roman"/>
                <w:sz w:val="24"/>
                <w:szCs w:val="24"/>
                <w:lang w:eastAsia="en-US" w:bidi="uk-UA"/>
              </w:rPr>
              <w:br/>
              <w:t>2025 р.</w:t>
            </w:r>
          </w:p>
        </w:tc>
        <w:tc>
          <w:tcPr>
            <w:tcW w:w="3814" w:type="dxa"/>
          </w:tcPr>
          <w:p w:rsidR="00EA2F1E" w:rsidRPr="00FA4530" w:rsidRDefault="00EA2F1E" w:rsidP="00910F0E">
            <w:pPr>
              <w:spacing w:before="60"/>
              <w:rPr>
                <w:rFonts w:ascii="Times New Roman" w:eastAsia="Calibri" w:hAnsi="Times New Roman"/>
                <w:sz w:val="24"/>
                <w:szCs w:val="24"/>
                <w:lang w:eastAsia="en-US" w:bidi="uk-UA"/>
              </w:rPr>
            </w:pPr>
            <w:r w:rsidRPr="00FA4530">
              <w:rPr>
                <w:rFonts w:ascii="Times New Roman" w:eastAsia="Calibri" w:hAnsi="Times New Roman"/>
                <w:sz w:val="24"/>
                <w:szCs w:val="24"/>
                <w:lang w:eastAsia="en-US" w:bidi="uk-UA"/>
              </w:rPr>
              <w:t>Національне агентство</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Мін’юст</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МВС Національна поліція Мінекономіки Мінфін Мінагрополітики</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МКІП</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Міноборони</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МОЗ</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МОН </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БЕБ</w:t>
            </w:r>
          </w:p>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Державне бюро розслідувань (за згодою)</w:t>
            </w:r>
          </w:p>
        </w:tc>
        <w:tc>
          <w:tcPr>
            <w:tcW w:w="1647"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bidi="uk-UA"/>
              </w:rPr>
              <w:t>державний бюджет</w:t>
            </w:r>
          </w:p>
        </w:tc>
        <w:tc>
          <w:tcPr>
            <w:tcW w:w="2688" w:type="dxa"/>
            <w:gridSpan w:val="2"/>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у межах встановлених бюджетних призначень на відповідний рік </w:t>
            </w:r>
            <w:r w:rsidRPr="00FA4530">
              <w:rPr>
                <w:rFonts w:ascii="Times New Roman" w:eastAsia="Calibri" w:hAnsi="Times New Roman"/>
                <w:sz w:val="24"/>
                <w:szCs w:val="24"/>
                <w:lang w:eastAsia="uk-UA" w:bidi="uk-UA"/>
              </w:rPr>
              <w:t>(КПКВК 6331010)</w:t>
            </w:r>
          </w:p>
        </w:tc>
        <w:tc>
          <w:tcPr>
            <w:tcW w:w="4430" w:type="dxa"/>
          </w:tcPr>
          <w:p w:rsidR="00EA2F1E" w:rsidRPr="00FA4530" w:rsidRDefault="00EA2F1E" w:rsidP="00910F0E">
            <w:pPr>
              <w:spacing w:before="60"/>
              <w:rPr>
                <w:rFonts w:ascii="Times New Roman" w:eastAsia="Calibri" w:hAnsi="Times New Roman"/>
                <w:sz w:val="24"/>
                <w:szCs w:val="24"/>
                <w:lang w:eastAsia="en-US"/>
              </w:rPr>
            </w:pPr>
            <w:r w:rsidRPr="00FA4530">
              <w:rPr>
                <w:rFonts w:ascii="Times New Roman" w:eastAsia="Calibri" w:hAnsi="Times New Roman"/>
                <w:sz w:val="24"/>
                <w:szCs w:val="24"/>
                <w:lang w:eastAsia="en-US"/>
              </w:rPr>
              <w:t xml:space="preserve">проекти законів, подано до Верховної Ради України </w:t>
            </w:r>
          </w:p>
        </w:tc>
      </w:tr>
      <w:tr w:rsidR="00276FB5" w:rsidRPr="00FA4530" w:rsidTr="00910F0E">
        <w:trPr>
          <w:trHeight w:val="343"/>
        </w:trPr>
        <w:tc>
          <w:tcPr>
            <w:tcW w:w="21111" w:type="dxa"/>
            <w:gridSpan w:val="9"/>
            <w:vAlign w:val="center"/>
          </w:tcPr>
          <w:p w:rsidR="00136D4D" w:rsidRPr="00FA4530" w:rsidRDefault="00136D4D" w:rsidP="00910F0E">
            <w:pPr>
              <w:jc w:val="center"/>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2. ЗАПОБІГАННЯ КОРУПЦІЇ У ПРІОРИТЕТНИХ СФЕРАХ</w:t>
            </w:r>
          </w:p>
        </w:tc>
      </w:tr>
      <w:tr w:rsidR="00276FB5" w:rsidRPr="00FA4530" w:rsidTr="00910F0E">
        <w:trPr>
          <w:trHeight w:val="230"/>
        </w:trPr>
        <w:tc>
          <w:tcPr>
            <w:tcW w:w="21111" w:type="dxa"/>
            <w:gridSpan w:val="9"/>
            <w:hideMark/>
          </w:tcPr>
          <w:p w:rsidR="00136D4D" w:rsidRPr="00FA4530" w:rsidRDefault="00136D4D" w:rsidP="00910F0E">
            <w:pPr>
              <w:spacing w:before="60"/>
              <w:ind w:firstLine="8249"/>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2.3. Митна справа та оподаткування</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lastRenderedPageBreak/>
              <w:t xml:space="preserve">Проблема 2.3.1. </w:t>
            </w:r>
            <w:r w:rsidRPr="00FA4530">
              <w:rPr>
                <w:rFonts w:ascii="Times New Roman" w:eastAsia="Calibri" w:hAnsi="Times New Roman"/>
                <w:noProof/>
                <w:sz w:val="24"/>
                <w:szCs w:val="24"/>
                <w:lang w:eastAsia="en-US"/>
              </w:rPr>
              <w:t>Недостатня прозорість та ефективність роботи митних органів, надмірний обсяг дискреційних повноважень у працівників митниці</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2.3.1.1. Усунуті підстави для можливої корупції працівників митних органів шляхом запровадження правила, за яким резервні методи визначення митної вартості можуть застосовуватися виключно в межах апеляційних процедур</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2.3.1.1.1. Розроблення та подання Кабінетові Міністрів України проекту закону щодо внесення змін до Митного кодексу України, відповідно до якого </w:t>
            </w:r>
            <w:r w:rsidRPr="00FA4530">
              <w:rPr>
                <w:rFonts w:ascii="Times New Roman" w:eastAsia="Calibri" w:hAnsi="Times New Roman"/>
                <w:noProof/>
                <w:sz w:val="24"/>
                <w:szCs w:val="24"/>
                <w:lang w:eastAsia="en-US"/>
              </w:rPr>
              <w:t xml:space="preserve">розділ щодо контролю </w:t>
            </w:r>
            <w:r w:rsidRPr="00FA4530">
              <w:rPr>
                <w:rFonts w:ascii="Times New Roman" w:eastAsia="Calibri" w:hAnsi="Times New Roman"/>
                <w:noProof/>
                <w:sz w:val="24"/>
                <w:szCs w:val="24"/>
                <w:lang w:eastAsia="en-US" w:bidi="uk-UA"/>
              </w:rPr>
              <w:t xml:space="preserve">правильності визначення митної </w:t>
            </w:r>
            <w:r w:rsidRPr="00FA4530">
              <w:rPr>
                <w:rFonts w:ascii="Times New Roman" w:eastAsia="Calibri" w:hAnsi="Times New Roman"/>
                <w:noProof/>
                <w:sz w:val="24"/>
                <w:szCs w:val="24"/>
                <w:lang w:eastAsia="en-US"/>
              </w:rPr>
              <w:t xml:space="preserve">вартості приведено у відповідність з Регламентом ЄС № 952/2013 </w:t>
            </w:r>
            <w:r w:rsidRPr="00FA4530">
              <w:rPr>
                <w:rFonts w:ascii="Times New Roman" w:eastAsia="Calibri" w:hAnsi="Times New Roman"/>
                <w:noProof/>
                <w:sz w:val="24"/>
                <w:szCs w:val="24"/>
                <w:lang w:eastAsia="en-US"/>
              </w:rPr>
              <w:br/>
              <w:t xml:space="preserve">від </w:t>
            </w:r>
            <w:r w:rsidR="00336B3D" w:rsidRPr="00FA4530">
              <w:rPr>
                <w:rFonts w:ascii="Times New Roman" w:eastAsia="Calibri" w:hAnsi="Times New Roman"/>
                <w:noProof/>
                <w:sz w:val="24"/>
                <w:szCs w:val="24"/>
                <w:lang w:eastAsia="en-US"/>
              </w:rPr>
              <w:t>09 жовтня 2013 р.</w:t>
            </w:r>
            <w:r w:rsidRPr="00FA4530">
              <w:rPr>
                <w:rFonts w:ascii="Times New Roman" w:eastAsia="Calibri" w:hAnsi="Times New Roman"/>
                <w:noProof/>
                <w:sz w:val="24"/>
                <w:szCs w:val="24"/>
                <w:lang w:eastAsia="en-US"/>
              </w:rPr>
              <w:t>, Угодою про застосування статті VII ГАТТ і статтею VII Генеральної угоди з тарифів і торгівлі 1994 року</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w:t>
            </w:r>
            <w:bookmarkStart w:id="0" w:name="_GoBack"/>
            <w:bookmarkEnd w:id="0"/>
            <w:r w:rsidRPr="00FA4530">
              <w:rPr>
                <w:rFonts w:ascii="Times New Roman" w:eastAsia="Calibri" w:hAnsi="Times New Roman"/>
                <w:noProof/>
                <w:sz w:val="24"/>
                <w:szCs w:val="24"/>
                <w:lang w:eastAsia="en-US"/>
              </w:rPr>
              <w:t>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жовтень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закону подано до Верховної Ради України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2.3.1.2. Офіційним імпортерам (що мають виключне право на імпорт окремих товарів або франшизу, надану виробником чи офіційним дистриб’ютором таких товарів) надано можливість оскаржити рішення митного органу про визначення митної вартості або про класифікацію товарів, які ввозяться особами, що не мають статусу офіційних імпортерів</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line="228" w:lineRule="auto"/>
              <w:rPr>
                <w:rFonts w:ascii="Times New Roman" w:eastAsia="Calibri" w:hAnsi="Times New Roman"/>
                <w:bCs/>
                <w:noProof/>
                <w:kern w:val="28"/>
                <w:sz w:val="24"/>
                <w:szCs w:val="24"/>
                <w:lang w:eastAsia="en-US"/>
              </w:rPr>
            </w:pPr>
            <w:r w:rsidRPr="00FA4530">
              <w:rPr>
                <w:rFonts w:ascii="Times New Roman" w:eastAsia="Calibri" w:hAnsi="Times New Roman"/>
                <w:noProof/>
                <w:sz w:val="24"/>
                <w:szCs w:val="24"/>
                <w:lang w:eastAsia="en-US" w:bidi="uk-UA"/>
              </w:rPr>
              <w:t xml:space="preserve">2.3.1.2.1. Розроблення та подання Кабінетові Міністрів України проекту </w:t>
            </w:r>
            <w:r w:rsidR="00336B3D" w:rsidRPr="00FA4530">
              <w:rPr>
                <w:rFonts w:ascii="Times New Roman" w:eastAsia="Calibri" w:hAnsi="Times New Roman"/>
                <w:noProof/>
                <w:sz w:val="24"/>
                <w:szCs w:val="24"/>
                <w:lang w:eastAsia="en-US" w:bidi="uk-UA"/>
              </w:rPr>
              <w:t>з</w:t>
            </w:r>
            <w:r w:rsidRPr="00FA4530">
              <w:rPr>
                <w:rFonts w:ascii="Times New Roman" w:eastAsia="Calibri" w:hAnsi="Times New Roman"/>
                <w:noProof/>
                <w:sz w:val="24"/>
                <w:szCs w:val="24"/>
                <w:lang w:eastAsia="en-US" w:bidi="uk-UA"/>
              </w:rPr>
              <w:t>акону щодо внесення змін до Митного кодексу України, відповідно до яког</w:t>
            </w:r>
            <w:r w:rsidRPr="00FA4530">
              <w:rPr>
                <w:rFonts w:ascii="Times New Roman" w:eastAsia="Calibri" w:hAnsi="Times New Roman"/>
                <w:bCs/>
                <w:noProof/>
                <w:kern w:val="28"/>
                <w:sz w:val="24"/>
                <w:szCs w:val="24"/>
                <w:lang w:eastAsia="en-US"/>
              </w:rPr>
              <w:t>о:</w:t>
            </w:r>
          </w:p>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1) визначено достатність висновку правовласника для підтвердження порушення прав інтелектуальної власності та складення протоколу про порушення митних правил, пов’язаних з переміщенням товарів через митний кордон України з порушенням прав інтелектуальної власності;</w:t>
            </w:r>
          </w:p>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2) поширено застосування заходів щодо сприяння захисту прав інтелектуальної власності на випадки виявлення товарів, що підозрюються у порушенні прав інтелектуальної власності, та переміщуються поза митним контролем, з приховуванням від митного контролю, шляхом недекларування тощо;</w:t>
            </w:r>
          </w:p>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3) посилено адміністративну відповідальність за переміщення товарів через митний кордон України з порушенням прав інтелектуальної власності;</w:t>
            </w:r>
          </w:p>
          <w:p w:rsidR="001802BB" w:rsidRPr="00FA4530" w:rsidRDefault="001802BB" w:rsidP="00910F0E">
            <w:pPr>
              <w:keepNext/>
              <w:spacing w:before="60" w:line="228" w:lineRule="auto"/>
              <w:rPr>
                <w:rFonts w:ascii="Times New Roman" w:eastAsia="Calibri" w:hAnsi="Times New Roman"/>
                <w:bCs/>
                <w:noProof/>
                <w:kern w:val="28"/>
                <w:sz w:val="24"/>
                <w:szCs w:val="24"/>
                <w:lang w:eastAsia="en-US"/>
              </w:rPr>
            </w:pPr>
            <w:r w:rsidRPr="00FA4530">
              <w:rPr>
                <w:rFonts w:ascii="Times New Roman" w:eastAsia="Calibri" w:hAnsi="Times New Roman"/>
                <w:noProof/>
                <w:sz w:val="24"/>
                <w:szCs w:val="24"/>
                <w:lang w:eastAsia="en-US" w:bidi="uk-UA"/>
              </w:rPr>
              <w:t>4) включено правовласника до переліку осіб, які беруть участь у провадженні у справах про порушення митних правил за статтею 476 Митного кодексу України</w:t>
            </w:r>
          </w:p>
        </w:tc>
        <w:tc>
          <w:tcPr>
            <w:tcW w:w="1619"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жовтень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проект </w:t>
            </w:r>
            <w:r w:rsidR="00336B3D" w:rsidRPr="00FA4530">
              <w:rPr>
                <w:rFonts w:ascii="Times New Roman" w:eastAsia="Calibri" w:hAnsi="Times New Roman"/>
                <w:noProof/>
                <w:sz w:val="24"/>
                <w:szCs w:val="24"/>
                <w:lang w:eastAsia="en-US" w:bidi="uk-UA"/>
              </w:rPr>
              <w:t>з</w:t>
            </w:r>
            <w:r w:rsidRPr="00FA4530">
              <w:rPr>
                <w:rFonts w:ascii="Times New Roman" w:eastAsia="Calibri" w:hAnsi="Times New Roman"/>
                <w:noProof/>
                <w:sz w:val="24"/>
                <w:szCs w:val="24"/>
                <w:lang w:eastAsia="en-US" w:bidi="uk-UA"/>
              </w:rPr>
              <w:t>акону подано до Верховної Ради України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 xml:space="preserve">2.3.1.2.2. Розроблення проекту наказу про внесення змін до 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затвердженого наказом Мінфіну </w:t>
            </w:r>
            <w:r w:rsidR="00993DD8" w:rsidRPr="00FA4530">
              <w:rPr>
                <w:rFonts w:ascii="Times New Roman" w:eastAsia="Calibri" w:hAnsi="Times New Roman"/>
                <w:noProof/>
                <w:sz w:val="24"/>
                <w:szCs w:val="24"/>
                <w:lang w:eastAsia="en-US" w:bidi="uk-UA"/>
              </w:rPr>
              <w:br/>
            </w:r>
            <w:r w:rsidRPr="00FA4530">
              <w:rPr>
                <w:rFonts w:ascii="Times New Roman" w:eastAsia="Calibri" w:hAnsi="Times New Roman"/>
                <w:noProof/>
                <w:sz w:val="24"/>
                <w:szCs w:val="24"/>
                <w:lang w:eastAsia="en-US" w:bidi="uk-UA"/>
              </w:rPr>
              <w:t xml:space="preserve">від </w:t>
            </w:r>
            <w:r w:rsidR="00993DD8" w:rsidRPr="00FA4530">
              <w:rPr>
                <w:rFonts w:ascii="Times New Roman" w:eastAsia="Calibri" w:hAnsi="Times New Roman"/>
                <w:noProof/>
                <w:sz w:val="24"/>
                <w:szCs w:val="24"/>
                <w:lang w:eastAsia="en-US" w:bidi="uk-UA"/>
              </w:rPr>
              <w:t>0</w:t>
            </w:r>
            <w:r w:rsidRPr="00FA4530">
              <w:rPr>
                <w:rFonts w:ascii="Times New Roman" w:eastAsia="Calibri" w:hAnsi="Times New Roman"/>
                <w:noProof/>
                <w:sz w:val="24"/>
                <w:szCs w:val="24"/>
                <w:lang w:eastAsia="en-US" w:bidi="uk-UA"/>
              </w:rPr>
              <w:t xml:space="preserve">9 червня 2020 р. № 281, та Порядку реєстрації у митному реєстрі об’єктів права інтелектуальної власності, які охороняються відповідно до закону, </w:t>
            </w:r>
            <w:r w:rsidRPr="00FA4530">
              <w:rPr>
                <w:rFonts w:ascii="Times New Roman" w:eastAsia="Calibri" w:hAnsi="Times New Roman"/>
                <w:noProof/>
                <w:sz w:val="24"/>
                <w:szCs w:val="24"/>
                <w:lang w:eastAsia="en-US" w:bidi="uk-UA"/>
              </w:rPr>
              <w:lastRenderedPageBreak/>
              <w:t xml:space="preserve">затвердженого наказом Мінфіну від 30 травня </w:t>
            </w:r>
            <w:r w:rsidR="00993DD8" w:rsidRPr="00FA4530">
              <w:rPr>
                <w:rFonts w:ascii="Times New Roman" w:eastAsia="Calibri" w:hAnsi="Times New Roman"/>
                <w:noProof/>
                <w:sz w:val="24"/>
                <w:szCs w:val="24"/>
                <w:lang w:eastAsia="en-US" w:bidi="uk-UA"/>
              </w:rPr>
              <w:br/>
              <w:t>2012 р. № 648, –</w:t>
            </w:r>
            <w:r w:rsidRPr="00FA4530">
              <w:rPr>
                <w:rFonts w:ascii="Times New Roman" w:eastAsia="Calibri" w:hAnsi="Times New Roman"/>
                <w:noProof/>
                <w:sz w:val="24"/>
                <w:szCs w:val="24"/>
                <w:lang w:eastAsia="en-US" w:bidi="uk-UA"/>
              </w:rPr>
              <w:t xml:space="preserve"> у редакції наказу Мінфіну </w:t>
            </w:r>
            <w:r w:rsidR="00993DD8" w:rsidRPr="00FA4530">
              <w:rPr>
                <w:rFonts w:ascii="Times New Roman" w:eastAsia="Calibri" w:hAnsi="Times New Roman"/>
                <w:noProof/>
                <w:sz w:val="24"/>
                <w:szCs w:val="24"/>
                <w:lang w:eastAsia="en-US" w:bidi="uk-UA"/>
              </w:rPr>
              <w:br/>
            </w:r>
            <w:r w:rsidRPr="00FA4530">
              <w:rPr>
                <w:rFonts w:ascii="Times New Roman" w:eastAsia="Calibri" w:hAnsi="Times New Roman"/>
                <w:noProof/>
                <w:sz w:val="24"/>
                <w:szCs w:val="24"/>
                <w:lang w:eastAsia="en-US" w:bidi="uk-UA"/>
              </w:rPr>
              <w:t xml:space="preserve">від </w:t>
            </w:r>
            <w:r w:rsidR="00993DD8" w:rsidRPr="00FA4530">
              <w:rPr>
                <w:rFonts w:ascii="Times New Roman" w:eastAsia="Calibri" w:hAnsi="Times New Roman"/>
                <w:noProof/>
                <w:sz w:val="24"/>
                <w:szCs w:val="24"/>
                <w:lang w:eastAsia="en-US" w:bidi="uk-UA"/>
              </w:rPr>
              <w:t>0</w:t>
            </w:r>
            <w:r w:rsidRPr="00FA4530">
              <w:rPr>
                <w:rFonts w:ascii="Times New Roman" w:eastAsia="Calibri" w:hAnsi="Times New Roman"/>
                <w:noProof/>
                <w:sz w:val="24"/>
                <w:szCs w:val="24"/>
                <w:lang w:eastAsia="en-US" w:bidi="uk-UA"/>
              </w:rPr>
              <w:t>9 червня 2020 р. № 282, відповідно до яких:</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1) зазначені нормативно-правові акти приведені у відповідність із змінами до Митного кодексу України, зазначеними у підпункті 2.3.1.2.1;</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2) митному органу надано право на проведення консультації з правовласником під час митного огляду товарів;</w:t>
            </w:r>
          </w:p>
          <w:p w:rsidR="00BE6656" w:rsidRPr="00FA4530" w:rsidRDefault="00BE6656" w:rsidP="00910F0E">
            <w:pPr>
              <w:spacing w:before="60"/>
              <w:rPr>
                <w:rFonts w:ascii="Times New Roman" w:eastAsia="Calibri" w:hAnsi="Times New Roman"/>
                <w:noProof/>
                <w:sz w:val="24"/>
                <w:szCs w:val="24"/>
                <w:lang w:eastAsia="en-US" w:bidi="uk-UA"/>
              </w:rPr>
            </w:pP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3) запроваджено реагування на систематичність випадків, коли правовласники, підтверджуючи висновок митного органу, що товари є такими, що підозрюються у порушенні прав інтелектуальної власності, відмовляються (не мають наміру) від застосування до таких товарів заходів щодо сприяння захисту прав інтелектуальної власності або інших дій, передбачених законодавством;</w:t>
            </w:r>
          </w:p>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4) запроваджено виключно електронну форму інформаційної взаємодії між митними органами та правовласниками (подання заяв до митного реєстру об’єктів прав інтелектуальної власності, застосування заходів щодо сприяння захисту прав інтелектуальної власності)</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день набрання чинності законом, зазначеним у підпункті 2.3.1.2.1</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два місяці з моменту набрання чинності законом, зазначеним у підпункті 2.3.1.2.1</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наказу про внесення змін розроблено та оприлюднено для проведення громадського обговорення</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2.3.1.2.3. Проведення громадського обговорення проекту наказу, зазначеного у підпункті 2.3.1.2.2, забезпечення його доопрацювання (у разі потреби), видання та подання на державну реєстрацію</w:t>
            </w:r>
          </w:p>
        </w:tc>
        <w:tc>
          <w:tcPr>
            <w:tcW w:w="1619"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три місяці з дня набрання чинності законом, зазначеним у підпункті 2.3.1.2.1</w:t>
            </w:r>
          </w:p>
        </w:tc>
        <w:tc>
          <w:tcPr>
            <w:tcW w:w="141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чотири місяці з дня набрання чинності законом, зазначеним у підпункті 2.3.1.2.1</w:t>
            </w:r>
          </w:p>
        </w:tc>
        <w:tc>
          <w:tcPr>
            <w:tcW w:w="3814" w:type="dxa"/>
            <w:hideMark/>
          </w:tcPr>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громадське обговорення проведено та оприлюднено його результати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2.3.1.2.4. Супроводження державної реєстрації наказу, зазначеного у підпункті 2.3.1.2.2, та його офіційного опублікування</w:t>
            </w:r>
          </w:p>
        </w:tc>
        <w:tc>
          <w:tcPr>
            <w:tcW w:w="1619"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п’ять місяців з дня набрання чинності законом, зазначеним у підпункті 2.3.1.2.1</w:t>
            </w:r>
          </w:p>
        </w:tc>
        <w:tc>
          <w:tcPr>
            <w:tcW w:w="141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п’ять місяців з дня набрання чинності законом, зазначеним у підпункті 2.3.1.2.1</w:t>
            </w:r>
          </w:p>
        </w:tc>
        <w:tc>
          <w:tcPr>
            <w:tcW w:w="3814" w:type="dxa"/>
            <w:hideMark/>
          </w:tcPr>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проведено державну реєстрацію наказу</w:t>
            </w:r>
          </w:p>
        </w:tc>
      </w:tr>
      <w:tr w:rsidR="00276FB5" w:rsidRPr="00FA4530" w:rsidTr="00910F0E">
        <w:trPr>
          <w:trHeight w:val="230"/>
        </w:trPr>
        <w:tc>
          <w:tcPr>
            <w:tcW w:w="21111" w:type="dxa"/>
            <w:gridSpan w:val="9"/>
            <w:hideMark/>
          </w:tcPr>
          <w:p w:rsidR="00136D4D" w:rsidRPr="00FA4530" w:rsidRDefault="00045D91" w:rsidP="00910F0E">
            <w:pPr>
              <w:spacing w:before="60"/>
              <w:jc w:val="both"/>
              <w:rPr>
                <w:rFonts w:ascii="Times New Roman" w:eastAsia="Calibri" w:hAnsi="Times New Roman"/>
                <w:noProof/>
                <w:sz w:val="24"/>
                <w:szCs w:val="24"/>
                <w:highlight w:val="yellow"/>
                <w:lang w:eastAsia="uk-UA" w:bidi="uk-UA"/>
              </w:rPr>
            </w:pPr>
            <w:r w:rsidRPr="00FA4530">
              <w:rPr>
                <w:rFonts w:ascii="Times New Roman" w:eastAsia="Calibri" w:hAnsi="Times New Roman"/>
                <w:sz w:val="24"/>
                <w:szCs w:val="24"/>
                <w:lang w:eastAsia="en-US" w:bidi="uk-UA"/>
              </w:rPr>
              <w:t xml:space="preserve">Проблема 2.3.2. </w:t>
            </w:r>
            <w:r w:rsidRPr="00FA4530">
              <w:rPr>
                <w:rFonts w:ascii="Times New Roman" w:eastAsia="Calibri" w:hAnsi="Times New Roman"/>
                <w:sz w:val="24"/>
                <w:szCs w:val="24"/>
                <w:lang w:eastAsia="en-US"/>
              </w:rPr>
              <w:t>Непрозорість підходів у класифікації товарів, визначенні їх митної вартості та призначенні перевірок</w:t>
            </w:r>
          </w:p>
        </w:tc>
      </w:tr>
      <w:tr w:rsidR="00117526" w:rsidRPr="00FA4530" w:rsidTr="00910F0E">
        <w:trPr>
          <w:trHeight w:val="230"/>
        </w:trPr>
        <w:tc>
          <w:tcPr>
            <w:tcW w:w="21111" w:type="dxa"/>
            <w:gridSpan w:val="9"/>
          </w:tcPr>
          <w:p w:rsidR="00117526" w:rsidRPr="00FA4530" w:rsidRDefault="00045D91" w:rsidP="00910F0E">
            <w:pPr>
              <w:spacing w:before="60"/>
              <w:jc w:val="both"/>
              <w:rPr>
                <w:rFonts w:ascii="Times New Roman" w:eastAsia="Calibri" w:hAnsi="Times New Roman"/>
                <w:noProof/>
                <w:sz w:val="24"/>
                <w:szCs w:val="24"/>
                <w:highlight w:val="yellow"/>
                <w:lang w:eastAsia="en-US"/>
              </w:rPr>
            </w:pPr>
            <w:r w:rsidRPr="00FA4530">
              <w:rPr>
                <w:rFonts w:ascii="Times New Roman" w:eastAsia="Calibri" w:hAnsi="Times New Roman"/>
                <w:sz w:val="24"/>
                <w:szCs w:val="24"/>
                <w:lang w:eastAsia="en-US"/>
              </w:rPr>
              <w:t>Очікуваний стратегічний результат 2.3.2.1. Створено умови для отримання Україною попередньої митної інформації від митних органів країн Європейського Союзу щодо товарів, що є об’єктами експорту в Україну з їх територій</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2.3.2.1.4. Розроблення та подання Кабінетові Міністрів України проекту закону, відповідно до якого положення Митного кодексу України в</w:t>
            </w:r>
            <w:r w:rsidRPr="00FA4530">
              <w:rPr>
                <w:rFonts w:ascii="Times New Roman" w:eastAsia="Calibri" w:hAnsi="Times New Roman"/>
                <w:noProof/>
                <w:sz w:val="24"/>
                <w:szCs w:val="24"/>
                <w:lang w:eastAsia="en-US"/>
              </w:rPr>
              <w:t xml:space="preserve"> редакції Закону України від 15 серпня 2022 р. </w:t>
            </w:r>
            <w:r w:rsidR="00993DD8" w:rsidRPr="00FA4530">
              <w:rPr>
                <w:rFonts w:ascii="Times New Roman" w:eastAsia="Calibri" w:hAnsi="Times New Roman"/>
                <w:noProof/>
                <w:sz w:val="24"/>
                <w:szCs w:val="24"/>
                <w:lang w:eastAsia="en-US"/>
              </w:rPr>
              <w:br/>
            </w:r>
            <w:r w:rsidRPr="00FA4530">
              <w:rPr>
                <w:rFonts w:ascii="Times New Roman" w:eastAsia="Calibri" w:hAnsi="Times New Roman"/>
                <w:noProof/>
                <w:sz w:val="24"/>
                <w:szCs w:val="24"/>
                <w:lang w:eastAsia="en-US"/>
              </w:rPr>
              <w:lastRenderedPageBreak/>
              <w:t>№ 2510-ІХ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що стосуються використання електронної транзитної системи, електронної системи управління гарантіями та їх складових,</w:t>
            </w:r>
            <w:r w:rsidRPr="00FA4530">
              <w:rPr>
                <w:rFonts w:ascii="Times New Roman" w:eastAsia="Calibri" w:hAnsi="Times New Roman"/>
                <w:noProof/>
                <w:sz w:val="24"/>
                <w:szCs w:val="24"/>
                <w:lang w:eastAsia="en-US" w:bidi="uk-UA"/>
              </w:rPr>
              <w:t xml:space="preserve"> </w:t>
            </w:r>
            <w:r w:rsidRPr="00FA4530">
              <w:rPr>
                <w:rFonts w:ascii="Times New Roman" w:eastAsia="Calibri" w:hAnsi="Times New Roman"/>
                <w:noProof/>
                <w:sz w:val="24"/>
                <w:szCs w:val="24"/>
                <w:lang w:eastAsia="en-US"/>
              </w:rPr>
              <w:t>доповнені положеннями щодо запровадження систем контролю імпорту та експорту, сумісних з тими, що використовуються в ЄС</w:t>
            </w:r>
          </w:p>
        </w:tc>
        <w:tc>
          <w:tcPr>
            <w:tcW w:w="1619"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січень</w:t>
            </w:r>
            <w:r w:rsidRPr="00FA4530">
              <w:rPr>
                <w:rFonts w:ascii="Times New Roman" w:eastAsia="Calibri" w:hAnsi="Times New Roman"/>
                <w:noProof/>
                <w:sz w:val="24"/>
                <w:szCs w:val="24"/>
                <w:lang w:eastAsia="en-US" w:bidi="uk-UA"/>
              </w:rPr>
              <w:br/>
              <w:t>2024 р.</w:t>
            </w:r>
          </w:p>
        </w:tc>
        <w:tc>
          <w:tcPr>
            <w:tcW w:w="141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серпень</w:t>
            </w:r>
            <w:r w:rsidRPr="00FA4530">
              <w:rPr>
                <w:rFonts w:ascii="Times New Roman" w:eastAsia="Calibri" w:hAnsi="Times New Roman"/>
                <w:noProof/>
                <w:sz w:val="24"/>
                <w:szCs w:val="24"/>
                <w:lang w:eastAsia="en-US" w:bidi="uk-UA"/>
              </w:rPr>
              <w:br/>
              <w:t>2024 р.</w:t>
            </w:r>
          </w:p>
        </w:tc>
        <w:tc>
          <w:tcPr>
            <w:tcW w:w="3814"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закону подано до Верховної Ради України</w:t>
            </w:r>
          </w:p>
        </w:tc>
      </w:tr>
      <w:tr w:rsidR="00045D91" w:rsidRPr="00FA4530" w:rsidTr="00910F0E">
        <w:trPr>
          <w:trHeight w:val="230"/>
        </w:trPr>
        <w:tc>
          <w:tcPr>
            <w:tcW w:w="21111" w:type="dxa"/>
            <w:gridSpan w:val="9"/>
          </w:tcPr>
          <w:p w:rsidR="00045D91" w:rsidRPr="00FA4530" w:rsidRDefault="00045D91"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sz w:val="24"/>
                <w:szCs w:val="24"/>
                <w:lang w:eastAsia="en-US"/>
              </w:rPr>
              <w:t>Очікуваний стратегічний результат 2.3.2.2. Запроваджено переважне адміністрування митних платежів за результатами пост-аудит контролю</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2.3.2.2.</w:t>
            </w:r>
            <w:r w:rsidRPr="00FA4530">
              <w:rPr>
                <w:rFonts w:ascii="Times New Roman" w:eastAsia="Calibri" w:hAnsi="Times New Roman"/>
                <w:noProof/>
                <w:sz w:val="24"/>
                <w:szCs w:val="24"/>
                <w:lang w:eastAsia="en-US" w:bidi="uk-UA"/>
              </w:rPr>
              <w:t>4. Розроблення проекту наказу щодо внесення змін до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Мінфіну від 31 липня 2015 р. № 684, відповідно до яких система управління ризиками застосовується для визначення необхідності проведення пост-митного контролю</w:t>
            </w:r>
          </w:p>
        </w:tc>
        <w:tc>
          <w:tcPr>
            <w:tcW w:w="1619"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лютий</w:t>
            </w:r>
            <w:r w:rsidRPr="00FA4530">
              <w:rPr>
                <w:rFonts w:ascii="Times New Roman" w:eastAsia="Calibri" w:hAnsi="Times New Roman"/>
                <w:noProof/>
                <w:sz w:val="24"/>
                <w:szCs w:val="24"/>
                <w:lang w:eastAsia="en-US" w:bidi="uk-UA"/>
              </w:rPr>
              <w:br/>
              <w:t>2024 р.</w:t>
            </w:r>
          </w:p>
        </w:tc>
        <w:tc>
          <w:tcPr>
            <w:tcW w:w="141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березень</w:t>
            </w:r>
            <w:r w:rsidRPr="00FA4530">
              <w:rPr>
                <w:rFonts w:ascii="Times New Roman" w:eastAsia="Calibri" w:hAnsi="Times New Roman"/>
                <w:noProof/>
                <w:sz w:val="24"/>
                <w:szCs w:val="24"/>
                <w:lang w:eastAsia="en-US" w:bidi="uk-UA"/>
              </w:rPr>
              <w:br/>
              <w:t>2024 р.</w:t>
            </w:r>
          </w:p>
        </w:tc>
        <w:tc>
          <w:tcPr>
            <w:tcW w:w="3814" w:type="dxa"/>
            <w:hideMark/>
          </w:tcPr>
          <w:p w:rsidR="001802BB" w:rsidRPr="00FA4530" w:rsidRDefault="001802BB" w:rsidP="00910F0E">
            <w:pPr>
              <w:spacing w:before="60" w:line="228" w:lineRule="auto"/>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line="228" w:lineRule="auto"/>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наказу оприлюднено для проведення громадського обговорення</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2.3.2.2.</w:t>
            </w:r>
            <w:r w:rsidRPr="00FA4530">
              <w:rPr>
                <w:rFonts w:ascii="Times New Roman" w:eastAsia="Calibri" w:hAnsi="Times New Roman"/>
                <w:noProof/>
                <w:sz w:val="24"/>
                <w:szCs w:val="24"/>
                <w:lang w:eastAsia="en-US" w:bidi="uk-UA"/>
              </w:rPr>
              <w:t xml:space="preserve">5. </w:t>
            </w:r>
            <w:r w:rsidRPr="00FA4530">
              <w:rPr>
                <w:rFonts w:ascii="Times New Roman" w:eastAsia="Calibri" w:hAnsi="Times New Roman"/>
                <w:noProof/>
                <w:sz w:val="24"/>
                <w:szCs w:val="24"/>
                <w:lang w:eastAsia="en-US"/>
              </w:rPr>
              <w:t xml:space="preserve">Проведення громадського обговорення проекту наказу, зазначеного </w:t>
            </w:r>
            <w:r w:rsidRPr="00FA4530">
              <w:rPr>
                <w:rFonts w:ascii="Times New Roman" w:eastAsia="Calibri" w:hAnsi="Times New Roman"/>
                <w:noProof/>
                <w:sz w:val="24"/>
                <w:szCs w:val="24"/>
                <w:lang w:eastAsia="en-US" w:bidi="uk-UA"/>
              </w:rPr>
              <w:t>у підпункті</w:t>
            </w:r>
            <w:r w:rsidRPr="00FA4530">
              <w:rPr>
                <w:rFonts w:ascii="Times New Roman" w:eastAsia="Calibri" w:hAnsi="Times New Roman"/>
                <w:noProof/>
                <w:sz w:val="24"/>
                <w:szCs w:val="24"/>
                <w:lang w:eastAsia="en-US"/>
              </w:rPr>
              <w:t xml:space="preserve"> 2.3.2.2.4, забезпечення його доопрацювання (у разі потреби), видання та подання на державну реєстрацію</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квітень</w:t>
            </w:r>
            <w:r w:rsidRPr="00FA4530">
              <w:rPr>
                <w:rFonts w:ascii="Times New Roman" w:eastAsia="Calibri" w:hAnsi="Times New Roman"/>
                <w:noProof/>
                <w:sz w:val="24"/>
                <w:szCs w:val="24"/>
                <w:lang w:eastAsia="en-US" w:bidi="uk-UA"/>
              </w:rPr>
              <w:br/>
              <w:t>2024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травень</w:t>
            </w:r>
            <w:r w:rsidRPr="00FA4530">
              <w:rPr>
                <w:rFonts w:ascii="Times New Roman" w:eastAsia="Calibri" w:hAnsi="Times New Roman"/>
                <w:noProof/>
                <w:sz w:val="24"/>
                <w:szCs w:val="24"/>
                <w:lang w:eastAsia="en-US" w:bidi="uk-UA"/>
              </w:rPr>
              <w:br/>
              <w:t>2024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громадське обговорення проведено та оприлюднено його результати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2.3.2.2.</w:t>
            </w:r>
            <w:r w:rsidRPr="00FA4530">
              <w:rPr>
                <w:rFonts w:ascii="Times New Roman" w:eastAsia="Calibri" w:hAnsi="Times New Roman"/>
                <w:noProof/>
                <w:sz w:val="24"/>
                <w:szCs w:val="24"/>
                <w:lang w:eastAsia="en-US" w:bidi="uk-UA"/>
              </w:rPr>
              <w:t xml:space="preserve">6. </w:t>
            </w:r>
            <w:r w:rsidRPr="00FA4530">
              <w:rPr>
                <w:rFonts w:ascii="Times New Roman" w:eastAsia="Calibri" w:hAnsi="Times New Roman"/>
                <w:noProof/>
                <w:sz w:val="24"/>
                <w:szCs w:val="24"/>
                <w:lang w:eastAsia="en-US"/>
              </w:rPr>
              <w:t xml:space="preserve">Супроводження державної реєстрації наказу, зазначеного </w:t>
            </w:r>
            <w:r w:rsidRPr="00FA4530">
              <w:rPr>
                <w:rFonts w:ascii="Times New Roman" w:eastAsia="Calibri" w:hAnsi="Times New Roman"/>
                <w:noProof/>
                <w:sz w:val="24"/>
                <w:szCs w:val="24"/>
                <w:lang w:eastAsia="en-US" w:bidi="uk-UA"/>
              </w:rPr>
              <w:t>у підпункті</w:t>
            </w:r>
            <w:r w:rsidRPr="00FA4530">
              <w:rPr>
                <w:rFonts w:ascii="Times New Roman" w:eastAsia="Calibri" w:hAnsi="Times New Roman"/>
                <w:noProof/>
                <w:sz w:val="24"/>
                <w:szCs w:val="24"/>
                <w:lang w:eastAsia="en-US"/>
              </w:rPr>
              <w:t xml:space="preserve"> 2.3.2.2.4, та його офіційного опублікування</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червень</w:t>
            </w:r>
            <w:r w:rsidRPr="00FA4530">
              <w:rPr>
                <w:rFonts w:ascii="Times New Roman" w:eastAsia="Calibri" w:hAnsi="Times New Roman"/>
                <w:noProof/>
                <w:sz w:val="24"/>
                <w:szCs w:val="24"/>
                <w:lang w:eastAsia="en-US" w:bidi="uk-UA"/>
              </w:rPr>
              <w:br/>
              <w:t>2024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червень</w:t>
            </w:r>
            <w:r w:rsidRPr="00FA4530">
              <w:rPr>
                <w:rFonts w:ascii="Times New Roman" w:eastAsia="Calibri" w:hAnsi="Times New Roman"/>
                <w:noProof/>
                <w:sz w:val="24"/>
                <w:szCs w:val="24"/>
                <w:lang w:eastAsia="en-US" w:bidi="uk-UA"/>
              </w:rPr>
              <w:br/>
              <w:t>2024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державну реєстрацію наказу здійснено </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 xml:space="preserve">Проблема 2.3.3. </w:t>
            </w:r>
            <w:r w:rsidRPr="00FA4530">
              <w:rPr>
                <w:rFonts w:ascii="Times New Roman" w:eastAsia="Calibri" w:hAnsi="Times New Roman"/>
                <w:noProof/>
                <w:sz w:val="24"/>
                <w:szCs w:val="24"/>
                <w:lang w:eastAsia="en-US"/>
              </w:rPr>
              <w:t>Недосконала процедура адміністративного оскарження дій посадових осіб митних органів</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2.3.3.1. Запроваджено ефективний і прозорий механізм розгляду скарг на дії посадових осіб митних органів, а також моніторинг результатів їх розгляду</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2.3.3.1.</w:t>
            </w:r>
            <w:r w:rsidRPr="00FA4530">
              <w:rPr>
                <w:rFonts w:ascii="Times New Roman" w:eastAsia="Calibri" w:hAnsi="Times New Roman"/>
                <w:noProof/>
                <w:sz w:val="24"/>
                <w:szCs w:val="24"/>
                <w:lang w:eastAsia="en-US" w:bidi="uk-UA"/>
              </w:rPr>
              <w:t>1. Розроблення та подання Кабінетові Міністрів України проекту закону щодо внесення змін до Митного кодексу України, відповідно до якого встановлено обов’язок невідкладного</w:t>
            </w:r>
            <w:r w:rsidR="00993DD8" w:rsidRPr="00FA4530">
              <w:rPr>
                <w:rFonts w:ascii="Times New Roman" w:eastAsia="Calibri" w:hAnsi="Times New Roman"/>
                <w:noProof/>
                <w:sz w:val="24"/>
                <w:szCs w:val="24"/>
                <w:lang w:eastAsia="en-US" w:bidi="uk-UA"/>
              </w:rPr>
              <w:t xml:space="preserve"> оприлюднення на офіційному веб</w:t>
            </w:r>
            <w:r w:rsidRPr="00FA4530">
              <w:rPr>
                <w:rFonts w:ascii="Times New Roman" w:eastAsia="Calibri" w:hAnsi="Times New Roman"/>
                <w:noProof/>
                <w:sz w:val="24"/>
                <w:szCs w:val="24"/>
                <w:lang w:eastAsia="en-US" w:bidi="uk-UA"/>
              </w:rPr>
              <w:t>сайті Держмитслужби знеособленого тексту всіх рішень за результатами розгляду скарг</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жовтень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закону подано до Верховної Ради України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Проблема 2.3.4. Втручання правоохоронних органів у роботу митних органів та зловживання під час передачі орієнтувань про здійснення переогляду товарів</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2.3.4.1. Мінімізовано підстави для втручання поза межами кримінального провадження працівників правоохоронних органів у роботу митних органів та для їх перебування в зонах митного контролю</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2.3.4.1.1. Розроблення та подання Кабінетові Міністрів України проекту постанови Кабінету Міністрів України про внесення змін до постанови Кабінету Міністрів України від 23 травня 2012 р. </w:t>
            </w:r>
            <w:r w:rsidR="00993DD8" w:rsidRPr="00FA4530">
              <w:rPr>
                <w:rFonts w:ascii="Times New Roman" w:eastAsia="Calibri" w:hAnsi="Times New Roman"/>
                <w:noProof/>
                <w:sz w:val="24"/>
                <w:szCs w:val="24"/>
                <w:lang w:eastAsia="en-US" w:bidi="uk-UA"/>
              </w:rPr>
              <w:br/>
            </w:r>
            <w:r w:rsidRPr="00FA4530">
              <w:rPr>
                <w:rFonts w:ascii="Times New Roman" w:eastAsia="Calibri" w:hAnsi="Times New Roman"/>
                <w:noProof/>
                <w:sz w:val="24"/>
                <w:szCs w:val="24"/>
                <w:lang w:eastAsia="en-US" w:bidi="uk-UA"/>
              </w:rPr>
              <w:t xml:space="preserve">№ 467, відповідно до якої із вичерпного переліку підстав, за наявності яких може проводитись огляд </w:t>
            </w:r>
            <w:r w:rsidRPr="00FA4530">
              <w:rPr>
                <w:rFonts w:ascii="Times New Roman" w:eastAsia="Calibri" w:hAnsi="Times New Roman"/>
                <w:noProof/>
                <w:sz w:val="24"/>
                <w:szCs w:val="24"/>
                <w:lang w:eastAsia="en-US" w:bidi="uk-UA"/>
              </w:rPr>
              <w:lastRenderedPageBreak/>
              <w:t>(переогляд) товарів, транспортних засобів комерційного призначення органами доходів і зборів України, виключено пункт 14 та додаток до вичерпного переліку</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травень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митної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постанову Кабінету Міністрів України прийнято</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 xml:space="preserve">Проблема 2.3.5. </w:t>
            </w:r>
            <w:r w:rsidRPr="00FA4530">
              <w:rPr>
                <w:rFonts w:ascii="Times New Roman" w:eastAsia="Calibri" w:hAnsi="Times New Roman"/>
                <w:noProof/>
                <w:sz w:val="24"/>
                <w:szCs w:val="24"/>
                <w:lang w:eastAsia="en-US"/>
              </w:rPr>
              <w:t>Надмірний обсяг дискреційних повноважень у працівників органів податкової служби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2.3.5.1. Унеможливлено необґрунтований вплив суб’єктивних чинників під час виконання посадовими особами органів податкової служби своїх повноважень</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bCs/>
                <w:noProof/>
                <w:sz w:val="24"/>
                <w:szCs w:val="24"/>
                <w:lang w:eastAsia="en-US"/>
              </w:rPr>
              <w:t>2.3.5.1.</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xml:space="preserve"> Розроблення проекту наказу про внесення змін до Порядку функціонування Електронного кабінету, затвердженого наказом Мінфіну </w:t>
            </w:r>
            <w:r w:rsidRPr="00FA4530">
              <w:rPr>
                <w:rFonts w:ascii="Times New Roman" w:eastAsia="Calibri" w:hAnsi="Times New Roman"/>
                <w:noProof/>
                <w:sz w:val="24"/>
                <w:szCs w:val="24"/>
                <w:lang w:eastAsia="en-US" w:bidi="uk-UA"/>
              </w:rPr>
              <w:br/>
              <w:t>від 14 липня 2017 р. № 637, щодо:</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а) отримання платником податків додаткової податкової інформації (інформація щодо включення/виключення з переліку платників, які відповідають критеріям ризиковості платника податку, інформація про зупинення реєстрації податкових накладних/розрахунків коригування тощо) про інших платників податків за попередньо наданою згодою таких осіб, у вигляді документа за встановленою формою, в електронній формі з накладенням кваліфікованої електронної печатки контролюючого органу;</w:t>
            </w:r>
          </w:p>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 розширення сервісів електронного кабінету платника податків шляхом впровадження нових електронних сервісів, що дають змогу, в тому числі, здійснювати листування контролюючих органів через електронний кабінет з платниками податків, які подають звітність в електронній формі, та/або пройшли електронну ідентифікацію онлайн в електронному кабінеті, та які подали заяву про намір отримувати документи через електронний кабінет</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квітень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наказу розроблено та оприлюднено для проведення громадського обговорення</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rPr>
              <w:t>2.3.5.1.</w:t>
            </w:r>
            <w:r w:rsidRPr="00FA4530">
              <w:rPr>
                <w:rFonts w:ascii="Times New Roman" w:eastAsia="Calibri" w:hAnsi="Times New Roman"/>
                <w:bCs/>
                <w:noProof/>
                <w:sz w:val="24"/>
                <w:szCs w:val="24"/>
                <w:lang w:eastAsia="en-US" w:bidi="uk-UA"/>
              </w:rPr>
              <w:t xml:space="preserve">2. </w:t>
            </w:r>
            <w:r w:rsidRPr="00FA4530">
              <w:rPr>
                <w:rFonts w:ascii="Times New Roman" w:eastAsia="Calibri" w:hAnsi="Times New Roman"/>
                <w:noProof/>
                <w:sz w:val="24"/>
                <w:szCs w:val="24"/>
                <w:lang w:eastAsia="en-US" w:bidi="uk-UA"/>
              </w:rPr>
              <w:t>Погодження проекту наказу, зазначеного у підпункті 2.3.5.1.1, із заінтересованими органами та забезпечення його доопрацювання (у разі потреби)</w:t>
            </w:r>
          </w:p>
        </w:tc>
        <w:tc>
          <w:tcPr>
            <w:tcW w:w="1619" w:type="dxa"/>
            <w:hideMark/>
          </w:tcPr>
          <w:p w:rsidR="001802BB" w:rsidRPr="00FA4530" w:rsidRDefault="001802BB" w:rsidP="00910F0E">
            <w:pPr>
              <w:spacing w:before="60"/>
              <w:ind w:right="-113"/>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травень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червень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p w:rsidR="001802BB" w:rsidRPr="00FA4530" w:rsidRDefault="001802BB" w:rsidP="00910F0E">
            <w:pPr>
              <w:rPr>
                <w:rFonts w:ascii="Times New Roman" w:hAnsi="Times New Roman"/>
                <w:sz w:val="24"/>
                <w:szCs w:val="24"/>
              </w:rPr>
            </w:pP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громадське обговорення проведено та оприлюднено його результати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rPr>
              <w:t>2.3.5.1.</w:t>
            </w:r>
            <w:r w:rsidRPr="00FA4530">
              <w:rPr>
                <w:rFonts w:ascii="Times New Roman" w:eastAsia="Calibri" w:hAnsi="Times New Roman"/>
                <w:bCs/>
                <w:noProof/>
                <w:sz w:val="24"/>
                <w:szCs w:val="24"/>
                <w:lang w:eastAsia="en-US" w:bidi="uk-UA"/>
              </w:rPr>
              <w:t>3.</w:t>
            </w:r>
            <w:r w:rsidRPr="00FA4530">
              <w:rPr>
                <w:rFonts w:ascii="Times New Roman" w:eastAsia="Calibri" w:hAnsi="Times New Roman"/>
                <w:noProof/>
                <w:sz w:val="24"/>
                <w:szCs w:val="24"/>
                <w:lang w:eastAsia="en-US" w:bidi="uk-UA"/>
              </w:rPr>
              <w:t xml:space="preserve"> Супроводження державної реєстрації наказу, зазначеного у підпункті 2.3.5.1.1, у Мінʼюсті </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липень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липень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наказ видано, оприлюднено, проведено його державну реєстрацію та включено до Єдиного державного реєстру нормативно-правових актів</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2.3.5.2. Зменшено перелік підстав для проведення перевірок органами податкової служби, а також кількість перевірок з безпосереднім контактом із платником податку</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xml:space="preserve"> Здійснення експертизи проектів законів, які передбачають внесення змін до Податкового кодексу України щодо періодичності та порядку проведення документальних планових перевірок </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2025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експертизи проведено</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2.3.5.2.2.</w:t>
            </w:r>
            <w:r w:rsidRPr="00FA4530">
              <w:rPr>
                <w:rFonts w:ascii="Times New Roman" w:eastAsia="Calibri" w:hAnsi="Times New Roman"/>
                <w:noProof/>
                <w:sz w:val="24"/>
                <w:szCs w:val="24"/>
                <w:lang w:eastAsia="en-US" w:bidi="uk-UA"/>
              </w:rPr>
              <w:t xml:space="preserve"> Підготовка за результатами проведеної експертизи експертних висновків відповідно до </w:t>
            </w:r>
            <w:r w:rsidRPr="00FA4530">
              <w:rPr>
                <w:rFonts w:ascii="Times New Roman" w:eastAsia="Calibri" w:hAnsi="Times New Roman"/>
                <w:noProof/>
                <w:sz w:val="24"/>
                <w:szCs w:val="24"/>
                <w:lang w:eastAsia="en-US" w:bidi="uk-UA"/>
              </w:rPr>
              <w:br/>
              <w:t xml:space="preserve">статті 27 Бюджетного кодексу України та </w:t>
            </w:r>
            <w:r w:rsidRPr="00FA4530">
              <w:rPr>
                <w:rFonts w:ascii="Times New Roman" w:eastAsia="Calibri" w:hAnsi="Times New Roman"/>
                <w:noProof/>
                <w:sz w:val="24"/>
                <w:szCs w:val="24"/>
                <w:lang w:eastAsia="en-US" w:bidi="uk-UA"/>
              </w:rPr>
              <w:lastRenderedPageBreak/>
              <w:t>експертних висновків</w:t>
            </w:r>
            <w:r w:rsidRPr="00FA4530">
              <w:rPr>
                <w:rFonts w:ascii="Times New Roman" w:eastAsia="Calibri" w:hAnsi="Times New Roman"/>
                <w:bCs/>
                <w:noProof/>
                <w:sz w:val="24"/>
                <w:szCs w:val="24"/>
                <w:shd w:val="clear" w:color="auto" w:fill="FFFFFF"/>
                <w:lang w:eastAsia="en-US"/>
              </w:rPr>
              <w:t xml:space="preserve"> </w:t>
            </w:r>
            <w:r w:rsidRPr="00FA4530">
              <w:rPr>
                <w:rFonts w:ascii="Times New Roman" w:eastAsia="Calibri" w:hAnsi="Times New Roman"/>
                <w:noProof/>
                <w:sz w:val="24"/>
                <w:szCs w:val="24"/>
                <w:lang w:eastAsia="en-US" w:bidi="uk-UA"/>
              </w:rPr>
              <w:t xml:space="preserve"> по суті до проектів законів, які містять положення, зазначені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xml:space="preserve"> </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2025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підготовлено експертні висновки </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2.3.5.2.3.</w:t>
            </w:r>
            <w:r w:rsidRPr="00FA4530">
              <w:rPr>
                <w:rFonts w:ascii="Times New Roman" w:eastAsia="Calibri" w:hAnsi="Times New Roman"/>
                <w:noProof/>
                <w:sz w:val="24"/>
                <w:szCs w:val="24"/>
                <w:lang w:eastAsia="en-US" w:bidi="uk-UA"/>
              </w:rPr>
              <w:t xml:space="preserve"> Супроводження розгляду в комітетах Верховної Ради України та на пленарних засіданнях Верховної Ради України проектів законів, зазначених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xml:space="preserve"> </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2025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забезпечено супроводження проектів законів, які містять положення, зазначені у підпункті </w:t>
            </w: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2.3.5.2.4.</w:t>
            </w:r>
            <w:r w:rsidRPr="00FA4530">
              <w:rPr>
                <w:rFonts w:ascii="Times New Roman" w:eastAsia="Calibri" w:hAnsi="Times New Roman"/>
                <w:noProof/>
                <w:sz w:val="24"/>
                <w:szCs w:val="24"/>
                <w:lang w:eastAsia="en-US" w:bidi="uk-UA"/>
              </w:rPr>
              <w:t xml:space="preserve"> Підготовка пропозицій стосовно доцільності застосування Президентом України права вето до прийнятих Верховною Радою України законів, зазначених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xml:space="preserve"> </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2025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пропозиції щодо доцільності застосування права вето до законів, зазначених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bCs/>
                <w:noProof/>
                <w:sz w:val="24"/>
                <w:szCs w:val="24"/>
                <w:lang w:eastAsia="en-US"/>
              </w:rPr>
              <w:t>2.3.5.2.</w:t>
            </w:r>
            <w:r w:rsidRPr="00FA4530">
              <w:rPr>
                <w:rFonts w:ascii="Times New Roman" w:eastAsia="Calibri" w:hAnsi="Times New Roman"/>
                <w:bCs/>
                <w:noProof/>
                <w:sz w:val="24"/>
                <w:szCs w:val="24"/>
                <w:lang w:eastAsia="en-US" w:bidi="uk-UA"/>
              </w:rPr>
              <w:t>1</w:t>
            </w:r>
            <w:r w:rsidRPr="00FA4530">
              <w:rPr>
                <w:rFonts w:ascii="Times New Roman" w:eastAsia="Calibri" w:hAnsi="Times New Roman"/>
                <w:noProof/>
                <w:sz w:val="24"/>
                <w:szCs w:val="24"/>
                <w:lang w:eastAsia="en-US" w:bidi="uk-UA"/>
              </w:rPr>
              <w:t>, подано Кабінетові Міністрів України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 xml:space="preserve">Проблема 2.3.6. </w:t>
            </w:r>
            <w:r w:rsidRPr="00FA4530">
              <w:rPr>
                <w:rFonts w:ascii="Times New Roman" w:eastAsia="Calibri" w:hAnsi="Times New Roman"/>
                <w:noProof/>
                <w:sz w:val="24"/>
                <w:szCs w:val="24"/>
                <w:lang w:eastAsia="en-US"/>
              </w:rPr>
              <w:t>Проблема. Наявність в органів податкової служби функцій щодо застосування фінансових санкцій та надмірна зосередженість роботи зазначених органів на їх застосуванні призводять до корупційних ризиків</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2.3.6.2. Основним критерієм для оцінки ефективності роботи органів податкової служби та їх посадових осіб є ступінь дотримання вимог законодавства із сплати податків, а не виконання плану із надходжень до бюджету</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2.3.6.2.1.</w:t>
            </w:r>
            <w:r w:rsidRPr="00FA4530">
              <w:rPr>
                <w:rFonts w:ascii="Times New Roman" w:eastAsia="Calibri" w:hAnsi="Times New Roman"/>
                <w:noProof/>
                <w:sz w:val="24"/>
                <w:szCs w:val="24"/>
                <w:lang w:eastAsia="en-US" w:bidi="uk-UA"/>
              </w:rPr>
              <w:t xml:space="preserve"> Розроблення та подання Кабінетові Міністрів України проекту закону щодо внесення змін до Податкового кодексу України, яким передбачено затвердження Мінфіном переліку ключових показників ефективності ДПС та Методики їх розрахунку</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травень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закону подано до Верховної Ради України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bCs/>
                <w:noProof/>
                <w:sz w:val="24"/>
                <w:szCs w:val="24"/>
                <w:lang w:eastAsia="en-US" w:bidi="uk-UA"/>
              </w:rPr>
              <w:t>2.3.6.2.2.</w:t>
            </w:r>
            <w:r w:rsidRPr="00FA4530">
              <w:rPr>
                <w:rFonts w:ascii="Times New Roman" w:eastAsia="Calibri" w:hAnsi="Times New Roman"/>
                <w:noProof/>
                <w:sz w:val="24"/>
                <w:szCs w:val="24"/>
                <w:lang w:eastAsia="en-US" w:bidi="uk-UA"/>
              </w:rPr>
              <w:t xml:space="preserve"> Розроблення проекту наказу Мінфіну, відповідно до якого:</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1) затверджено ключові показники ефективності роботи ДПС, які дають змогу оцінити, зокрема:</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а) повноту вжитих податковими органами заходів щодо дотримання платниками податків вимог податкового законодавства;</w:t>
            </w:r>
          </w:p>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б) рівень задоволеності платників податків послугами ДПС;</w:t>
            </w:r>
          </w:p>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2) передбачено звітування про результати виконання переліку ключових показників ефективності</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один місяць з дня набрання чинності законом, зазначеним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noProof/>
                <w:sz w:val="24"/>
                <w:szCs w:val="24"/>
                <w:lang w:eastAsia="en-US" w:bidi="uk-UA"/>
              </w:rPr>
              <w:t>2.3.6.2.1</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два місяці з дня набрання чинності законом, зазначеним у підпункті</w:t>
            </w:r>
            <w:r w:rsidRPr="00FA4530">
              <w:rPr>
                <w:rFonts w:ascii="Times New Roman" w:eastAsia="Calibri" w:hAnsi="Times New Roman"/>
                <w:bCs/>
                <w:noProof/>
                <w:sz w:val="24"/>
                <w:szCs w:val="24"/>
                <w:lang w:eastAsia="en-US" w:bidi="uk-UA"/>
              </w:rPr>
              <w:t xml:space="preserve"> </w:t>
            </w:r>
            <w:r w:rsidRPr="00FA4530">
              <w:rPr>
                <w:rFonts w:ascii="Times New Roman" w:eastAsia="Calibri" w:hAnsi="Times New Roman"/>
                <w:noProof/>
                <w:sz w:val="24"/>
                <w:szCs w:val="24"/>
                <w:lang w:eastAsia="en-US" w:bidi="uk-UA"/>
              </w:rPr>
              <w:t>2.3.6.2.1</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наказу розроблено та оприлюднено для проведення громадського обговорення</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2.3.6.2.3.</w:t>
            </w:r>
            <w:r w:rsidRPr="00FA4530">
              <w:rPr>
                <w:rFonts w:ascii="Times New Roman" w:eastAsia="Calibri" w:hAnsi="Times New Roman"/>
                <w:noProof/>
                <w:sz w:val="24"/>
                <w:szCs w:val="24"/>
                <w:lang w:eastAsia="en-US" w:bidi="uk-UA"/>
              </w:rPr>
              <w:t xml:space="preserve"> Видання наказу, зазначеного у підпункті 2.3.6.2.2, супроводження його державної реєстрації у Мінʼюсті</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чотири місяці з дня набрання чинності законом, зазначеним у підпункті 2.3.6.2.1</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до державної реєстрації у Мін’юсті</w:t>
            </w:r>
          </w:p>
        </w:tc>
        <w:tc>
          <w:tcPr>
            <w:tcW w:w="3814" w:type="dxa"/>
            <w:hideMark/>
          </w:tcPr>
          <w:p w:rsidR="001802BB" w:rsidRPr="00FA4530" w:rsidRDefault="00200885" w:rsidP="00910F0E">
            <w:pPr>
              <w:rPr>
                <w:rFonts w:ascii="Times New Roman" w:hAnsi="Times New Roman"/>
                <w:sz w:val="24"/>
                <w:szCs w:val="24"/>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наказ видано, оприлюднено, проведено його державну реєстрацію та включено до Єдиного державного реєстру нормативно-правових актів</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2.3.6.3. Пріоритетним напрямом роботи органів податкової служби є консультації та роз’яснення для платників податків</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rPr>
              <w:t>2.3.6.3.</w:t>
            </w:r>
            <w:r w:rsidRPr="00FA4530">
              <w:rPr>
                <w:rFonts w:ascii="Times New Roman" w:eastAsia="Calibri" w:hAnsi="Times New Roman"/>
                <w:bCs/>
                <w:noProof/>
                <w:sz w:val="24"/>
                <w:szCs w:val="24"/>
                <w:lang w:eastAsia="uk-UA" w:bidi="uk-UA"/>
              </w:rPr>
              <w:t>1.</w:t>
            </w:r>
            <w:r w:rsidRPr="00FA4530">
              <w:rPr>
                <w:rFonts w:ascii="Times New Roman" w:eastAsia="Calibri" w:hAnsi="Times New Roman"/>
                <w:noProof/>
                <w:sz w:val="24"/>
                <w:szCs w:val="24"/>
                <w:lang w:eastAsia="uk-UA" w:bidi="uk-UA"/>
              </w:rPr>
              <w:t xml:space="preserve"> Розроблення не менше 12 узагальнюючих податкових консультацій, у тому числі з урахуванням пропозицій Експертної ради з питань підготовки узагальнюючих податкових консультацій при Мінфіні, а також щодо наданих </w:t>
            </w:r>
            <w:r w:rsidRPr="00FA4530">
              <w:rPr>
                <w:rFonts w:ascii="Times New Roman" w:eastAsia="Calibri" w:hAnsi="Times New Roman"/>
                <w:noProof/>
                <w:sz w:val="24"/>
                <w:szCs w:val="24"/>
                <w:lang w:eastAsia="uk-UA" w:bidi="uk-UA"/>
              </w:rPr>
              <w:lastRenderedPageBreak/>
              <w:t>громадськістю та представниками бізнесу тем та їх затвердження</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березень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грудень</w:t>
            </w:r>
            <w:r w:rsidRPr="00FA4530">
              <w:rPr>
                <w:rFonts w:ascii="Times New Roman" w:eastAsia="Calibri" w:hAnsi="Times New Roman"/>
                <w:noProof/>
                <w:sz w:val="24"/>
                <w:szCs w:val="24"/>
                <w:lang w:eastAsia="uk-UA" w:bidi="uk-UA"/>
              </w:rPr>
              <w:br/>
              <w:t>2025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12 узагальнюючих податкових консультацій затверджено наказами Мінфіну</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rPr>
              <w:t>2.3.6.3.</w:t>
            </w:r>
            <w:r w:rsidRPr="00FA4530">
              <w:rPr>
                <w:rFonts w:ascii="Times New Roman" w:eastAsia="Calibri" w:hAnsi="Times New Roman"/>
                <w:bCs/>
                <w:noProof/>
                <w:sz w:val="24"/>
                <w:szCs w:val="24"/>
                <w:lang w:eastAsia="uk-UA" w:bidi="uk-UA"/>
              </w:rPr>
              <w:t>2. Розроблення проекту наказу про внесення змін до Положення про Експертну раду з питань підготовки узагальнюючих податкових консультацій при Міністерстві фінансів України, затвердженого наказом Мінфіну від 20 листопада 2017 р. № 948, якими буде створено умови для онлайн способу отримання інформації від громадян та бізнесу про обставини, що свідчать про неоднозначність окремих норм податкового та іншого законодавства, контроль за дотриманням якого покладено на контролюючі органи</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березень</w:t>
            </w:r>
            <w:r w:rsidRPr="00FA4530">
              <w:rPr>
                <w:rFonts w:ascii="Times New Roman" w:eastAsia="Calibri" w:hAnsi="Times New Roman"/>
                <w:noProof/>
                <w:sz w:val="24"/>
                <w:szCs w:val="24"/>
                <w:lang w:eastAsia="uk-UA"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квітень</w:t>
            </w:r>
            <w:r w:rsidRPr="00FA4530">
              <w:rPr>
                <w:rFonts w:ascii="Times New Roman" w:eastAsia="Calibri" w:hAnsi="Times New Roman"/>
                <w:noProof/>
                <w:sz w:val="24"/>
                <w:szCs w:val="24"/>
                <w:lang w:eastAsia="uk-UA" w:bidi="uk-UA"/>
              </w:rPr>
              <w:br/>
              <w:t>2023 р.</w:t>
            </w:r>
          </w:p>
        </w:tc>
        <w:tc>
          <w:tcPr>
            <w:tcW w:w="3814" w:type="dxa"/>
            <w:hideMark/>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uk-UA" w:bidi="uk-UA"/>
              </w:rPr>
              <w:t xml:space="preserve">проект наказу оприлюднено </w:t>
            </w:r>
          </w:p>
        </w:tc>
      </w:tr>
      <w:tr w:rsidR="00276FB5" w:rsidRPr="00FA4530" w:rsidTr="00910F0E">
        <w:trPr>
          <w:trHeight w:val="230"/>
        </w:trPr>
        <w:tc>
          <w:tcPr>
            <w:tcW w:w="21111" w:type="dxa"/>
            <w:gridSpan w:val="9"/>
            <w:hideMark/>
          </w:tcPr>
          <w:p w:rsidR="00136D4D" w:rsidRPr="00FA4530" w:rsidRDefault="00136D4D" w:rsidP="00910F0E">
            <w:pPr>
              <w:spacing w:before="60" w:line="233" w:lineRule="auto"/>
              <w:ind w:firstLine="8249"/>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2.4. Державний та приватний сектори економіки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Проблема 2.4.4. Високий рівень толерування корупції у приватному секторі економіки</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2.4.4.1. Внесено зміни до законодавства, які запроваджують стимулювання приватного сектору економіки для підвищення добропорядності ведення бізнесу</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2.4.4.1.8. Проведення аналізу положень Рекомендації Ради ОЕСР щодо податкових заходів для подальшої боротьби із підкупом іноземних посадових осіб в міжнародних бізнес-операціях [C(2009)64)] та встановлення прогалин в українському законодавстві, що потребують заповнення відповідно до зазначеної Рекомендації</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червень</w:t>
            </w:r>
            <w:r w:rsidRPr="00FA4530">
              <w:rPr>
                <w:rFonts w:ascii="Times New Roman" w:eastAsia="Calibri" w:hAnsi="Times New Roman"/>
                <w:noProof/>
                <w:sz w:val="24"/>
                <w:szCs w:val="24"/>
                <w:lang w:eastAsia="en-US" w:bidi="uk-UA"/>
              </w:rPr>
              <w:br/>
              <w:t>2023 р.</w:t>
            </w:r>
          </w:p>
          <w:p w:rsidR="001802BB" w:rsidRPr="00FA4530" w:rsidRDefault="001802BB" w:rsidP="00910F0E">
            <w:pPr>
              <w:spacing w:before="60"/>
              <w:rPr>
                <w:rFonts w:ascii="Times New Roman" w:eastAsia="Calibri" w:hAnsi="Times New Roman"/>
                <w:noProof/>
                <w:sz w:val="24"/>
                <w:szCs w:val="24"/>
                <w:lang w:eastAsia="en-US" w:bidi="uk-UA"/>
              </w:rPr>
            </w:pP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міжнародного оподаткування</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 та/або кошти міжнародної технічної допомоги</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 та/або коштів міжнародної технічної допомоги</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підготовлено аналітичну довідку/порівняльну таблицю про співвідношення норм актів ОЕСР та українського законодавства</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2.4.4.1.9. Розроблення та подання Кабінетові Міністрів України проекту закону, яким вносяться зміни до законодавства для їх апроксимації до норм Рекомендації Ради ОЕСР щодо податкових заходів для подальшої боротьби із підкупом іноземних посадових осіб в міжнародних бізнес-операціях [C(2009)64)]</w:t>
            </w:r>
          </w:p>
        </w:tc>
        <w:tc>
          <w:tcPr>
            <w:tcW w:w="1619"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червень</w:t>
            </w:r>
            <w:r w:rsidRPr="00FA4530">
              <w:rPr>
                <w:rFonts w:ascii="Times New Roman" w:eastAsia="Calibri" w:hAnsi="Times New Roman"/>
                <w:noProof/>
                <w:sz w:val="24"/>
                <w:szCs w:val="24"/>
                <w:lang w:eastAsia="en-US" w:bidi="uk-UA"/>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міжнародного оподаткування</w:t>
            </w:r>
          </w:p>
        </w:tc>
        <w:tc>
          <w:tcPr>
            <w:tcW w:w="1647"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державний бюджет та/або кошти міжнародної технічної допомоги</w:t>
            </w:r>
          </w:p>
        </w:tc>
        <w:tc>
          <w:tcPr>
            <w:tcW w:w="2651"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 та/або коштів міжнародної технічної допомоги</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проект закону розроблено та оприлюднено для громадського обговорення</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rPr>
              <w:t>2.4.4.1.13. Забезпечення сплати внесків до Робочої групи ОЕСР щодо боротьби з хабарництвом у міжнародних ділових операціях за участь у її діяльності</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грудень</w:t>
            </w:r>
            <w:r w:rsidRPr="00FA4530">
              <w:rPr>
                <w:rFonts w:ascii="Times New Roman" w:eastAsia="Calibri" w:hAnsi="Times New Roman"/>
                <w:noProof/>
                <w:sz w:val="24"/>
                <w:szCs w:val="24"/>
                <w:lang w:eastAsia="en-US" w:bidi="uk-UA"/>
              </w:rPr>
              <w:br/>
              <w:t>2025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міжнародного оподаткування</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 та/або кошти міжнародної технічної допомоги</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 та/або коштів міжнародної технічної допомоги</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внески сплачено вчасно і в повному обсязі</w:t>
            </w:r>
          </w:p>
        </w:tc>
      </w:tr>
      <w:tr w:rsidR="00276FB5" w:rsidRPr="00FA4530" w:rsidTr="00910F0E">
        <w:trPr>
          <w:trHeight w:val="230"/>
        </w:trPr>
        <w:tc>
          <w:tcPr>
            <w:tcW w:w="21111" w:type="dxa"/>
            <w:gridSpan w:val="9"/>
            <w:hideMark/>
          </w:tcPr>
          <w:p w:rsidR="009D11C0" w:rsidRPr="00FA4530" w:rsidRDefault="009D11C0"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Очікуваний стратегічний результат 2.4.4.6. Запроваджено ефективні механізми верифікації інформації про кінцевих бенефіціарних власників юридичних осіб приватного права у Єдиному державному реєстрі юридичних осіб, фізичних осіб </w:t>
            </w:r>
            <w:r w:rsidR="00993DD8" w:rsidRPr="00FA4530">
              <w:rPr>
                <w:rFonts w:ascii="Times New Roman" w:eastAsia="Calibri" w:hAnsi="Times New Roman"/>
                <w:noProof/>
                <w:sz w:val="24"/>
                <w:szCs w:val="24"/>
                <w:lang w:eastAsia="uk-UA" w:bidi="uk-UA"/>
              </w:rPr>
              <w:t>–</w:t>
            </w:r>
            <w:r w:rsidRPr="00FA4530">
              <w:rPr>
                <w:rFonts w:ascii="Times New Roman" w:eastAsia="Calibri" w:hAnsi="Times New Roman"/>
                <w:noProof/>
                <w:sz w:val="24"/>
                <w:szCs w:val="24"/>
                <w:lang w:eastAsia="en-US"/>
              </w:rPr>
              <w:t xml:space="preserve"> підприємців та громадських формувань</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2.4.4.6.1. </w:t>
            </w:r>
            <w:r w:rsidRPr="00FA4530">
              <w:rPr>
                <w:rFonts w:ascii="Times New Roman" w:eastAsia="Calibri" w:hAnsi="Times New Roman"/>
                <w:bCs/>
                <w:noProof/>
                <w:sz w:val="24"/>
                <w:szCs w:val="24"/>
                <w:lang w:eastAsia="en-US" w:bidi="uk-UA"/>
              </w:rPr>
              <w:t>Розроблення проекту Положення про форму та зміст структури власності юридичної особи</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травень </w:t>
            </w:r>
            <w:r w:rsidRPr="00FA4530">
              <w:rPr>
                <w:rFonts w:ascii="Times New Roman" w:eastAsia="Calibri" w:hAnsi="Times New Roman"/>
                <w:noProof/>
                <w:sz w:val="24"/>
                <w:szCs w:val="24"/>
                <w:lang w:eastAsia="en-US"/>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проект Положення розроблено</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2.4.4.6.2. </w:t>
            </w:r>
            <w:r w:rsidRPr="00FA4530">
              <w:rPr>
                <w:rFonts w:ascii="Times New Roman" w:eastAsia="Calibri" w:hAnsi="Times New Roman"/>
                <w:bCs/>
                <w:noProof/>
                <w:sz w:val="24"/>
                <w:szCs w:val="24"/>
                <w:lang w:eastAsia="en-US" w:bidi="uk-UA"/>
              </w:rPr>
              <w:t xml:space="preserve">Погодження проекту положення, </w:t>
            </w:r>
            <w:r w:rsidRPr="00FA4530">
              <w:rPr>
                <w:rFonts w:ascii="Times New Roman" w:eastAsia="Calibri" w:hAnsi="Times New Roman"/>
                <w:noProof/>
                <w:sz w:val="24"/>
                <w:szCs w:val="24"/>
                <w:lang w:eastAsia="en-US"/>
              </w:rPr>
              <w:t xml:space="preserve">зазначеного у підпункті </w:t>
            </w:r>
            <w:r w:rsidRPr="00FA4530">
              <w:rPr>
                <w:rFonts w:ascii="Times New Roman" w:eastAsia="Calibri" w:hAnsi="Times New Roman"/>
                <w:noProof/>
                <w:sz w:val="24"/>
                <w:szCs w:val="24"/>
                <w:lang w:eastAsia="en-US" w:bidi="uk-UA"/>
              </w:rPr>
              <w:t>2.4.4.6.</w:t>
            </w:r>
            <w:r w:rsidRPr="00FA4530">
              <w:rPr>
                <w:rFonts w:ascii="Times New Roman" w:eastAsia="Calibri" w:hAnsi="Times New Roman"/>
                <w:noProof/>
                <w:sz w:val="24"/>
                <w:szCs w:val="24"/>
                <w:lang w:eastAsia="en-US"/>
              </w:rPr>
              <w:t xml:space="preserve">1, </w:t>
            </w:r>
            <w:r w:rsidRPr="00FA4530">
              <w:rPr>
                <w:rFonts w:ascii="Times New Roman" w:eastAsia="Calibri" w:hAnsi="Times New Roman"/>
                <w:noProof/>
                <w:sz w:val="24"/>
                <w:szCs w:val="24"/>
                <w:lang w:eastAsia="en-US" w:bidi="uk-UA"/>
              </w:rPr>
              <w:t>із заінтересованими органами</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травень </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серпень </w:t>
            </w:r>
            <w:r w:rsidRPr="00FA4530">
              <w:rPr>
                <w:rFonts w:ascii="Times New Roman" w:eastAsia="Calibri" w:hAnsi="Times New Roman"/>
                <w:noProof/>
                <w:sz w:val="24"/>
                <w:szCs w:val="24"/>
                <w:lang w:eastAsia="en-US"/>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проект положення погоджено із заінтересованими органами</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2.4.4.6.3. </w:t>
            </w:r>
            <w:r w:rsidRPr="00FA4530">
              <w:rPr>
                <w:rFonts w:ascii="Times New Roman" w:eastAsia="Calibri" w:hAnsi="Times New Roman"/>
                <w:bCs/>
                <w:noProof/>
                <w:sz w:val="24"/>
                <w:szCs w:val="24"/>
                <w:lang w:eastAsia="en-US" w:bidi="uk-UA"/>
              </w:rPr>
              <w:t xml:space="preserve">Затвердження положення, </w:t>
            </w:r>
            <w:r w:rsidRPr="00FA4530">
              <w:rPr>
                <w:rFonts w:ascii="Times New Roman" w:eastAsia="Calibri" w:hAnsi="Times New Roman"/>
                <w:noProof/>
                <w:sz w:val="24"/>
                <w:szCs w:val="24"/>
                <w:lang w:eastAsia="en-US"/>
              </w:rPr>
              <w:t xml:space="preserve">зазначеного у підпункті </w:t>
            </w:r>
            <w:r w:rsidRPr="00FA4530">
              <w:rPr>
                <w:rFonts w:ascii="Times New Roman" w:eastAsia="Calibri" w:hAnsi="Times New Roman"/>
                <w:noProof/>
                <w:sz w:val="24"/>
                <w:szCs w:val="24"/>
                <w:lang w:eastAsia="en-US" w:bidi="uk-UA"/>
              </w:rPr>
              <w:t>2.4.4.6.</w:t>
            </w:r>
            <w:r w:rsidRPr="00FA4530">
              <w:rPr>
                <w:rFonts w:ascii="Times New Roman" w:eastAsia="Calibri" w:hAnsi="Times New Roman"/>
                <w:noProof/>
                <w:sz w:val="24"/>
                <w:szCs w:val="24"/>
                <w:lang w:eastAsia="en-US"/>
              </w:rPr>
              <w:t>1</w:t>
            </w:r>
            <w:r w:rsidRPr="00FA4530">
              <w:rPr>
                <w:rFonts w:ascii="Times New Roman" w:eastAsia="Calibri" w:hAnsi="Times New Roman"/>
                <w:bCs/>
                <w:noProof/>
                <w:sz w:val="24"/>
                <w:szCs w:val="24"/>
                <w:lang w:eastAsia="en-US" w:bidi="uk-UA"/>
              </w:rPr>
              <w:t>, забезпечення його державної реєстрації</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серпень </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 xml:space="preserve">вересень </w:t>
            </w:r>
            <w:r w:rsidRPr="00FA4530">
              <w:rPr>
                <w:rFonts w:ascii="Times New Roman" w:eastAsia="Calibri" w:hAnsi="Times New Roman"/>
                <w:noProof/>
                <w:sz w:val="24"/>
                <w:szCs w:val="24"/>
                <w:lang w:eastAsia="en-US"/>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положення затверджено</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lastRenderedPageBreak/>
              <w:t xml:space="preserve">2.4.4.6.7. </w:t>
            </w:r>
            <w:r w:rsidRPr="00FA4530">
              <w:rPr>
                <w:rFonts w:ascii="Times New Roman" w:eastAsia="Calibri" w:hAnsi="Times New Roman"/>
                <w:bCs/>
                <w:noProof/>
                <w:sz w:val="24"/>
                <w:szCs w:val="24"/>
                <w:lang w:eastAsia="en-US" w:bidi="uk-UA"/>
              </w:rPr>
              <w:t>Розроблення та подання Кабінетові Міністрів України і Національному банку проекту Методології визначення юридичною особою кінцевого бенефіціарного власника</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березень</w:t>
            </w:r>
            <w:r w:rsidRPr="00FA4530">
              <w:rPr>
                <w:rFonts w:ascii="Times New Roman" w:eastAsia="Calibri" w:hAnsi="Times New Roman"/>
                <w:noProof/>
                <w:sz w:val="24"/>
                <w:szCs w:val="24"/>
                <w:lang w:eastAsia="en-US"/>
              </w:rPr>
              <w:br/>
              <w:t>2023 р.</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серпень</w:t>
            </w:r>
            <w:r w:rsidRPr="00FA4530">
              <w:rPr>
                <w:rFonts w:ascii="Times New Roman" w:eastAsia="Calibri" w:hAnsi="Times New Roman"/>
                <w:noProof/>
                <w:sz w:val="24"/>
                <w:szCs w:val="24"/>
                <w:lang w:eastAsia="en-US"/>
              </w:rPr>
              <w:br/>
              <w:t>2023 р.</w:t>
            </w:r>
          </w:p>
        </w:tc>
        <w:tc>
          <w:tcPr>
            <w:tcW w:w="3814" w:type="dxa"/>
            <w:hideMark/>
          </w:tcPr>
          <w:p w:rsidR="001802BB" w:rsidRPr="00FA4530" w:rsidRDefault="001802BB"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noProof/>
                <w:sz w:val="24"/>
                <w:szCs w:val="24"/>
                <w:lang w:eastAsia="en-US" w:bidi="uk-UA"/>
              </w:rPr>
              <w:t>Департамент забезпечення координаційно-моніторингової роботи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Методологія Кабінетом Міністрів України затверджена</w:t>
            </w:r>
            <w:r w:rsidRPr="00FA4530">
              <w:rPr>
                <w:rFonts w:ascii="Times New Roman" w:eastAsia="Calibri" w:hAnsi="Times New Roman"/>
                <w:noProof/>
                <w:sz w:val="24"/>
                <w:szCs w:val="24"/>
                <w:lang w:eastAsia="en-US" w:bidi="uk-UA"/>
              </w:rPr>
              <w:t xml:space="preserve"> </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en-US"/>
              </w:rPr>
            </w:pPr>
            <w:r w:rsidRPr="00FA4530">
              <w:rPr>
                <w:rFonts w:ascii="Times New Roman" w:eastAsia="Calibri" w:hAnsi="Times New Roman"/>
                <w:noProof/>
                <w:sz w:val="24"/>
                <w:szCs w:val="24"/>
                <w:lang w:eastAsia="en-US" w:bidi="uk-UA"/>
              </w:rPr>
              <w:t xml:space="preserve">Проблема 2.5.5. </w:t>
            </w:r>
            <w:r w:rsidRPr="00FA4530">
              <w:rPr>
                <w:rFonts w:ascii="Times New Roman" w:eastAsia="Calibri" w:hAnsi="Times New Roman"/>
                <w:noProof/>
                <w:sz w:val="24"/>
                <w:szCs w:val="24"/>
                <w:lang w:eastAsia="en-US"/>
              </w:rPr>
              <w:t>Процедура справляння земельного податку та передачі в оренду державних та комунальних земель супроводжується корупційними ризиками, обумовленими можливістю надання їх у користування за вартістю, що є нижчою за ринкову</w:t>
            </w:r>
          </w:p>
        </w:tc>
      </w:tr>
      <w:tr w:rsidR="00276FB5" w:rsidRPr="00FA4530" w:rsidTr="00910F0E">
        <w:trPr>
          <w:trHeight w:val="230"/>
        </w:trPr>
        <w:tc>
          <w:tcPr>
            <w:tcW w:w="21111" w:type="dxa"/>
            <w:gridSpan w:val="9"/>
            <w:hideMark/>
          </w:tcPr>
          <w:p w:rsidR="00136D4D" w:rsidRPr="00FA4530" w:rsidRDefault="00136D4D" w:rsidP="00910F0E">
            <w:pPr>
              <w:spacing w:before="60"/>
              <w:jc w:val="both"/>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rPr>
              <w:t>Очікуваний стратегічний результат 2.5.5.2. Внесено зміни до Податкового кодексу України та Закону України “Про оцінку земель” щодо встановлення ставок орендної плати за земельні ділянки державної та комунальної форми власності на основі їх ринкової вартості</w:t>
            </w:r>
          </w:p>
        </w:tc>
      </w:tr>
      <w:tr w:rsidR="00276FB5" w:rsidRPr="00FA4530" w:rsidTr="004B3771">
        <w:trPr>
          <w:gridAfter w:val="1"/>
          <w:wAfter w:w="32" w:type="dxa"/>
          <w:trHeight w:val="230"/>
        </w:trPr>
        <w:tc>
          <w:tcPr>
            <w:tcW w:w="5464" w:type="dxa"/>
            <w:hideMark/>
          </w:tcPr>
          <w:p w:rsidR="001802BB" w:rsidRPr="00FA4530" w:rsidRDefault="001802BB" w:rsidP="00910F0E">
            <w:pPr>
              <w:spacing w:before="60"/>
              <w:rPr>
                <w:rFonts w:ascii="Times New Roman" w:eastAsia="Calibri" w:hAnsi="Times New Roman"/>
                <w:bCs/>
                <w:noProof/>
                <w:sz w:val="24"/>
                <w:szCs w:val="24"/>
                <w:lang w:eastAsia="en-US" w:bidi="uk-UA"/>
              </w:rPr>
            </w:pPr>
            <w:r w:rsidRPr="00FA4530">
              <w:rPr>
                <w:rFonts w:ascii="Times New Roman" w:eastAsia="Calibri" w:hAnsi="Times New Roman"/>
                <w:bCs/>
                <w:noProof/>
                <w:sz w:val="24"/>
                <w:szCs w:val="24"/>
                <w:lang w:eastAsia="en-US"/>
              </w:rPr>
              <w:t>2.5.5.2.</w:t>
            </w:r>
            <w:r w:rsidRPr="00FA4530">
              <w:rPr>
                <w:rFonts w:ascii="Times New Roman" w:eastAsia="Calibri" w:hAnsi="Times New Roman"/>
                <w:bCs/>
                <w:noProof/>
                <w:sz w:val="24"/>
                <w:szCs w:val="24"/>
                <w:lang w:eastAsia="en-US" w:bidi="uk-UA"/>
              </w:rPr>
              <w:t>1. Розроблення та подання Кабінетові Міністрів України проекту закону щодо внесення змін до Податкового кодексу України, яким передбачено:</w:t>
            </w:r>
          </w:p>
          <w:p w:rsidR="001802BB" w:rsidRPr="00FA4530" w:rsidRDefault="001802BB" w:rsidP="00910F0E">
            <w:pPr>
              <w:spacing w:before="60"/>
              <w:rPr>
                <w:rFonts w:ascii="Times New Roman" w:eastAsia="Calibri" w:hAnsi="Times New Roman"/>
                <w:bCs/>
                <w:noProof/>
                <w:sz w:val="24"/>
                <w:szCs w:val="24"/>
                <w:lang w:eastAsia="en-US" w:bidi="uk-UA"/>
              </w:rPr>
            </w:pPr>
            <w:r w:rsidRPr="00FA4530">
              <w:rPr>
                <w:rFonts w:ascii="Times New Roman" w:eastAsia="Calibri" w:hAnsi="Times New Roman"/>
                <w:bCs/>
                <w:noProof/>
                <w:sz w:val="24"/>
                <w:szCs w:val="24"/>
                <w:lang w:eastAsia="en-US" w:bidi="uk-UA"/>
              </w:rPr>
              <w:t>1) перехід до визначення розміру земельного податку та орендної плати за земельні ділянки державної та комунальної власності на базі показників масової оцінки земель;</w:t>
            </w:r>
          </w:p>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bCs/>
                <w:noProof/>
                <w:sz w:val="24"/>
                <w:szCs w:val="24"/>
                <w:lang w:eastAsia="en-US" w:bidi="uk-UA"/>
              </w:rPr>
              <w:t>2) порядок визначення ставок земельного податку та орендної плати за земельні ділянки державної та комунальної власності у разі застосування показників масової оцінки земель</w:t>
            </w:r>
          </w:p>
        </w:tc>
        <w:tc>
          <w:tcPr>
            <w:tcW w:w="1619"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один місяць з дня набрання чинності законом, зазначеним </w:t>
            </w:r>
            <w:r w:rsidRPr="00FA4530">
              <w:rPr>
                <w:rFonts w:ascii="Times New Roman" w:eastAsia="Calibri" w:hAnsi="Times New Roman"/>
                <w:noProof/>
                <w:sz w:val="24"/>
                <w:szCs w:val="24"/>
                <w:lang w:eastAsia="uk-UA" w:bidi="uk-UA"/>
              </w:rPr>
              <w:t>у підпункті</w:t>
            </w:r>
            <w:r w:rsidRPr="00FA4530">
              <w:rPr>
                <w:rFonts w:ascii="Times New Roman" w:eastAsia="Calibri" w:hAnsi="Times New Roman"/>
                <w:noProof/>
                <w:sz w:val="24"/>
                <w:szCs w:val="24"/>
                <w:lang w:eastAsia="en-US" w:bidi="uk-UA"/>
              </w:rPr>
              <w:t xml:space="preserve"> 2.5.5.1.1, але не раніше</w:t>
            </w:r>
            <w:r w:rsidRPr="00FA4530">
              <w:rPr>
                <w:rFonts w:ascii="Times New Roman" w:eastAsia="Calibri" w:hAnsi="Times New Roman"/>
                <w:noProof/>
                <w:sz w:val="24"/>
                <w:szCs w:val="24"/>
                <w:lang w:eastAsia="en-US"/>
              </w:rPr>
              <w:t xml:space="preserve"> </w:t>
            </w:r>
            <w:r w:rsidRPr="00FA4530">
              <w:rPr>
                <w:rFonts w:ascii="Times New Roman" w:eastAsia="Calibri" w:hAnsi="Times New Roman"/>
                <w:noProof/>
                <w:sz w:val="24"/>
                <w:szCs w:val="24"/>
                <w:lang w:eastAsia="en-US" w:bidi="uk-UA"/>
              </w:rPr>
              <w:t xml:space="preserve">забезпечення введення в експлуатацію геоінформа-ційної системи масової оцінки земель у складі Державного земельного кадастру </w:t>
            </w:r>
          </w:p>
        </w:tc>
        <w:tc>
          <w:tcPr>
            <w:tcW w:w="141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 xml:space="preserve">дев’ять місяців з дня набрання чинності законом, зазначеним </w:t>
            </w:r>
            <w:r w:rsidRPr="00FA4530">
              <w:rPr>
                <w:rFonts w:ascii="Times New Roman" w:eastAsia="Calibri" w:hAnsi="Times New Roman"/>
                <w:noProof/>
                <w:sz w:val="24"/>
                <w:szCs w:val="24"/>
                <w:lang w:eastAsia="uk-UA" w:bidi="uk-UA"/>
              </w:rPr>
              <w:t>у підпункті</w:t>
            </w:r>
            <w:r w:rsidRPr="00FA4530">
              <w:rPr>
                <w:rFonts w:ascii="Times New Roman" w:eastAsia="Calibri" w:hAnsi="Times New Roman"/>
                <w:noProof/>
                <w:sz w:val="24"/>
                <w:szCs w:val="24"/>
                <w:lang w:eastAsia="en-US" w:bidi="uk-UA"/>
              </w:rPr>
              <w:t xml:space="preserve"> 2.5.5.1.1, але не раніше</w:t>
            </w:r>
            <w:r w:rsidRPr="00FA4530">
              <w:rPr>
                <w:rFonts w:ascii="Times New Roman" w:eastAsia="Calibri" w:hAnsi="Times New Roman"/>
                <w:noProof/>
                <w:sz w:val="24"/>
                <w:szCs w:val="24"/>
                <w:lang w:eastAsia="en-US"/>
              </w:rPr>
              <w:t xml:space="preserve"> </w:t>
            </w:r>
            <w:r w:rsidRPr="00FA4530">
              <w:rPr>
                <w:rFonts w:ascii="Times New Roman" w:eastAsia="Calibri" w:hAnsi="Times New Roman"/>
                <w:noProof/>
                <w:sz w:val="24"/>
                <w:szCs w:val="24"/>
                <w:lang w:eastAsia="en-US" w:bidi="uk-UA"/>
              </w:rPr>
              <w:t xml:space="preserve">забезпечення введення в експлуатацію геоінформа-ційної системи масової оцінки земель у складі Державного земельного кадастру </w:t>
            </w:r>
          </w:p>
        </w:tc>
        <w:tc>
          <w:tcPr>
            <w:tcW w:w="3814" w:type="dxa"/>
          </w:tcPr>
          <w:p w:rsidR="001802BB" w:rsidRPr="00FA4530" w:rsidRDefault="001802BB" w:rsidP="00910F0E">
            <w:pPr>
              <w:rPr>
                <w:rFonts w:ascii="Times New Roman" w:hAnsi="Times New Roman"/>
                <w:sz w:val="24"/>
                <w:szCs w:val="24"/>
              </w:rPr>
            </w:pPr>
            <w:r w:rsidRPr="00FA4530">
              <w:rPr>
                <w:rFonts w:ascii="Times New Roman" w:eastAsia="Calibri" w:hAnsi="Times New Roman"/>
                <w:noProof/>
                <w:sz w:val="24"/>
                <w:szCs w:val="24"/>
                <w:lang w:eastAsia="uk-UA" w:bidi="uk-UA"/>
              </w:rPr>
              <w:t>Департамент податкової політики</w:t>
            </w:r>
          </w:p>
        </w:tc>
        <w:tc>
          <w:tcPr>
            <w:tcW w:w="1647"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державний бюджет</w:t>
            </w:r>
          </w:p>
        </w:tc>
        <w:tc>
          <w:tcPr>
            <w:tcW w:w="2651" w:type="dxa"/>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у межах встановлених бюджетних призначень на відповідний рік</w:t>
            </w:r>
          </w:p>
        </w:tc>
        <w:tc>
          <w:tcPr>
            <w:tcW w:w="4467" w:type="dxa"/>
            <w:gridSpan w:val="2"/>
            <w:hideMark/>
          </w:tcPr>
          <w:p w:rsidR="001802BB" w:rsidRPr="00FA4530" w:rsidRDefault="001802BB" w:rsidP="00910F0E">
            <w:pPr>
              <w:spacing w:before="60"/>
              <w:rPr>
                <w:rFonts w:ascii="Times New Roman" w:eastAsia="Calibri" w:hAnsi="Times New Roman"/>
                <w:noProof/>
                <w:sz w:val="24"/>
                <w:szCs w:val="24"/>
                <w:lang w:eastAsia="uk-UA" w:bidi="uk-UA"/>
              </w:rPr>
            </w:pPr>
            <w:r w:rsidRPr="00FA4530">
              <w:rPr>
                <w:rFonts w:ascii="Times New Roman" w:eastAsia="Calibri" w:hAnsi="Times New Roman"/>
                <w:noProof/>
                <w:sz w:val="24"/>
                <w:szCs w:val="24"/>
                <w:lang w:eastAsia="en-US" w:bidi="uk-UA"/>
              </w:rPr>
              <w:t>проект закону подано до Верховної Ради України</w:t>
            </w:r>
          </w:p>
        </w:tc>
      </w:tr>
      <w:tr w:rsidR="00125CE7" w:rsidRPr="00FA4530" w:rsidTr="00910F0E">
        <w:trPr>
          <w:trHeight w:val="230"/>
        </w:trPr>
        <w:tc>
          <w:tcPr>
            <w:tcW w:w="21111" w:type="dxa"/>
            <w:gridSpan w:val="9"/>
          </w:tcPr>
          <w:p w:rsidR="00125CE7" w:rsidRPr="00FA4530" w:rsidRDefault="00125CE7" w:rsidP="00910F0E">
            <w:pPr>
              <w:spacing w:before="60"/>
              <w:jc w:val="center"/>
              <w:rPr>
                <w:rFonts w:ascii="Times New Roman" w:eastAsia="Calibri" w:hAnsi="Times New Roman"/>
                <w:noProof/>
                <w:sz w:val="24"/>
                <w:szCs w:val="24"/>
                <w:lang w:eastAsia="en-US" w:bidi="uk-UA"/>
              </w:rPr>
            </w:pPr>
            <w:r w:rsidRPr="00FA4530">
              <w:rPr>
                <w:rFonts w:ascii="Times New Roman" w:eastAsia="Calibri" w:hAnsi="Times New Roman"/>
                <w:sz w:val="24"/>
                <w:szCs w:val="24"/>
                <w:lang w:eastAsia="en-US"/>
              </w:rPr>
              <w:t xml:space="preserve">3. </w:t>
            </w:r>
            <w:r w:rsidRPr="00FA4530">
              <w:rPr>
                <w:rFonts w:ascii="Times New Roman" w:eastAsia="Calibri" w:hAnsi="Times New Roman"/>
                <w:sz w:val="24"/>
                <w:szCs w:val="24"/>
                <w:lang w:eastAsia="uk-UA" w:bidi="uk-UA"/>
              </w:rPr>
              <w:t>ЗАБЕЗПЕЧЕННЯ НЕВІДВОРОТНОСТІ ВІДПОВІДАЛЬНОСТІ ЗА КОРУПЦІЮ</w:t>
            </w:r>
          </w:p>
        </w:tc>
      </w:tr>
      <w:tr w:rsidR="00136A9F" w:rsidRPr="00FA4530" w:rsidTr="00910F0E">
        <w:trPr>
          <w:trHeight w:val="230"/>
        </w:trPr>
        <w:tc>
          <w:tcPr>
            <w:tcW w:w="21111" w:type="dxa"/>
            <w:gridSpan w:val="9"/>
          </w:tcPr>
          <w:p w:rsidR="00136A9F" w:rsidRPr="00FA4530" w:rsidRDefault="00136A9F" w:rsidP="00910F0E">
            <w:pPr>
              <w:spacing w:before="60"/>
              <w:jc w:val="center"/>
              <w:rPr>
                <w:rFonts w:ascii="Times New Roman" w:eastAsia="Calibri" w:hAnsi="Times New Roman"/>
                <w:noProof/>
                <w:sz w:val="24"/>
                <w:szCs w:val="24"/>
                <w:lang w:eastAsia="en-US" w:bidi="uk-UA"/>
              </w:rPr>
            </w:pPr>
            <w:r w:rsidRPr="00FA4530">
              <w:rPr>
                <w:rFonts w:ascii="Times New Roman" w:eastAsia="Calibri" w:hAnsi="Times New Roman"/>
                <w:sz w:val="24"/>
                <w:szCs w:val="24"/>
                <w:lang w:eastAsia="en-US"/>
              </w:rPr>
              <w:t>3.3. Кримінальна відповідальність</w:t>
            </w:r>
          </w:p>
        </w:tc>
      </w:tr>
      <w:tr w:rsidR="00136A9F" w:rsidRPr="00FA4530" w:rsidTr="00910F0E">
        <w:trPr>
          <w:trHeight w:val="230"/>
        </w:trPr>
        <w:tc>
          <w:tcPr>
            <w:tcW w:w="21111" w:type="dxa"/>
            <w:gridSpan w:val="9"/>
          </w:tcPr>
          <w:p w:rsidR="00136A9F" w:rsidRPr="00FA4530" w:rsidRDefault="00136A9F"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sz w:val="24"/>
                <w:szCs w:val="24"/>
                <w:lang w:eastAsia="en-US"/>
              </w:rPr>
              <w:t>Проблема 3.3.3. Законодавство, яке регулює діяльність АРМА, містить значну кількість прогалин та корупційних ризиків. Низька результативність процесів передачі в управління АРМА активів для збереження їх економічної вартості, а також процесів запобігання та протидії легалізації коштів, одержаних злочинним шляхом</w:t>
            </w:r>
          </w:p>
        </w:tc>
      </w:tr>
      <w:tr w:rsidR="00136A9F" w:rsidRPr="00FA4530" w:rsidTr="00910F0E">
        <w:trPr>
          <w:trHeight w:val="626"/>
        </w:trPr>
        <w:tc>
          <w:tcPr>
            <w:tcW w:w="21111" w:type="dxa"/>
            <w:gridSpan w:val="9"/>
          </w:tcPr>
          <w:p w:rsidR="00136A9F" w:rsidRPr="00FA4530" w:rsidRDefault="00136A9F" w:rsidP="00910F0E">
            <w:pPr>
              <w:spacing w:before="60"/>
              <w:rPr>
                <w:rFonts w:ascii="Times New Roman" w:eastAsia="Calibri" w:hAnsi="Times New Roman"/>
                <w:noProof/>
                <w:sz w:val="24"/>
                <w:szCs w:val="24"/>
                <w:lang w:eastAsia="en-US" w:bidi="uk-UA"/>
              </w:rPr>
            </w:pPr>
            <w:r w:rsidRPr="00FA4530">
              <w:rPr>
                <w:rFonts w:ascii="Times New Roman" w:eastAsia="Calibri" w:hAnsi="Times New Roman"/>
                <w:sz w:val="24"/>
                <w:szCs w:val="24"/>
                <w:lang w:eastAsia="uk-UA" w:bidi="uk-UA"/>
              </w:rPr>
              <w:t>Очікуваний стратегічний результат 3.3.3.11. Заходи із запобігання легалізації коштів, одержаних корупційним шляхом, визначаються на підставі результатів оцінки ризиків, належно здійснюються; рекомендації FATF послідовно втілюються</w:t>
            </w:r>
          </w:p>
        </w:tc>
      </w:tr>
      <w:tr w:rsidR="00136A9F" w:rsidRPr="00FA4530" w:rsidTr="004B3771">
        <w:trPr>
          <w:gridAfter w:val="1"/>
          <w:wAfter w:w="32" w:type="dxa"/>
          <w:trHeight w:val="230"/>
        </w:trPr>
        <w:tc>
          <w:tcPr>
            <w:tcW w:w="5464"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 xml:space="preserve">3.3.3.11.1. Подання Кабінетові Міністрів України проекту закону щодо створення Єдиного реєстру рахунків фізичних і юридичних осіб та індивідуальних банківських сейфів відповідно до Директиви (ЄС) 2015/849 про запобігання використанню фінансової системи для цілей відмивання грошей або фінансування тероризму </w:t>
            </w:r>
            <w:r w:rsidRPr="00FA4530">
              <w:rPr>
                <w:rFonts w:ascii="Times New Roman" w:eastAsia="Calibri" w:hAnsi="Times New Roman"/>
                <w:bCs/>
                <w:sz w:val="24"/>
                <w:szCs w:val="24"/>
                <w:lang w:eastAsia="en-US" w:bidi="uk-UA"/>
              </w:rPr>
              <w:lastRenderedPageBreak/>
              <w:t>та про внесення змін до Директив 2009/138/ЄС і 2013/36/ЄС (із наступними змінами) та його супроводження</w:t>
            </w:r>
          </w:p>
        </w:tc>
        <w:tc>
          <w:tcPr>
            <w:tcW w:w="1619"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lastRenderedPageBreak/>
              <w:t>березень</w:t>
            </w:r>
            <w:r w:rsidRPr="00FA4530">
              <w:rPr>
                <w:rFonts w:ascii="Times New Roman" w:eastAsia="Calibri" w:hAnsi="Times New Roman"/>
                <w:sz w:val="24"/>
                <w:szCs w:val="24"/>
                <w:lang w:eastAsia="uk-UA" w:bidi="uk-UA"/>
              </w:rPr>
              <w:br/>
              <w:t>2023 р.</w:t>
            </w:r>
          </w:p>
        </w:tc>
        <w:tc>
          <w:tcPr>
            <w:tcW w:w="1417"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квітень</w:t>
            </w:r>
            <w:r w:rsidRPr="00FA4530">
              <w:rPr>
                <w:rFonts w:ascii="Times New Roman" w:eastAsia="Calibri" w:hAnsi="Times New Roman"/>
                <w:bCs/>
                <w:sz w:val="24"/>
                <w:szCs w:val="24"/>
                <w:lang w:eastAsia="en-US" w:bidi="uk-UA"/>
              </w:rPr>
              <w:br/>
              <w:t>2023 р.</w:t>
            </w:r>
          </w:p>
        </w:tc>
        <w:tc>
          <w:tcPr>
            <w:tcW w:w="3814"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Мінфін</w:t>
            </w:r>
          </w:p>
        </w:tc>
        <w:tc>
          <w:tcPr>
            <w:tcW w:w="1647"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державний бюджет</w:t>
            </w:r>
          </w:p>
        </w:tc>
        <w:tc>
          <w:tcPr>
            <w:tcW w:w="2651"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у межах встановлених бюджетних призначень на відповідний рік</w:t>
            </w:r>
          </w:p>
        </w:tc>
        <w:tc>
          <w:tcPr>
            <w:tcW w:w="4467" w:type="dxa"/>
            <w:gridSpan w:val="2"/>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en-US"/>
              </w:rPr>
              <w:t>проект закону подано до Верховної Ради України</w:t>
            </w:r>
          </w:p>
        </w:tc>
      </w:tr>
      <w:tr w:rsidR="00136A9F" w:rsidRPr="00FA4530" w:rsidTr="004B3771">
        <w:trPr>
          <w:gridAfter w:val="1"/>
          <w:wAfter w:w="32" w:type="dxa"/>
          <w:trHeight w:val="230"/>
        </w:trPr>
        <w:tc>
          <w:tcPr>
            <w:tcW w:w="5464"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 xml:space="preserve">3.3.3.11.4. Приведення підзаконних актів у відповідність із Законами України від 6 грудня </w:t>
            </w:r>
            <w:r w:rsidRPr="00FA4530">
              <w:rPr>
                <w:rFonts w:ascii="Times New Roman" w:eastAsia="Calibri" w:hAnsi="Times New Roman"/>
                <w:bCs/>
                <w:sz w:val="24"/>
                <w:szCs w:val="24"/>
                <w:lang w:eastAsia="en-US" w:bidi="uk-UA"/>
              </w:rPr>
              <w:br/>
              <w:t xml:space="preserve">2019 р. № 361-IX </w:t>
            </w:r>
            <w:r w:rsidRPr="00FA4530">
              <w:rPr>
                <w:rFonts w:ascii="Times New Roman" w:eastAsia="Calibri" w:hAnsi="Times New Roman"/>
                <w:sz w:val="24"/>
                <w:szCs w:val="24"/>
                <w:lang w:eastAsia="en-US"/>
              </w:rPr>
              <w:t>“</w:t>
            </w:r>
            <w:r w:rsidRPr="00FA4530">
              <w:rPr>
                <w:rFonts w:ascii="Times New Roman" w:eastAsia="Calibri" w:hAnsi="Times New Roman"/>
                <w:bCs/>
                <w:sz w:val="24"/>
                <w:szCs w:val="24"/>
                <w:lang w:eastAsia="en-US" w:bidi="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FA4530">
              <w:rPr>
                <w:rFonts w:ascii="Times New Roman" w:eastAsia="Calibri" w:hAnsi="Times New Roman"/>
                <w:sz w:val="24"/>
                <w:szCs w:val="24"/>
                <w:lang w:eastAsia="en-US"/>
              </w:rPr>
              <w:t>”</w:t>
            </w:r>
            <w:r w:rsidRPr="00FA4530">
              <w:rPr>
                <w:rFonts w:ascii="Times New Roman" w:eastAsia="Calibri" w:hAnsi="Times New Roman"/>
                <w:bCs/>
                <w:sz w:val="24"/>
                <w:szCs w:val="24"/>
                <w:lang w:eastAsia="en-US" w:bidi="uk-UA"/>
              </w:rPr>
              <w:t xml:space="preserve">, від 4 листопада 2022 р. № 2736-IX </w:t>
            </w:r>
            <w:r w:rsidRPr="00FA4530">
              <w:rPr>
                <w:rFonts w:ascii="Times New Roman" w:eastAsia="Calibri" w:hAnsi="Times New Roman"/>
                <w:sz w:val="24"/>
                <w:szCs w:val="24"/>
                <w:lang w:eastAsia="en-US"/>
              </w:rPr>
              <w:t>“</w:t>
            </w:r>
            <w:r w:rsidRPr="00FA4530">
              <w:rPr>
                <w:rFonts w:ascii="Times New Roman" w:eastAsia="Calibri" w:hAnsi="Times New Roman"/>
                <w:bCs/>
                <w:sz w:val="24"/>
                <w:szCs w:val="24"/>
                <w:lang w:eastAsia="en-US" w:bidi="uk-UA"/>
              </w:rPr>
              <w:t>Про внесення змін до деяких законів України щодо захисту фінансової системи України від дій держави, що здійснює збройну агресію проти України, та адаптації законодавства України до окремих стандартів Групи з розробки фінансових заходів боротьби з відмиванням грошей (FATF) і вимог Директиви ЄС 2018/843</w:t>
            </w:r>
            <w:r w:rsidRPr="00FA4530">
              <w:rPr>
                <w:rFonts w:ascii="Times New Roman" w:eastAsia="Calibri" w:hAnsi="Times New Roman"/>
                <w:sz w:val="24"/>
                <w:szCs w:val="24"/>
                <w:lang w:eastAsia="en-US"/>
              </w:rPr>
              <w:t>”</w:t>
            </w:r>
            <w:r w:rsidRPr="00FA4530">
              <w:rPr>
                <w:rFonts w:ascii="Times New Roman" w:eastAsia="Calibri" w:hAnsi="Times New Roman"/>
                <w:bCs/>
                <w:sz w:val="24"/>
                <w:szCs w:val="24"/>
                <w:lang w:eastAsia="en-US" w:bidi="uk-UA"/>
              </w:rPr>
              <w:t xml:space="preserve"> і Директивою ЄС 2015/849</w:t>
            </w:r>
          </w:p>
        </w:tc>
        <w:tc>
          <w:tcPr>
            <w:tcW w:w="1619"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uk-UA" w:bidi="uk-UA"/>
              </w:rPr>
              <w:t>березень</w:t>
            </w:r>
            <w:r w:rsidRPr="00FA4530">
              <w:rPr>
                <w:rFonts w:ascii="Times New Roman" w:eastAsia="Calibri" w:hAnsi="Times New Roman"/>
                <w:sz w:val="24"/>
                <w:szCs w:val="24"/>
                <w:lang w:eastAsia="uk-UA" w:bidi="uk-UA"/>
              </w:rPr>
              <w:br/>
              <w:t>2023 р.</w:t>
            </w:r>
          </w:p>
        </w:tc>
        <w:tc>
          <w:tcPr>
            <w:tcW w:w="1417"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грудень</w:t>
            </w:r>
            <w:r w:rsidRPr="00FA4530">
              <w:rPr>
                <w:rFonts w:ascii="Times New Roman" w:eastAsia="Calibri" w:hAnsi="Times New Roman"/>
                <w:bCs/>
                <w:sz w:val="24"/>
                <w:szCs w:val="24"/>
                <w:lang w:eastAsia="en-US" w:bidi="uk-UA"/>
              </w:rPr>
              <w:br/>
              <w:t>2023 р.</w:t>
            </w:r>
          </w:p>
        </w:tc>
        <w:tc>
          <w:tcPr>
            <w:tcW w:w="3814" w:type="dxa"/>
          </w:tcPr>
          <w:p w:rsidR="00136A9F" w:rsidRPr="00FA4530" w:rsidRDefault="00136A9F" w:rsidP="00910F0E">
            <w:pPr>
              <w:spacing w:before="60"/>
              <w:rPr>
                <w:rFonts w:ascii="Times New Roman" w:eastAsia="Calibri" w:hAnsi="Times New Roman"/>
                <w:bCs/>
                <w:sz w:val="24"/>
                <w:szCs w:val="24"/>
                <w:lang w:eastAsia="en-US" w:bidi="uk-UA"/>
              </w:rPr>
            </w:pPr>
            <w:r w:rsidRPr="00FA4530">
              <w:rPr>
                <w:rFonts w:ascii="Times New Roman" w:eastAsia="Calibri" w:hAnsi="Times New Roman"/>
                <w:bCs/>
                <w:sz w:val="24"/>
                <w:szCs w:val="24"/>
                <w:lang w:eastAsia="en-US" w:bidi="uk-UA"/>
              </w:rPr>
              <w:t>Мінфін</w:t>
            </w:r>
          </w:p>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НКЦПФР (за згодою)</w:t>
            </w:r>
            <w:r w:rsidRPr="00FA4530">
              <w:rPr>
                <w:rFonts w:ascii="Times New Roman" w:eastAsia="Calibri" w:hAnsi="Times New Roman"/>
                <w:bCs/>
                <w:sz w:val="24"/>
                <w:szCs w:val="24"/>
                <w:lang w:eastAsia="en-US" w:bidi="uk-UA"/>
              </w:rPr>
              <w:br/>
            </w:r>
            <w:proofErr w:type="spellStart"/>
            <w:r w:rsidRPr="00FA4530">
              <w:rPr>
                <w:rFonts w:ascii="Times New Roman" w:eastAsia="Calibri" w:hAnsi="Times New Roman"/>
                <w:bCs/>
                <w:sz w:val="24"/>
                <w:szCs w:val="24"/>
                <w:lang w:eastAsia="en-US" w:bidi="uk-UA"/>
              </w:rPr>
              <w:t>Держфінмоніто</w:t>
            </w:r>
            <w:proofErr w:type="spellEnd"/>
            <w:r w:rsidRPr="00FA4530">
              <w:rPr>
                <w:rFonts w:ascii="Times New Roman" w:eastAsia="Calibri" w:hAnsi="Times New Roman"/>
                <w:bCs/>
                <w:sz w:val="24"/>
                <w:szCs w:val="24"/>
                <w:lang w:eastAsia="en-US" w:bidi="uk-UA"/>
              </w:rPr>
              <w:t>-ринг</w:t>
            </w:r>
            <w:r w:rsidRPr="00FA4530">
              <w:rPr>
                <w:rFonts w:ascii="Times New Roman" w:eastAsia="Calibri" w:hAnsi="Times New Roman"/>
                <w:bCs/>
                <w:sz w:val="24"/>
                <w:szCs w:val="24"/>
                <w:lang w:eastAsia="en-US" w:bidi="uk-UA"/>
              </w:rPr>
              <w:br/>
              <w:t>Національний банк (за згодою)</w:t>
            </w:r>
            <w:r w:rsidRPr="00FA4530">
              <w:rPr>
                <w:rFonts w:ascii="Times New Roman" w:eastAsia="Calibri" w:hAnsi="Times New Roman"/>
                <w:bCs/>
                <w:sz w:val="24"/>
                <w:szCs w:val="24"/>
                <w:lang w:eastAsia="en-US" w:bidi="uk-UA"/>
              </w:rPr>
              <w:br/>
              <w:t>Мін’юст</w:t>
            </w:r>
            <w:r w:rsidRPr="00FA4530">
              <w:rPr>
                <w:rFonts w:ascii="Times New Roman" w:eastAsia="Calibri" w:hAnsi="Times New Roman"/>
                <w:bCs/>
                <w:sz w:val="24"/>
                <w:szCs w:val="24"/>
                <w:lang w:eastAsia="en-US" w:bidi="uk-UA"/>
              </w:rPr>
              <w:br/>
            </w:r>
            <w:proofErr w:type="spellStart"/>
            <w:r w:rsidRPr="00FA4530">
              <w:rPr>
                <w:rFonts w:ascii="Times New Roman" w:eastAsia="Calibri" w:hAnsi="Times New Roman"/>
                <w:bCs/>
                <w:sz w:val="24"/>
                <w:szCs w:val="24"/>
                <w:lang w:eastAsia="en-US" w:bidi="uk-UA"/>
              </w:rPr>
              <w:t>Мінцифри</w:t>
            </w:r>
            <w:proofErr w:type="spellEnd"/>
          </w:p>
        </w:tc>
        <w:tc>
          <w:tcPr>
            <w:tcW w:w="1647"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державний бюджет</w:t>
            </w:r>
          </w:p>
        </w:tc>
        <w:tc>
          <w:tcPr>
            <w:tcW w:w="2651" w:type="dxa"/>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bCs/>
                <w:sz w:val="24"/>
                <w:szCs w:val="24"/>
                <w:lang w:eastAsia="en-US" w:bidi="uk-UA"/>
              </w:rPr>
              <w:t>у межах встановлених бюджетних призначень на відповідний рік</w:t>
            </w:r>
          </w:p>
        </w:tc>
        <w:tc>
          <w:tcPr>
            <w:tcW w:w="4467" w:type="dxa"/>
            <w:gridSpan w:val="2"/>
          </w:tcPr>
          <w:p w:rsidR="00136A9F" w:rsidRPr="00FA4530" w:rsidRDefault="00136A9F" w:rsidP="00910F0E">
            <w:pPr>
              <w:spacing w:before="60"/>
              <w:rPr>
                <w:rFonts w:ascii="Times New Roman" w:eastAsia="Calibri" w:hAnsi="Times New Roman"/>
                <w:sz w:val="24"/>
                <w:szCs w:val="24"/>
                <w:lang w:eastAsia="uk-UA" w:bidi="uk-UA"/>
              </w:rPr>
            </w:pPr>
            <w:r w:rsidRPr="00FA4530">
              <w:rPr>
                <w:rFonts w:ascii="Times New Roman" w:eastAsia="Calibri" w:hAnsi="Times New Roman"/>
                <w:sz w:val="24"/>
                <w:szCs w:val="24"/>
                <w:lang w:eastAsia="en-US" w:bidi="uk-UA"/>
              </w:rPr>
              <w:t xml:space="preserve">підзаконні нормативно-правові акти приведено у відповідність із зазначеними законами і Директивою </w:t>
            </w:r>
            <w:r w:rsidRPr="00FA4530">
              <w:rPr>
                <w:rFonts w:ascii="Times New Roman" w:eastAsia="Calibri" w:hAnsi="Times New Roman"/>
                <w:bCs/>
                <w:sz w:val="24"/>
                <w:szCs w:val="24"/>
                <w:lang w:eastAsia="en-US" w:bidi="uk-UA"/>
              </w:rPr>
              <w:t>ЄС 2015/849</w:t>
            </w:r>
          </w:p>
        </w:tc>
      </w:tr>
    </w:tbl>
    <w:p w:rsidR="004749CE" w:rsidRPr="00886488" w:rsidRDefault="00910F0E" w:rsidP="009C6E1F">
      <w:pPr>
        <w:pStyle w:val="LO-normal"/>
        <w:rPr>
          <w:rFonts w:ascii="Times New Roman" w:hAnsi="Times New Roman" w:cs="Times New Roman"/>
          <w:noProof/>
          <w:sz w:val="16"/>
          <w:szCs w:val="16"/>
        </w:rPr>
      </w:pPr>
      <w:r>
        <w:rPr>
          <w:rFonts w:ascii="Times New Roman" w:hAnsi="Times New Roman" w:cs="Times New Roman"/>
          <w:noProof/>
          <w:sz w:val="16"/>
          <w:szCs w:val="16"/>
        </w:rPr>
        <w:br w:type="textWrapping" w:clear="all"/>
      </w:r>
    </w:p>
    <w:sectPr w:rsidR="004749CE" w:rsidRPr="00886488" w:rsidSect="00886488">
      <w:headerReference w:type="even" r:id="rId7"/>
      <w:headerReference w:type="default" r:id="rId8"/>
      <w:headerReference w:type="first" r:id="rId9"/>
      <w:pgSz w:w="23814" w:h="16839" w:orient="landscape" w:code="8"/>
      <w:pgMar w:top="1560" w:right="1559" w:bottom="1276" w:left="1134"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E89" w:rsidRDefault="00120E89">
      <w:r>
        <w:separator/>
      </w:r>
    </w:p>
  </w:endnote>
  <w:endnote w:type="continuationSeparator" w:id="0">
    <w:p w:rsidR="00120E89" w:rsidRDefault="0012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E89" w:rsidRDefault="00120E89">
      <w:r>
        <w:separator/>
      </w:r>
    </w:p>
  </w:footnote>
  <w:footnote w:type="continuationSeparator" w:id="0">
    <w:p w:rsidR="00120E89" w:rsidRDefault="0012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B3D" w:rsidRDefault="00336B3D">
    <w:pPr>
      <w:framePr w:wrap="around" w:vAnchor="text" w:hAnchor="margin" w:xAlign="center" w:y="1"/>
    </w:pPr>
    <w:r>
      <w:fldChar w:fldCharType="begin"/>
    </w:r>
    <w:r>
      <w:instrText xml:space="preserve">PAGE  </w:instrText>
    </w:r>
    <w:r>
      <w:fldChar w:fldCharType="separate"/>
    </w:r>
    <w:r>
      <w:rPr>
        <w:noProof/>
      </w:rPr>
      <w:t>1</w:t>
    </w:r>
    <w:r>
      <w:fldChar w:fldCharType="end"/>
    </w:r>
  </w:p>
  <w:p w:rsidR="00336B3D" w:rsidRDefault="00336B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476234"/>
      <w:docPartObj>
        <w:docPartGallery w:val="Page Numbers (Top of Page)"/>
        <w:docPartUnique/>
      </w:docPartObj>
    </w:sdtPr>
    <w:sdtEndPr/>
    <w:sdtContent>
      <w:p w:rsidR="00910F0E" w:rsidRDefault="00910F0E">
        <w:pPr>
          <w:pStyle w:val="a7"/>
          <w:jc w:val="center"/>
        </w:pPr>
        <w:r>
          <w:fldChar w:fldCharType="begin"/>
        </w:r>
        <w:r>
          <w:instrText>PAGE   \* MERGEFORMAT</w:instrText>
        </w:r>
        <w:r>
          <w:fldChar w:fldCharType="separate"/>
        </w:r>
        <w:r>
          <w:t>2</w:t>
        </w:r>
        <w:r>
          <w:fldChar w:fldCharType="end"/>
        </w:r>
      </w:p>
    </w:sdtContent>
  </w:sdt>
  <w:p w:rsidR="00910F0E" w:rsidRPr="00910F0E" w:rsidRDefault="00910F0E" w:rsidP="00910F0E">
    <w:pPr>
      <w:ind w:left="9923"/>
      <w:rPr>
        <w:rFonts w:ascii="Times New Roman" w:hAnsi="Times New Roman"/>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F0E" w:rsidRPr="00FA4530" w:rsidRDefault="00910F0E" w:rsidP="00910F0E">
    <w:pPr>
      <w:ind w:left="17861"/>
      <w:rPr>
        <w:rFonts w:ascii="Times New Roman" w:eastAsia="Calibri" w:hAnsi="Times New Roman"/>
        <w:noProof/>
        <w:sz w:val="24"/>
        <w:szCs w:val="24"/>
        <w:lang w:eastAsia="en-US"/>
      </w:rPr>
    </w:pPr>
    <w:bookmarkStart w:id="1" w:name="_Hlk119507077"/>
    <w:r w:rsidRPr="00FA4530">
      <w:rPr>
        <w:rFonts w:ascii="Times New Roman" w:eastAsia="Calibri" w:hAnsi="Times New Roman"/>
        <w:noProof/>
        <w:sz w:val="24"/>
        <w:szCs w:val="24"/>
        <w:lang w:eastAsia="en-US"/>
      </w:rPr>
      <w:t>Додаток 2</w:t>
    </w:r>
    <w:r w:rsidRPr="00FA4530">
      <w:rPr>
        <w:rFonts w:ascii="Times New Roman" w:eastAsia="Calibri" w:hAnsi="Times New Roman"/>
        <w:noProof/>
        <w:sz w:val="24"/>
        <w:szCs w:val="24"/>
        <w:lang w:eastAsia="en-US"/>
      </w:rPr>
      <w:br/>
      <w:t>до Антикорупційної програми Міністерства фінансів України на 2026–2028 роки</w:t>
    </w:r>
  </w:p>
  <w:p w:rsidR="00910F0E" w:rsidRPr="00FA4530" w:rsidRDefault="00910F0E" w:rsidP="00910F0E">
    <w:pPr>
      <w:ind w:left="142" w:hanging="142"/>
      <w:jc w:val="center"/>
      <w:rPr>
        <w:rFonts w:ascii="Times New Roman" w:eastAsia="Calibri" w:hAnsi="Times New Roman"/>
        <w:b/>
        <w:noProof/>
        <w:sz w:val="28"/>
        <w:szCs w:val="28"/>
        <w:lang w:val="en-US" w:eastAsia="en-US"/>
      </w:rPr>
    </w:pPr>
    <w:r w:rsidRPr="00FA4530">
      <w:rPr>
        <w:rFonts w:ascii="Times New Roman" w:eastAsia="Calibri" w:hAnsi="Times New Roman"/>
        <w:b/>
        <w:noProof/>
        <w:sz w:val="28"/>
        <w:szCs w:val="28"/>
        <w:lang w:eastAsia="en-US"/>
      </w:rPr>
      <w:t>ЗАХОДИ</w:t>
    </w:r>
    <w:r w:rsidRPr="00FA4530">
      <w:rPr>
        <w:rFonts w:ascii="Times New Roman" w:eastAsia="Calibri" w:hAnsi="Times New Roman"/>
        <w:b/>
        <w:noProof/>
        <w:sz w:val="28"/>
        <w:szCs w:val="28"/>
        <w:lang w:val="en-US" w:eastAsia="en-US"/>
      </w:rPr>
      <w:t xml:space="preserve"> </w:t>
    </w:r>
  </w:p>
  <w:p w:rsidR="00910F0E" w:rsidRDefault="00910F0E" w:rsidP="00910F0E">
    <w:pPr>
      <w:ind w:left="142" w:hanging="142"/>
      <w:jc w:val="center"/>
      <w:rPr>
        <w:rFonts w:ascii="Times New Roman" w:eastAsia="Calibri" w:hAnsi="Times New Roman"/>
        <w:b/>
        <w:noProof/>
        <w:sz w:val="28"/>
        <w:szCs w:val="28"/>
        <w:lang w:eastAsia="en-US"/>
      </w:rPr>
    </w:pPr>
    <w:r w:rsidRPr="00FA4530">
      <w:rPr>
        <w:rFonts w:ascii="Times New Roman" w:eastAsia="Calibri" w:hAnsi="Times New Roman"/>
        <w:b/>
        <w:noProof/>
        <w:sz w:val="28"/>
        <w:szCs w:val="28"/>
        <w:lang w:eastAsia="en-US"/>
      </w:rPr>
      <w:t>з виконання Державної антикорупційної програми на 2023</w:t>
    </w:r>
    <w:r w:rsidRPr="00FA4530">
      <w:rPr>
        <w:rFonts w:ascii="Times New Roman" w:hAnsi="Times New Roman"/>
        <w:b/>
        <w:noProof/>
        <w:sz w:val="28"/>
        <w:szCs w:val="28"/>
        <w:lang w:eastAsia="uk-UA" w:bidi="uk-UA"/>
      </w:rPr>
      <w:t>–</w:t>
    </w:r>
    <w:r w:rsidRPr="00FA4530">
      <w:rPr>
        <w:rFonts w:ascii="Times New Roman" w:eastAsia="Calibri" w:hAnsi="Times New Roman"/>
        <w:b/>
        <w:noProof/>
        <w:sz w:val="28"/>
        <w:szCs w:val="28"/>
        <w:lang w:eastAsia="en-US"/>
      </w:rPr>
      <w:t>2025 роки (виконавцем і співвиконавцем яких визначено Міністерство фінансів України)</w:t>
    </w:r>
  </w:p>
  <w:p w:rsidR="00FA4530" w:rsidRPr="00FA4530" w:rsidRDefault="00FA4530" w:rsidP="00910F0E">
    <w:pPr>
      <w:ind w:left="142" w:hanging="142"/>
      <w:jc w:val="center"/>
      <w:rPr>
        <w:rFonts w:ascii="Times New Roman" w:eastAsia="Calibri" w:hAnsi="Times New Roman"/>
        <w:b/>
        <w:noProof/>
        <w:sz w:val="28"/>
        <w:szCs w:val="28"/>
        <w:lang w:eastAsia="en-US"/>
      </w:rPr>
    </w:pP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1769D"/>
    <w:rsid w:val="00022243"/>
    <w:rsid w:val="00036E4C"/>
    <w:rsid w:val="00037EA7"/>
    <w:rsid w:val="00045D91"/>
    <w:rsid w:val="000E5556"/>
    <w:rsid w:val="000F6FB7"/>
    <w:rsid w:val="001032D5"/>
    <w:rsid w:val="00106B49"/>
    <w:rsid w:val="00107032"/>
    <w:rsid w:val="00117526"/>
    <w:rsid w:val="00120E89"/>
    <w:rsid w:val="001219FB"/>
    <w:rsid w:val="00123A70"/>
    <w:rsid w:val="00125CE7"/>
    <w:rsid w:val="00136A9F"/>
    <w:rsid w:val="00136D4D"/>
    <w:rsid w:val="00146BF3"/>
    <w:rsid w:val="00163526"/>
    <w:rsid w:val="0017501F"/>
    <w:rsid w:val="001802BB"/>
    <w:rsid w:val="001823A4"/>
    <w:rsid w:val="001903D4"/>
    <w:rsid w:val="001A5FC5"/>
    <w:rsid w:val="001B6452"/>
    <w:rsid w:val="001C59A2"/>
    <w:rsid w:val="001D6F82"/>
    <w:rsid w:val="001E2014"/>
    <w:rsid w:val="001F397D"/>
    <w:rsid w:val="001F7916"/>
    <w:rsid w:val="00200885"/>
    <w:rsid w:val="00202626"/>
    <w:rsid w:val="002040AC"/>
    <w:rsid w:val="00204EA6"/>
    <w:rsid w:val="00210F96"/>
    <w:rsid w:val="00242CD8"/>
    <w:rsid w:val="00266744"/>
    <w:rsid w:val="0027154F"/>
    <w:rsid w:val="00274320"/>
    <w:rsid w:val="00276FB5"/>
    <w:rsid w:val="00293157"/>
    <w:rsid w:val="00296D8A"/>
    <w:rsid w:val="002A1810"/>
    <w:rsid w:val="002B6384"/>
    <w:rsid w:val="002C0875"/>
    <w:rsid w:val="002F0D65"/>
    <w:rsid w:val="003222A9"/>
    <w:rsid w:val="0033214B"/>
    <w:rsid w:val="00336B3D"/>
    <w:rsid w:val="003428D1"/>
    <w:rsid w:val="00350A27"/>
    <w:rsid w:val="003542D6"/>
    <w:rsid w:val="00354D11"/>
    <w:rsid w:val="003768D6"/>
    <w:rsid w:val="00381AD0"/>
    <w:rsid w:val="00386510"/>
    <w:rsid w:val="003869BE"/>
    <w:rsid w:val="003C3A86"/>
    <w:rsid w:val="003D0245"/>
    <w:rsid w:val="003E169B"/>
    <w:rsid w:val="003E207B"/>
    <w:rsid w:val="003F3B48"/>
    <w:rsid w:val="004150F4"/>
    <w:rsid w:val="00426AC8"/>
    <w:rsid w:val="004327E7"/>
    <w:rsid w:val="00440EC4"/>
    <w:rsid w:val="00444DB5"/>
    <w:rsid w:val="00453AAB"/>
    <w:rsid w:val="004627D2"/>
    <w:rsid w:val="004653D1"/>
    <w:rsid w:val="004749CE"/>
    <w:rsid w:val="004A0A35"/>
    <w:rsid w:val="004B3771"/>
    <w:rsid w:val="004C29EB"/>
    <w:rsid w:val="004E372D"/>
    <w:rsid w:val="004F3998"/>
    <w:rsid w:val="00500DC2"/>
    <w:rsid w:val="00504991"/>
    <w:rsid w:val="00511B71"/>
    <w:rsid w:val="0051351E"/>
    <w:rsid w:val="00525BBB"/>
    <w:rsid w:val="0053162D"/>
    <w:rsid w:val="00542761"/>
    <w:rsid w:val="0057790B"/>
    <w:rsid w:val="00583986"/>
    <w:rsid w:val="005B1F3A"/>
    <w:rsid w:val="005C6829"/>
    <w:rsid w:val="005D2E47"/>
    <w:rsid w:val="006000D9"/>
    <w:rsid w:val="0060098D"/>
    <w:rsid w:val="0061248E"/>
    <w:rsid w:val="006226A4"/>
    <w:rsid w:val="0063408E"/>
    <w:rsid w:val="0064034A"/>
    <w:rsid w:val="00666CB8"/>
    <w:rsid w:val="006733FA"/>
    <w:rsid w:val="0067794A"/>
    <w:rsid w:val="006A454E"/>
    <w:rsid w:val="00700602"/>
    <w:rsid w:val="00706B20"/>
    <w:rsid w:val="00711AAE"/>
    <w:rsid w:val="007456C0"/>
    <w:rsid w:val="007522F5"/>
    <w:rsid w:val="0078655B"/>
    <w:rsid w:val="00791DAE"/>
    <w:rsid w:val="00792BC7"/>
    <w:rsid w:val="00795AB0"/>
    <w:rsid w:val="007C605F"/>
    <w:rsid w:val="007D7BAD"/>
    <w:rsid w:val="007E136F"/>
    <w:rsid w:val="007F22D9"/>
    <w:rsid w:val="0080274F"/>
    <w:rsid w:val="00813211"/>
    <w:rsid w:val="008212CF"/>
    <w:rsid w:val="00821408"/>
    <w:rsid w:val="00825A30"/>
    <w:rsid w:val="00832899"/>
    <w:rsid w:val="008407AA"/>
    <w:rsid w:val="00851179"/>
    <w:rsid w:val="00860A00"/>
    <w:rsid w:val="008742E4"/>
    <w:rsid w:val="00885D1B"/>
    <w:rsid w:val="00886488"/>
    <w:rsid w:val="00895A17"/>
    <w:rsid w:val="008B3755"/>
    <w:rsid w:val="008C073C"/>
    <w:rsid w:val="008C3243"/>
    <w:rsid w:val="008C3485"/>
    <w:rsid w:val="008E7CEA"/>
    <w:rsid w:val="00910F0E"/>
    <w:rsid w:val="009175E2"/>
    <w:rsid w:val="00950C4B"/>
    <w:rsid w:val="009541C6"/>
    <w:rsid w:val="009546FA"/>
    <w:rsid w:val="00960BDE"/>
    <w:rsid w:val="00982B45"/>
    <w:rsid w:val="00992227"/>
    <w:rsid w:val="00993DD8"/>
    <w:rsid w:val="009A6894"/>
    <w:rsid w:val="009B1254"/>
    <w:rsid w:val="009C6E1F"/>
    <w:rsid w:val="009D11C0"/>
    <w:rsid w:val="00A0338E"/>
    <w:rsid w:val="00A04930"/>
    <w:rsid w:val="00A43173"/>
    <w:rsid w:val="00A523F5"/>
    <w:rsid w:val="00A52675"/>
    <w:rsid w:val="00A535C9"/>
    <w:rsid w:val="00A544D1"/>
    <w:rsid w:val="00A54B97"/>
    <w:rsid w:val="00A56A1C"/>
    <w:rsid w:val="00A61EDD"/>
    <w:rsid w:val="00A726A8"/>
    <w:rsid w:val="00A7718B"/>
    <w:rsid w:val="00A8551E"/>
    <w:rsid w:val="00A97B2E"/>
    <w:rsid w:val="00AC08DE"/>
    <w:rsid w:val="00AD6AA9"/>
    <w:rsid w:val="00AF206A"/>
    <w:rsid w:val="00AF7F4E"/>
    <w:rsid w:val="00B06D7C"/>
    <w:rsid w:val="00B10070"/>
    <w:rsid w:val="00B13266"/>
    <w:rsid w:val="00B13767"/>
    <w:rsid w:val="00B14345"/>
    <w:rsid w:val="00BB6C46"/>
    <w:rsid w:val="00BC5614"/>
    <w:rsid w:val="00BD2941"/>
    <w:rsid w:val="00BD5EAA"/>
    <w:rsid w:val="00BE6656"/>
    <w:rsid w:val="00C23790"/>
    <w:rsid w:val="00C276A5"/>
    <w:rsid w:val="00C31672"/>
    <w:rsid w:val="00C54A5B"/>
    <w:rsid w:val="00C6650C"/>
    <w:rsid w:val="00C94383"/>
    <w:rsid w:val="00C96F22"/>
    <w:rsid w:val="00CA2AF8"/>
    <w:rsid w:val="00CB74A6"/>
    <w:rsid w:val="00CC16F8"/>
    <w:rsid w:val="00CD59DD"/>
    <w:rsid w:val="00CD7B5D"/>
    <w:rsid w:val="00D03321"/>
    <w:rsid w:val="00D10031"/>
    <w:rsid w:val="00D1429D"/>
    <w:rsid w:val="00D17C7D"/>
    <w:rsid w:val="00D45093"/>
    <w:rsid w:val="00D607E2"/>
    <w:rsid w:val="00D62814"/>
    <w:rsid w:val="00DC0E39"/>
    <w:rsid w:val="00DC64C3"/>
    <w:rsid w:val="00DE3FBE"/>
    <w:rsid w:val="00DE4B16"/>
    <w:rsid w:val="00DF7507"/>
    <w:rsid w:val="00E07878"/>
    <w:rsid w:val="00E12487"/>
    <w:rsid w:val="00E14507"/>
    <w:rsid w:val="00E14E67"/>
    <w:rsid w:val="00E64863"/>
    <w:rsid w:val="00E72284"/>
    <w:rsid w:val="00E82591"/>
    <w:rsid w:val="00EA0AC0"/>
    <w:rsid w:val="00EA2F1E"/>
    <w:rsid w:val="00EA4F89"/>
    <w:rsid w:val="00EB3218"/>
    <w:rsid w:val="00EB5E00"/>
    <w:rsid w:val="00EF2832"/>
    <w:rsid w:val="00F10068"/>
    <w:rsid w:val="00F15F39"/>
    <w:rsid w:val="00F66264"/>
    <w:rsid w:val="00F77D79"/>
    <w:rsid w:val="00F87F8B"/>
    <w:rsid w:val="00FA4530"/>
    <w:rsid w:val="00FB2EB1"/>
    <w:rsid w:val="00FC7FDF"/>
    <w:rsid w:val="00FD72CE"/>
    <w:rsid w:val="00FD7465"/>
    <w:rsid w:val="00FE0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85AF"/>
  <w15:chartTrackingRefBased/>
  <w15:docId w15:val="{FD8E7C60-54A0-487A-8A57-ADB3D461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semiHidden/>
    <w:unhideWhenUsed/>
    <w:qFormat/>
    <w:rsid w:val="00123A70"/>
    <w:pPr>
      <w:keepNext/>
      <w:keepLines/>
      <w:spacing w:before="220" w:after="40" w:line="254" w:lineRule="auto"/>
      <w:outlineLvl w:val="4"/>
    </w:pPr>
    <w:rPr>
      <w:rFonts w:ascii="Calibri" w:eastAsia="Calibri" w:hAnsi="Calibri" w:cs="Calibri"/>
      <w:b/>
      <w:sz w:val="22"/>
      <w:szCs w:val="22"/>
      <w:lang w:eastAsia="uk-UA"/>
    </w:rPr>
  </w:style>
  <w:style w:type="paragraph" w:styleId="6">
    <w:name w:val="heading 6"/>
    <w:basedOn w:val="a"/>
    <w:next w:val="a"/>
    <w:link w:val="60"/>
    <w:uiPriority w:val="9"/>
    <w:semiHidden/>
    <w:unhideWhenUsed/>
    <w:qFormat/>
    <w:rsid w:val="00123A70"/>
    <w:pPr>
      <w:keepNext/>
      <w:keepLines/>
      <w:spacing w:before="200" w:after="40" w:line="254" w:lineRule="auto"/>
      <w:outlineLvl w:val="5"/>
    </w:pPr>
    <w:rPr>
      <w:rFonts w:ascii="Calibri" w:eastAsia="Calibri" w:hAnsi="Calibri" w:cs="Calibri"/>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uiPriority w:val="9"/>
    <w:rsid w:val="003E169B"/>
    <w:rPr>
      <w:rFonts w:ascii="Antiqua" w:hAnsi="Antiqua"/>
      <w:b/>
      <w:i/>
      <w:sz w:val="26"/>
      <w:lang w:eastAsia="ru-RU"/>
    </w:rPr>
  </w:style>
  <w:style w:type="character" w:customStyle="1" w:styleId="10">
    <w:name w:val="Заголовок 1 Знак"/>
    <w:link w:val="1"/>
    <w:uiPriority w:val="9"/>
    <w:rsid w:val="003428D1"/>
    <w:rPr>
      <w:rFonts w:ascii="Antiqua" w:hAnsi="Antiqua"/>
      <w:b/>
      <w:smallCaps/>
      <w:sz w:val="28"/>
      <w:lang w:eastAsia="ru-RU"/>
    </w:rPr>
  </w:style>
  <w:style w:type="character" w:customStyle="1" w:styleId="20">
    <w:name w:val="Заголовок 2 Знак"/>
    <w:link w:val="2"/>
    <w:uiPriority w:val="9"/>
    <w:rsid w:val="003428D1"/>
    <w:rPr>
      <w:rFonts w:ascii="Antiqua" w:hAnsi="Antiqua"/>
      <w:b/>
      <w:sz w:val="26"/>
      <w:lang w:eastAsia="ru-RU"/>
    </w:rPr>
  </w:style>
  <w:style w:type="character" w:customStyle="1" w:styleId="40">
    <w:name w:val="Заголовок 4 Знак"/>
    <w:link w:val="4"/>
    <w:uiPriority w:val="9"/>
    <w:rsid w:val="003428D1"/>
    <w:rPr>
      <w:rFonts w:ascii="Antiqua" w:hAnsi="Antiqua"/>
      <w:sz w:val="26"/>
      <w:lang w:eastAsia="ru-RU"/>
    </w:rPr>
  </w:style>
  <w:style w:type="character" w:customStyle="1" w:styleId="a4">
    <w:name w:val="Нижній колонтитул Знак"/>
    <w:link w:val="a3"/>
    <w:uiPriority w:val="99"/>
    <w:rsid w:val="003428D1"/>
    <w:rPr>
      <w:rFonts w:ascii="Antiqua" w:hAnsi="Antiqua"/>
      <w:sz w:val="26"/>
      <w:lang w:eastAsia="ru-RU"/>
    </w:rPr>
  </w:style>
  <w:style w:type="character" w:customStyle="1" w:styleId="a8">
    <w:name w:val="Верхній колонтитул Знак"/>
    <w:link w:val="a7"/>
    <w:uiPriority w:val="99"/>
    <w:rsid w:val="003428D1"/>
    <w:rPr>
      <w:rFonts w:ascii="Antiqua" w:hAnsi="Antiqua"/>
      <w:sz w:val="26"/>
      <w:lang w:eastAsia="ru-RU"/>
    </w:rPr>
  </w:style>
  <w:style w:type="paragraph" w:customStyle="1" w:styleId="11">
    <w:name w:val="Підпис1"/>
    <w:basedOn w:val="a"/>
    <w:rsid w:val="003428D1"/>
    <w:pPr>
      <w:keepLines/>
      <w:tabs>
        <w:tab w:val="center" w:pos="2268"/>
        <w:tab w:val="left" w:pos="6804"/>
      </w:tabs>
      <w:spacing w:before="360"/>
    </w:pPr>
    <w:rPr>
      <w:b/>
      <w:position w:val="-48"/>
    </w:rPr>
  </w:style>
  <w:style w:type="paragraph" w:styleId="af">
    <w:name w:val="Balloon Text"/>
    <w:basedOn w:val="a"/>
    <w:link w:val="af0"/>
    <w:uiPriority w:val="99"/>
    <w:rsid w:val="003428D1"/>
    <w:rPr>
      <w:rFonts w:ascii="Segoe UI" w:hAnsi="Segoe UI" w:cs="Segoe UI"/>
      <w:sz w:val="18"/>
      <w:szCs w:val="18"/>
    </w:rPr>
  </w:style>
  <w:style w:type="character" w:customStyle="1" w:styleId="af0">
    <w:name w:val="Текст у виносці Знак"/>
    <w:link w:val="af"/>
    <w:uiPriority w:val="99"/>
    <w:rsid w:val="003428D1"/>
    <w:rPr>
      <w:rFonts w:ascii="Segoe UI" w:hAnsi="Segoe UI" w:cs="Segoe UI"/>
      <w:sz w:val="18"/>
      <w:szCs w:val="18"/>
      <w:lang w:eastAsia="ru-RU"/>
    </w:rPr>
  </w:style>
  <w:style w:type="paragraph" w:customStyle="1" w:styleId="41">
    <w:name w:val="Підпис4"/>
    <w:basedOn w:val="a"/>
    <w:uiPriority w:val="99"/>
    <w:rsid w:val="004749CE"/>
    <w:pPr>
      <w:keepLines/>
      <w:tabs>
        <w:tab w:val="center" w:pos="2268"/>
        <w:tab w:val="left" w:pos="6804"/>
      </w:tabs>
      <w:spacing w:before="360"/>
    </w:pPr>
    <w:rPr>
      <w:b/>
      <w:position w:val="-48"/>
    </w:rPr>
  </w:style>
  <w:style w:type="character" w:styleId="af1">
    <w:name w:val="Hyperlink"/>
    <w:unhideWhenUsed/>
    <w:rsid w:val="004749CE"/>
    <w:rPr>
      <w:color w:val="0000FF"/>
      <w:u w:val="single"/>
    </w:rPr>
  </w:style>
  <w:style w:type="character" w:styleId="af2">
    <w:name w:val="FollowedHyperlink"/>
    <w:unhideWhenUsed/>
    <w:rsid w:val="004749CE"/>
    <w:rPr>
      <w:color w:val="800080"/>
      <w:u w:val="single"/>
    </w:rPr>
  </w:style>
  <w:style w:type="paragraph" w:styleId="HTML">
    <w:name w:val="HTML Preformatted"/>
    <w:basedOn w:val="a"/>
    <w:link w:val="HTML0"/>
    <w:uiPriority w:val="99"/>
    <w:unhideWhenUsed/>
    <w:rsid w:val="0047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0">
    <w:name w:val="Стандартний HTML Знак"/>
    <w:link w:val="HTML"/>
    <w:uiPriority w:val="99"/>
    <w:rsid w:val="004749CE"/>
    <w:rPr>
      <w:rFonts w:ascii="Courier New" w:hAnsi="Courier New" w:cs="Courier New"/>
      <w:lang w:val="en-US" w:eastAsia="en-US"/>
    </w:rPr>
  </w:style>
  <w:style w:type="paragraph" w:styleId="af3">
    <w:name w:val="Normal (Web)"/>
    <w:basedOn w:val="a"/>
    <w:uiPriority w:val="99"/>
    <w:unhideWhenUsed/>
    <w:rsid w:val="004749CE"/>
    <w:pPr>
      <w:spacing w:before="100" w:beforeAutospacing="1" w:after="100" w:afterAutospacing="1"/>
    </w:pPr>
    <w:rPr>
      <w:rFonts w:ascii="Times New Roman" w:hAnsi="Times New Roman"/>
      <w:sz w:val="24"/>
      <w:szCs w:val="24"/>
      <w:lang w:eastAsia="uk-UA"/>
    </w:rPr>
  </w:style>
  <w:style w:type="character" w:customStyle="1" w:styleId="af4">
    <w:name w:val="Текст виноски Знак"/>
    <w:aliases w:val="Знак Знак,Текст сноски-FN Знак,Текст сноски Знак Знак Знак Знак Знак Знак Знак,Текст сноски Знак Знак Знак Знак Знак Знак1,Текст сноски Знак Знак Знак Знак Знак1,Текст сноски Знак Знак Знак Char Char Знак,Зн Знак,Podrozdział Знак"/>
    <w:link w:val="af5"/>
    <w:uiPriority w:val="99"/>
    <w:locked/>
    <w:rsid w:val="004749CE"/>
    <w:rPr>
      <w:rFonts w:ascii="Calibri" w:hAnsi="Calibri" w:cs="Calibri"/>
      <w:lang w:eastAsia="en-US"/>
    </w:rPr>
  </w:style>
  <w:style w:type="paragraph" w:styleId="af5">
    <w:name w:val="footnote text"/>
    <w:aliases w:val="Знак,Текст сноски-FN,Текст сноски Знак Знак Знак Знак Знак Знак,Текст сноски Знак Знак Знак Знак Знак,Текст сноски Знак Знак Знак Знак,Текст сноски Знак Знак Знак Char Char,Текст сноски Знак Знак Знак Char,Зн,Podrozdział"/>
    <w:basedOn w:val="a"/>
    <w:link w:val="af4"/>
    <w:uiPriority w:val="99"/>
    <w:unhideWhenUsed/>
    <w:qFormat/>
    <w:rsid w:val="004749CE"/>
    <w:rPr>
      <w:rFonts w:ascii="Calibri" w:hAnsi="Calibri" w:cs="Calibri"/>
      <w:sz w:val="20"/>
      <w:lang w:eastAsia="en-US"/>
    </w:rPr>
  </w:style>
  <w:style w:type="character" w:customStyle="1" w:styleId="12">
    <w:name w:val="Текст виноски Знак1"/>
    <w:rsid w:val="004749CE"/>
    <w:rPr>
      <w:rFonts w:ascii="Antiqua" w:hAnsi="Antiqua"/>
      <w:lang w:eastAsia="ru-RU"/>
    </w:rPr>
  </w:style>
  <w:style w:type="character" w:customStyle="1" w:styleId="13">
    <w:name w:val="Текст сноски Знак1"/>
    <w:aliases w:val="Знак Знак1,Текст сноски-FN Знак1,Текст сноски Знак Знак Знак Знак Знак Знак Знак1,Текст сноски Знак Знак Знак Знак Знак Знак2,Текст сноски Знак Знак Знак Знак Знак2,Текст сноски Знак Знак Знак Char Char Знак1,Зн Знак1"/>
    <w:uiPriority w:val="99"/>
    <w:rsid w:val="004749CE"/>
    <w:rPr>
      <w:rFonts w:ascii="Antiqua" w:hAnsi="Antiqua"/>
      <w:lang w:eastAsia="ru-RU"/>
    </w:rPr>
  </w:style>
  <w:style w:type="paragraph" w:styleId="af6">
    <w:name w:val="annotation text"/>
    <w:basedOn w:val="a"/>
    <w:link w:val="af7"/>
    <w:uiPriority w:val="99"/>
    <w:unhideWhenUsed/>
    <w:rsid w:val="004749CE"/>
    <w:pPr>
      <w:spacing w:after="200"/>
    </w:pPr>
    <w:rPr>
      <w:rFonts w:ascii="Calibri" w:hAnsi="Calibri"/>
      <w:sz w:val="20"/>
      <w:lang w:eastAsia="uk-UA"/>
    </w:rPr>
  </w:style>
  <w:style w:type="character" w:customStyle="1" w:styleId="af7">
    <w:name w:val="Текст примітки Знак"/>
    <w:link w:val="af6"/>
    <w:uiPriority w:val="99"/>
    <w:rsid w:val="004749CE"/>
    <w:rPr>
      <w:rFonts w:ascii="Calibri" w:hAnsi="Calibri"/>
    </w:rPr>
  </w:style>
  <w:style w:type="paragraph" w:styleId="af8">
    <w:name w:val="annotation subject"/>
    <w:basedOn w:val="af6"/>
    <w:next w:val="af6"/>
    <w:link w:val="af9"/>
    <w:uiPriority w:val="99"/>
    <w:unhideWhenUsed/>
    <w:rsid w:val="004749CE"/>
    <w:rPr>
      <w:b/>
      <w:bCs/>
    </w:rPr>
  </w:style>
  <w:style w:type="character" w:customStyle="1" w:styleId="af9">
    <w:name w:val="Тема примітки Знак"/>
    <w:link w:val="af8"/>
    <w:uiPriority w:val="99"/>
    <w:qFormat/>
    <w:rsid w:val="004749CE"/>
    <w:rPr>
      <w:rFonts w:ascii="Calibri" w:hAnsi="Calibri"/>
      <w:b/>
      <w:bCs/>
    </w:rPr>
  </w:style>
  <w:style w:type="paragraph" w:styleId="afa">
    <w:name w:val="Revision"/>
    <w:uiPriority w:val="99"/>
    <w:semiHidden/>
    <w:rsid w:val="004749CE"/>
    <w:rPr>
      <w:rFonts w:ascii="Calibri" w:hAnsi="Calibri"/>
      <w:sz w:val="22"/>
      <w:szCs w:val="22"/>
    </w:rPr>
  </w:style>
  <w:style w:type="paragraph" w:styleId="afb">
    <w:name w:val="List Paragraph"/>
    <w:basedOn w:val="a"/>
    <w:uiPriority w:val="34"/>
    <w:qFormat/>
    <w:rsid w:val="004749CE"/>
    <w:pPr>
      <w:spacing w:after="200" w:line="276" w:lineRule="auto"/>
      <w:ind w:left="720"/>
      <w:contextualSpacing/>
    </w:pPr>
    <w:rPr>
      <w:rFonts w:ascii="Calibri" w:hAnsi="Calibri"/>
      <w:sz w:val="22"/>
      <w:szCs w:val="22"/>
      <w:lang w:eastAsia="uk-UA"/>
    </w:rPr>
  </w:style>
  <w:style w:type="paragraph" w:customStyle="1" w:styleId="rvps12">
    <w:name w:val="rvps12"/>
    <w:basedOn w:val="a"/>
    <w:uiPriority w:val="99"/>
    <w:rsid w:val="004749CE"/>
    <w:pPr>
      <w:spacing w:before="100" w:beforeAutospacing="1" w:after="100" w:afterAutospacing="1"/>
    </w:pPr>
    <w:rPr>
      <w:rFonts w:ascii="Times New Roman" w:hAnsi="Times New Roman"/>
      <w:sz w:val="24"/>
      <w:szCs w:val="24"/>
      <w:lang w:val="ru-RU"/>
    </w:rPr>
  </w:style>
  <w:style w:type="paragraph" w:customStyle="1" w:styleId="rvps6">
    <w:name w:val="rvps6"/>
    <w:basedOn w:val="a"/>
    <w:uiPriority w:val="99"/>
    <w:rsid w:val="004749CE"/>
    <w:pPr>
      <w:spacing w:before="100" w:beforeAutospacing="1" w:after="100" w:afterAutospacing="1"/>
    </w:pPr>
    <w:rPr>
      <w:rFonts w:ascii="Times New Roman" w:hAnsi="Times New Roman"/>
      <w:sz w:val="24"/>
      <w:szCs w:val="24"/>
      <w:lang w:val="ru-RU"/>
    </w:rPr>
  </w:style>
  <w:style w:type="paragraph" w:customStyle="1" w:styleId="rvps2">
    <w:name w:val="rvps2"/>
    <w:basedOn w:val="a"/>
    <w:rsid w:val="004749CE"/>
    <w:pPr>
      <w:spacing w:before="100" w:beforeAutospacing="1" w:after="100" w:afterAutospacing="1"/>
    </w:pPr>
    <w:rPr>
      <w:rFonts w:ascii="Times New Roman" w:hAnsi="Times New Roman"/>
      <w:sz w:val="24"/>
      <w:szCs w:val="24"/>
      <w:lang w:eastAsia="uk-UA"/>
    </w:rPr>
  </w:style>
  <w:style w:type="paragraph" w:customStyle="1" w:styleId="LO-normal">
    <w:name w:val="LO-normal"/>
    <w:qFormat/>
    <w:rsid w:val="004749CE"/>
    <w:pPr>
      <w:suppressAutoHyphens/>
      <w:spacing w:after="160" w:line="254" w:lineRule="auto"/>
    </w:pPr>
    <w:rPr>
      <w:rFonts w:ascii="Calibri" w:eastAsia="Calibri" w:hAnsi="Calibri" w:cs="Calibri"/>
      <w:sz w:val="22"/>
      <w:szCs w:val="22"/>
      <w:lang w:eastAsia="zh-CN" w:bidi="hi-IN"/>
    </w:rPr>
  </w:style>
  <w:style w:type="paragraph" w:customStyle="1" w:styleId="pf1">
    <w:name w:val="pf1"/>
    <w:basedOn w:val="a"/>
    <w:uiPriority w:val="99"/>
    <w:rsid w:val="004749CE"/>
    <w:pPr>
      <w:spacing w:before="100" w:beforeAutospacing="1" w:after="100" w:afterAutospacing="1"/>
      <w:jc w:val="both"/>
    </w:pPr>
    <w:rPr>
      <w:rFonts w:ascii="Times New Roman" w:hAnsi="Times New Roman"/>
      <w:sz w:val="24"/>
      <w:szCs w:val="24"/>
      <w:lang w:eastAsia="uk-UA"/>
    </w:rPr>
  </w:style>
  <w:style w:type="character" w:styleId="afc">
    <w:name w:val="footnote reference"/>
    <w:uiPriority w:val="99"/>
    <w:unhideWhenUsed/>
    <w:rsid w:val="004749CE"/>
    <w:rPr>
      <w:vertAlign w:val="superscript"/>
    </w:rPr>
  </w:style>
  <w:style w:type="character" w:styleId="afd">
    <w:name w:val="annotation reference"/>
    <w:uiPriority w:val="99"/>
    <w:unhideWhenUsed/>
    <w:rsid w:val="004749CE"/>
    <w:rPr>
      <w:sz w:val="16"/>
      <w:szCs w:val="16"/>
    </w:rPr>
  </w:style>
  <w:style w:type="character" w:customStyle="1" w:styleId="14">
    <w:name w:val="Шрифт абзацу за промовчанням1"/>
    <w:semiHidden/>
    <w:rsid w:val="004749CE"/>
  </w:style>
  <w:style w:type="character" w:customStyle="1" w:styleId="15">
    <w:name w:val="Гиперссылка1"/>
    <w:uiPriority w:val="99"/>
    <w:semiHidden/>
    <w:rsid w:val="004749CE"/>
    <w:rPr>
      <w:color w:val="0563C1"/>
      <w:u w:val="single"/>
    </w:rPr>
  </w:style>
  <w:style w:type="character" w:customStyle="1" w:styleId="16">
    <w:name w:val="Просмотренная гиперссылка1"/>
    <w:uiPriority w:val="99"/>
    <w:semiHidden/>
    <w:rsid w:val="004749CE"/>
    <w:rPr>
      <w:color w:val="954F72"/>
      <w:u w:val="single"/>
    </w:rPr>
  </w:style>
  <w:style w:type="character" w:customStyle="1" w:styleId="rvts23">
    <w:name w:val="rvts23"/>
    <w:rsid w:val="004749CE"/>
  </w:style>
  <w:style w:type="character" w:customStyle="1" w:styleId="rvts9">
    <w:name w:val="rvts9"/>
    <w:rsid w:val="004749CE"/>
  </w:style>
  <w:style w:type="character" w:customStyle="1" w:styleId="apple-converted-space">
    <w:name w:val="apple-converted-space"/>
    <w:rsid w:val="004749CE"/>
  </w:style>
  <w:style w:type="character" w:customStyle="1" w:styleId="-">
    <w:name w:val="Интернет-ссылка"/>
    <w:uiPriority w:val="99"/>
    <w:rsid w:val="004749CE"/>
    <w:rPr>
      <w:color w:val="0563C1"/>
      <w:u w:val="single"/>
    </w:rPr>
  </w:style>
  <w:style w:type="table" w:styleId="afe">
    <w:name w:val="Table Grid"/>
    <w:basedOn w:val="a1"/>
    <w:uiPriority w:val="39"/>
    <w:rsid w:val="004749C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39"/>
    <w:rsid w:val="004749C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Підпис3"/>
    <w:basedOn w:val="a"/>
    <w:rsid w:val="004749CE"/>
    <w:pPr>
      <w:keepLines/>
      <w:tabs>
        <w:tab w:val="center" w:pos="2268"/>
        <w:tab w:val="left" w:pos="6804"/>
      </w:tabs>
      <w:spacing w:before="360"/>
    </w:pPr>
    <w:rPr>
      <w:b/>
      <w:position w:val="-48"/>
    </w:rPr>
  </w:style>
  <w:style w:type="character" w:customStyle="1" w:styleId="50">
    <w:name w:val="Заголовок 5 Знак"/>
    <w:link w:val="5"/>
    <w:uiPriority w:val="9"/>
    <w:semiHidden/>
    <w:rsid w:val="00123A70"/>
    <w:rPr>
      <w:rFonts w:ascii="Calibri" w:eastAsia="Calibri" w:hAnsi="Calibri" w:cs="Calibri"/>
      <w:b/>
      <w:sz w:val="22"/>
      <w:szCs w:val="22"/>
    </w:rPr>
  </w:style>
  <w:style w:type="character" w:customStyle="1" w:styleId="60">
    <w:name w:val="Заголовок 6 Знак"/>
    <w:link w:val="6"/>
    <w:uiPriority w:val="9"/>
    <w:semiHidden/>
    <w:rsid w:val="00123A70"/>
    <w:rPr>
      <w:rFonts w:ascii="Calibri" w:eastAsia="Calibri" w:hAnsi="Calibri" w:cs="Calibri"/>
      <w:b/>
    </w:rPr>
  </w:style>
  <w:style w:type="paragraph" w:styleId="aff">
    <w:name w:val="Title"/>
    <w:basedOn w:val="a"/>
    <w:next w:val="a"/>
    <w:link w:val="aff0"/>
    <w:uiPriority w:val="10"/>
    <w:qFormat/>
    <w:rsid w:val="00123A70"/>
    <w:pPr>
      <w:keepNext/>
      <w:keepLines/>
      <w:spacing w:before="480" w:after="120" w:line="254" w:lineRule="auto"/>
    </w:pPr>
    <w:rPr>
      <w:rFonts w:ascii="Calibri" w:eastAsia="Calibri" w:hAnsi="Calibri" w:cs="Calibri"/>
      <w:b/>
      <w:sz w:val="72"/>
      <w:szCs w:val="72"/>
      <w:lang w:eastAsia="uk-UA"/>
    </w:rPr>
  </w:style>
  <w:style w:type="character" w:customStyle="1" w:styleId="aff0">
    <w:name w:val="Назва Знак"/>
    <w:link w:val="aff"/>
    <w:uiPriority w:val="10"/>
    <w:rsid w:val="00123A70"/>
    <w:rPr>
      <w:rFonts w:ascii="Calibri" w:eastAsia="Calibri" w:hAnsi="Calibri" w:cs="Calibri"/>
      <w:b/>
      <w:sz w:val="72"/>
      <w:szCs w:val="72"/>
    </w:rPr>
  </w:style>
  <w:style w:type="paragraph" w:styleId="aff1">
    <w:name w:val="Subtitle"/>
    <w:basedOn w:val="a"/>
    <w:next w:val="a"/>
    <w:link w:val="aff2"/>
    <w:uiPriority w:val="11"/>
    <w:qFormat/>
    <w:rsid w:val="00123A70"/>
    <w:pPr>
      <w:keepNext/>
      <w:keepLines/>
      <w:spacing w:before="360" w:after="80" w:line="254" w:lineRule="auto"/>
    </w:pPr>
    <w:rPr>
      <w:rFonts w:ascii="Georgia" w:eastAsia="Georgia" w:hAnsi="Georgia" w:cs="Georgia"/>
      <w:i/>
      <w:color w:val="666666"/>
      <w:sz w:val="48"/>
      <w:szCs w:val="48"/>
      <w:lang w:eastAsia="uk-UA"/>
    </w:rPr>
  </w:style>
  <w:style w:type="character" w:customStyle="1" w:styleId="aff2">
    <w:name w:val="Підзаголовок Знак"/>
    <w:link w:val="aff1"/>
    <w:uiPriority w:val="11"/>
    <w:rsid w:val="00123A70"/>
    <w:rPr>
      <w:rFonts w:ascii="Georgia" w:eastAsia="Georgia" w:hAnsi="Georgia" w:cs="Georgia"/>
      <w:i/>
      <w:color w:val="666666"/>
      <w:sz w:val="48"/>
      <w:szCs w:val="48"/>
    </w:rPr>
  </w:style>
  <w:style w:type="paragraph" w:styleId="aff3">
    <w:name w:val="No Spacing"/>
    <w:uiPriority w:val="1"/>
    <w:qFormat/>
    <w:rsid w:val="00123A70"/>
    <w:pPr>
      <w:ind w:firstLine="709"/>
      <w:jc w:val="both"/>
    </w:pPr>
    <w:rPr>
      <w:rFonts w:ascii="Calibri" w:hAnsi="Calibri"/>
      <w:sz w:val="22"/>
      <w:szCs w:val="22"/>
      <w:lang w:val="ru-RU" w:eastAsia="en-US"/>
    </w:rPr>
  </w:style>
  <w:style w:type="character" w:customStyle="1" w:styleId="22">
    <w:name w:val="Основной текст (2)_"/>
    <w:link w:val="23"/>
    <w:locked/>
    <w:rsid w:val="00123A70"/>
    <w:rPr>
      <w:sz w:val="28"/>
      <w:szCs w:val="28"/>
      <w:shd w:val="clear" w:color="auto" w:fill="FFFFFF"/>
    </w:rPr>
  </w:style>
  <w:style w:type="paragraph" w:customStyle="1" w:styleId="23">
    <w:name w:val="Основной текст (2)"/>
    <w:basedOn w:val="a"/>
    <w:link w:val="22"/>
    <w:rsid w:val="00123A70"/>
    <w:pPr>
      <w:widowControl w:val="0"/>
      <w:shd w:val="clear" w:color="auto" w:fill="FFFFFF"/>
      <w:spacing w:line="317" w:lineRule="exact"/>
      <w:jc w:val="center"/>
    </w:pPr>
    <w:rPr>
      <w:rFonts w:ascii="Times New Roman" w:hAnsi="Times New Roman"/>
      <w:sz w:val="28"/>
      <w:szCs w:val="28"/>
      <w:lang w:eastAsia="uk-UA"/>
    </w:rPr>
  </w:style>
  <w:style w:type="character" w:customStyle="1" w:styleId="17">
    <w:name w:val="Незакрита згадка1"/>
    <w:uiPriority w:val="99"/>
    <w:semiHidden/>
    <w:rsid w:val="00123A70"/>
    <w:rPr>
      <w:color w:val="605E5C"/>
      <w:shd w:val="clear" w:color="auto" w:fill="E1DFDD"/>
    </w:rPr>
  </w:style>
  <w:style w:type="character" w:customStyle="1" w:styleId="24">
    <w:name w:val="Незакрита згадка2"/>
    <w:uiPriority w:val="99"/>
    <w:semiHidden/>
    <w:rsid w:val="00123A70"/>
    <w:rPr>
      <w:color w:val="605E5C"/>
      <w:shd w:val="clear" w:color="auto" w:fill="E1DFDD"/>
    </w:rPr>
  </w:style>
  <w:style w:type="character" w:customStyle="1" w:styleId="UnresolvedMention1">
    <w:name w:val="Unresolved Mention1"/>
    <w:uiPriority w:val="99"/>
    <w:semiHidden/>
    <w:rsid w:val="00123A70"/>
    <w:rPr>
      <w:color w:val="605E5C"/>
      <w:shd w:val="clear" w:color="auto" w:fill="E1DFDD"/>
    </w:rPr>
  </w:style>
  <w:style w:type="character" w:customStyle="1" w:styleId="33">
    <w:name w:val="Незакрита згадка3"/>
    <w:uiPriority w:val="99"/>
    <w:semiHidden/>
    <w:rsid w:val="00123A70"/>
    <w:rPr>
      <w:color w:val="605E5C"/>
      <w:shd w:val="clear" w:color="auto" w:fill="E1DFDD"/>
    </w:rPr>
  </w:style>
  <w:style w:type="character" w:customStyle="1" w:styleId="211pt">
    <w:name w:val="Основной текст (2) + 11 pt"/>
    <w:rsid w:val="00123A70"/>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table" w:customStyle="1" w:styleId="18">
    <w:name w:val="Сітка таблиці1"/>
    <w:basedOn w:val="a1"/>
    <w:next w:val="afe"/>
    <w:uiPriority w:val="39"/>
    <w:rsid w:val="00123A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23A70"/>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19">
    <w:name w:val="Сетка таблицы1"/>
    <w:basedOn w:val="a1"/>
    <w:uiPriority w:val="39"/>
    <w:rsid w:val="00123A70"/>
    <w:rPr>
      <w:rFonts w:ascii="Calibri" w:eastAsia="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9978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360B-C0DA-4FFA-A394-17C51B56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19031</Words>
  <Characters>10849</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Проценко Ірина Юріївна</dc:creator>
  <cp:keywords/>
  <cp:lastModifiedBy>ТАРАСЕНКО Олександра Олександрівна</cp:lastModifiedBy>
  <cp:revision>5</cp:revision>
  <cp:lastPrinted>2023-04-17T07:57:00Z</cp:lastPrinted>
  <dcterms:created xsi:type="dcterms:W3CDTF">2026-04-14T07:26:00Z</dcterms:created>
  <dcterms:modified xsi:type="dcterms:W3CDTF">2026-04-14T11:03:00Z</dcterms:modified>
</cp:coreProperties>
</file>