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CC" w:rsidRPr="007E7118" w:rsidRDefault="004821CC" w:rsidP="004821CC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/>
          <w:sz w:val="28"/>
        </w:rPr>
      </w:pPr>
      <w:bookmarkStart w:id="0" w:name="_GoBack"/>
      <w:bookmarkEnd w:id="0"/>
    </w:p>
    <w:p w:rsidR="004821CC" w:rsidRPr="007E7118" w:rsidRDefault="004821CC" w:rsidP="004821C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7E7118">
        <w:rPr>
          <w:rFonts w:ascii="Times New Roman" w:hAnsi="Times New Roman"/>
          <w:sz w:val="28"/>
        </w:rPr>
        <w:t>ЗАТВЕРДЖЕНО</w:t>
      </w:r>
    </w:p>
    <w:p w:rsidR="004821CC" w:rsidRPr="007E7118" w:rsidRDefault="004821CC" w:rsidP="004821C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7E7118">
        <w:rPr>
          <w:rFonts w:ascii="Times New Roman" w:hAnsi="Times New Roman"/>
          <w:sz w:val="28"/>
        </w:rPr>
        <w:t xml:space="preserve">Наказ Міністерства фінансів України </w:t>
      </w:r>
    </w:p>
    <w:p w:rsidR="004821CC" w:rsidRPr="007E7118" w:rsidRDefault="004821CC" w:rsidP="004821C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7E7118">
        <w:rPr>
          <w:rFonts w:ascii="Times New Roman" w:hAnsi="Times New Roman"/>
          <w:sz w:val="28"/>
        </w:rPr>
        <w:t>21 березня 2008 року № 428</w:t>
      </w:r>
    </w:p>
    <w:p w:rsidR="004821CC" w:rsidRPr="007E7118" w:rsidRDefault="004821CC" w:rsidP="004821C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2"/>
        <w:rPr>
          <w:rFonts w:ascii="Times New Roman" w:hAnsi="Times New Roman"/>
          <w:sz w:val="28"/>
        </w:rPr>
      </w:pPr>
      <w:r w:rsidRPr="007E7118">
        <w:rPr>
          <w:rFonts w:ascii="Times New Roman" w:hAnsi="Times New Roman"/>
          <w:sz w:val="28"/>
        </w:rPr>
        <w:t>(у редакції наказу Міністерства</w:t>
      </w:r>
    </w:p>
    <w:p w:rsidR="004821CC" w:rsidRPr="007E7118" w:rsidRDefault="004821CC" w:rsidP="004821C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2"/>
        <w:rPr>
          <w:rFonts w:ascii="Times New Roman" w:hAnsi="Times New Roman"/>
          <w:sz w:val="28"/>
        </w:rPr>
      </w:pPr>
      <w:r w:rsidRPr="007E7118">
        <w:rPr>
          <w:rFonts w:ascii="Times New Roman" w:hAnsi="Times New Roman"/>
          <w:sz w:val="28"/>
        </w:rPr>
        <w:t>фінансів України</w:t>
      </w:r>
    </w:p>
    <w:p w:rsidR="004821CC" w:rsidRDefault="004821CC" w:rsidP="004821C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7E7118">
        <w:rPr>
          <w:rFonts w:ascii="Times New Roman" w:hAnsi="Times New Roman"/>
          <w:sz w:val="28"/>
        </w:rPr>
        <w:t xml:space="preserve">від </w:t>
      </w:r>
      <w:r w:rsidR="0034424B">
        <w:rPr>
          <w:rFonts w:ascii="Times New Roman" w:hAnsi="Times New Roman"/>
          <w:sz w:val="28"/>
          <w:lang w:val="en-US"/>
        </w:rPr>
        <w:t xml:space="preserve">06 </w:t>
      </w:r>
      <w:r w:rsidR="0034424B">
        <w:rPr>
          <w:rFonts w:ascii="Times New Roman" w:hAnsi="Times New Roman"/>
          <w:sz w:val="28"/>
        </w:rPr>
        <w:t>грудня 2019 року</w:t>
      </w:r>
      <w:r w:rsidRPr="007E7118">
        <w:rPr>
          <w:rFonts w:ascii="Times New Roman" w:hAnsi="Times New Roman"/>
          <w:sz w:val="28"/>
        </w:rPr>
        <w:t>)</w:t>
      </w:r>
    </w:p>
    <w:p w:rsidR="00AC5FB0" w:rsidRDefault="00AC5FB0" w:rsidP="004821C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</w:rPr>
      </w:pPr>
    </w:p>
    <w:p w:rsidR="00AC5FB0" w:rsidRPr="00AC5FB0" w:rsidRDefault="00AC5FB0" w:rsidP="00AC5FB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C5FB0">
        <w:rPr>
          <w:rFonts w:ascii="Times New Roman" w:hAnsi="Times New Roman"/>
          <w:sz w:val="28"/>
          <w:szCs w:val="28"/>
        </w:rPr>
        <w:t>Зареєстровано в Міністерстві</w:t>
      </w:r>
    </w:p>
    <w:p w:rsidR="00AC5FB0" w:rsidRPr="00AC5FB0" w:rsidRDefault="00AC5FB0" w:rsidP="00AC5FB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C5FB0">
        <w:rPr>
          <w:rFonts w:ascii="Times New Roman" w:hAnsi="Times New Roman"/>
          <w:sz w:val="28"/>
          <w:szCs w:val="28"/>
        </w:rPr>
        <w:t>юстиції України</w:t>
      </w:r>
    </w:p>
    <w:p w:rsidR="00AC5FB0" w:rsidRPr="00AC5FB0" w:rsidRDefault="00AC5FB0" w:rsidP="00AC5FB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C5F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AC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січ</w:t>
      </w:r>
      <w:r w:rsidRPr="00AC5FB0">
        <w:rPr>
          <w:rFonts w:ascii="Times New Roman" w:hAnsi="Times New Roman"/>
          <w:sz w:val="28"/>
          <w:szCs w:val="28"/>
        </w:rPr>
        <w:t>ня 20</w:t>
      </w:r>
      <w:r>
        <w:rPr>
          <w:rFonts w:ascii="Times New Roman" w:hAnsi="Times New Roman"/>
          <w:sz w:val="28"/>
          <w:szCs w:val="28"/>
        </w:rPr>
        <w:t>20</w:t>
      </w:r>
      <w:r w:rsidRPr="00AC5FB0">
        <w:rPr>
          <w:rFonts w:ascii="Times New Roman" w:hAnsi="Times New Roman"/>
          <w:sz w:val="28"/>
          <w:szCs w:val="28"/>
        </w:rPr>
        <w:t xml:space="preserve"> р. </w:t>
      </w:r>
    </w:p>
    <w:p w:rsidR="00AC5FB0" w:rsidRPr="00AC5FB0" w:rsidRDefault="00AC5FB0" w:rsidP="00AC5FB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№ </w:t>
      </w:r>
      <w:r w:rsidRPr="00AC5F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Pr="00AC5FB0">
        <w:rPr>
          <w:rFonts w:ascii="Times New Roman" w:hAnsi="Times New Roman"/>
          <w:sz w:val="28"/>
          <w:szCs w:val="28"/>
        </w:rPr>
        <w:t>/34</w:t>
      </w:r>
      <w:r>
        <w:rPr>
          <w:rFonts w:ascii="Times New Roman" w:hAnsi="Times New Roman"/>
          <w:sz w:val="28"/>
          <w:szCs w:val="28"/>
        </w:rPr>
        <w:t>35</w:t>
      </w:r>
      <w:r w:rsidRPr="00AC5FB0">
        <w:rPr>
          <w:rFonts w:ascii="Times New Roman" w:hAnsi="Times New Roman"/>
          <w:sz w:val="28"/>
          <w:szCs w:val="28"/>
        </w:rPr>
        <w:t>8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AC5FB0" w:rsidRDefault="00AC5FB0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86565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E7118">
        <w:rPr>
          <w:rFonts w:ascii="Times New Roman" w:hAnsi="Times New Roman"/>
          <w:b/>
          <w:sz w:val="28"/>
        </w:rPr>
        <w:br/>
      </w:r>
    </w:p>
    <w:p w:rsidR="00386565" w:rsidRDefault="00386565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E7118">
        <w:rPr>
          <w:rFonts w:ascii="Times New Roman" w:hAnsi="Times New Roman"/>
          <w:b/>
          <w:sz w:val="28"/>
        </w:rPr>
        <w:t xml:space="preserve">Методика 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</w:rPr>
      </w:pPr>
      <w:r w:rsidRPr="007E7118">
        <w:rPr>
          <w:rFonts w:ascii="Times New Roman" w:hAnsi="Times New Roman"/>
          <w:b/>
          <w:sz w:val="28"/>
        </w:rPr>
        <w:t xml:space="preserve">проведення фінансово-економічних розрахунків під час підготовки </w:t>
      </w:r>
      <w:proofErr w:type="spellStart"/>
      <w:r w:rsidRPr="007E7118">
        <w:rPr>
          <w:rFonts w:ascii="Times New Roman" w:hAnsi="Times New Roman"/>
          <w:b/>
          <w:sz w:val="28"/>
        </w:rPr>
        <w:t>проєкту</w:t>
      </w:r>
      <w:proofErr w:type="spellEnd"/>
      <w:r w:rsidRPr="007E7118">
        <w:rPr>
          <w:rFonts w:ascii="Times New Roman" w:hAnsi="Times New Roman"/>
          <w:b/>
          <w:sz w:val="28"/>
        </w:rPr>
        <w:t xml:space="preserve"> </w:t>
      </w:r>
      <w:proofErr w:type="spellStart"/>
      <w:r w:rsidRPr="007E7118">
        <w:rPr>
          <w:rFonts w:ascii="Times New Roman" w:hAnsi="Times New Roman"/>
          <w:b/>
          <w:sz w:val="28"/>
        </w:rPr>
        <w:t>акта</w:t>
      </w:r>
      <w:proofErr w:type="spellEnd"/>
      <w:r w:rsidRPr="007E7118">
        <w:rPr>
          <w:rFonts w:ascii="Times New Roman" w:hAnsi="Times New Roman"/>
          <w:b/>
          <w:sz w:val="28"/>
        </w:rPr>
        <w:t xml:space="preserve"> Кабінету Міністрів України та </w:t>
      </w:r>
      <w:proofErr w:type="spellStart"/>
      <w:r w:rsidRPr="007E7118">
        <w:rPr>
          <w:rFonts w:ascii="Times New Roman" w:hAnsi="Times New Roman"/>
          <w:b/>
          <w:sz w:val="28"/>
        </w:rPr>
        <w:t>проєкту</w:t>
      </w:r>
      <w:proofErr w:type="spellEnd"/>
      <w:r w:rsidRPr="007E7118">
        <w:rPr>
          <w:rFonts w:ascii="Times New Roman" w:hAnsi="Times New Roman"/>
          <w:b/>
          <w:sz w:val="28"/>
        </w:rPr>
        <w:t xml:space="preserve"> закону, що вноситься у порядку законодавчої ініціативи Кабінетом Міністрів України на розгляд Верховної Ради України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E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 </w:t>
      </w:r>
      <w:r w:rsidRPr="007E7118">
        <w:rPr>
          <w:rFonts w:ascii="Times New Roman" w:hAnsi="Times New Roman"/>
          <w:b/>
          <w:sz w:val="28"/>
        </w:rPr>
        <w:t>Загальні положення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118">
        <w:rPr>
          <w:rFonts w:ascii="Times New Roman" w:hAnsi="Times New Roman"/>
          <w:sz w:val="28"/>
          <w:szCs w:val="28"/>
        </w:rPr>
        <w:t xml:space="preserve">Ця Методика встановлює вимоги до проведення фінансово-економічних розрахунків під час підготовки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118">
        <w:rPr>
          <w:rFonts w:ascii="Times New Roman" w:hAnsi="Times New Roman"/>
          <w:sz w:val="28"/>
          <w:szCs w:val="28"/>
        </w:rPr>
        <w:t>акта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Кабінету Міністрів України та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закону, що вноситься у порядку законодавчої ініціативи Кабінетом Міністрів України на розгляд Верховної Ради України (далі –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118">
        <w:rPr>
          <w:rFonts w:ascii="Times New Roman" w:hAnsi="Times New Roman"/>
          <w:sz w:val="28"/>
          <w:szCs w:val="28"/>
        </w:rPr>
        <w:t>акта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), з метою визначення вартісної оцінки їх впливу на показники державного та/або місцевого бюджетів.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n58"/>
      <w:bookmarkEnd w:id="1"/>
      <w:r w:rsidRPr="007E7118">
        <w:rPr>
          <w:rFonts w:ascii="Times New Roman" w:hAnsi="Times New Roman"/>
          <w:sz w:val="28"/>
          <w:szCs w:val="28"/>
        </w:rPr>
        <w:lastRenderedPageBreak/>
        <w:t xml:space="preserve">Фінансово-економічні розрахунки до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118">
        <w:rPr>
          <w:rFonts w:ascii="Times New Roman" w:hAnsi="Times New Roman"/>
          <w:sz w:val="28"/>
          <w:szCs w:val="28"/>
        </w:rPr>
        <w:t>акта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здійснюються головним розробником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118">
        <w:rPr>
          <w:rFonts w:ascii="Times New Roman" w:hAnsi="Times New Roman"/>
          <w:sz w:val="28"/>
          <w:szCs w:val="28"/>
        </w:rPr>
        <w:t>акта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або органом, який здійснює його підготовку (далі – розробник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118">
        <w:rPr>
          <w:rFonts w:ascii="Times New Roman" w:hAnsi="Times New Roman"/>
          <w:sz w:val="28"/>
          <w:szCs w:val="28"/>
        </w:rPr>
        <w:t>акта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) відповідно до цієї Методики, відображаються за формою згідно з додатком до цієї Методики, додаються до пояснювальної записки та є її невід’ємною частиною. 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118">
        <w:rPr>
          <w:rFonts w:ascii="Times New Roman" w:hAnsi="Times New Roman"/>
          <w:sz w:val="28"/>
          <w:szCs w:val="28"/>
        </w:rPr>
        <w:t xml:space="preserve">Фінансово-економічні розрахунки до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118">
        <w:rPr>
          <w:rFonts w:ascii="Times New Roman" w:hAnsi="Times New Roman"/>
          <w:sz w:val="28"/>
          <w:szCs w:val="28"/>
        </w:rPr>
        <w:t>акта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передбачають визначення вартісної оцінки прямого та опосередкованого впливу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118">
        <w:rPr>
          <w:rFonts w:ascii="Times New Roman" w:hAnsi="Times New Roman"/>
          <w:sz w:val="28"/>
          <w:szCs w:val="28"/>
        </w:rPr>
        <w:t>акта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на надходження та витрати державного та/або місцевого бюджетів на середньостроковий період.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118">
        <w:rPr>
          <w:rFonts w:ascii="Times New Roman" w:hAnsi="Times New Roman"/>
          <w:sz w:val="28"/>
          <w:szCs w:val="28"/>
        </w:rPr>
        <w:t xml:space="preserve">Фінансово-економічні розрахунки не здійснюються під час підготовки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закону про Державний бюджет України, Бюджетної декларації, змін до них, комплексних змін до Бюджетного кодексу України. 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118">
        <w:rPr>
          <w:rFonts w:ascii="Times New Roman" w:hAnsi="Times New Roman"/>
          <w:sz w:val="28"/>
          <w:szCs w:val="28"/>
        </w:rPr>
        <w:t xml:space="preserve">Зазначені </w:t>
      </w:r>
      <w:proofErr w:type="spellStart"/>
      <w:r w:rsidRPr="007E7118">
        <w:rPr>
          <w:rFonts w:ascii="Times New Roman" w:hAnsi="Times New Roman"/>
          <w:sz w:val="28"/>
          <w:szCs w:val="28"/>
        </w:rPr>
        <w:t>проєкти</w:t>
      </w:r>
      <w:proofErr w:type="spellEnd"/>
      <w:r w:rsidRPr="007E7118">
        <w:rPr>
          <w:rFonts w:ascii="Times New Roman" w:hAnsi="Times New Roman"/>
          <w:sz w:val="28"/>
          <w:szCs w:val="28"/>
        </w:rPr>
        <w:t xml:space="preserve"> разом із супровідними документами містять розрахунки з обґрунтуваннями, показники та відповідні пояснення щодо показників.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118">
        <w:rPr>
          <w:rFonts w:ascii="Times New Roman" w:hAnsi="Times New Roman"/>
          <w:b/>
          <w:sz w:val="28"/>
        </w:rPr>
        <w:t>ІІ. Фінансово-економічні розрахунки</w:t>
      </w:r>
    </w:p>
    <w:p w:rsidR="004821CC" w:rsidRPr="007E7118" w:rsidRDefault="004821CC" w:rsidP="004821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першому етапі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визначає відповідність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стратегічним цілям і пріоритетам, визначеним Програмою діяльності Кабінету Міністрів України, іншими стратегічними та програмними документами, здійснює аналіз і системне вивчення причини виникнення проблеми, розглядає різні підходи до її вирішення; розглядає альтернативні варіанти способів реагування на виявлені проблеми, що </w:t>
      </w:r>
      <w:r w:rsidR="00C8100E" w:rsidRPr="00C8100E">
        <w:rPr>
          <w:rFonts w:ascii="Times New Roman" w:eastAsia="Times New Roman" w:hAnsi="Times New Roman" w:cs="Times New Roman"/>
          <w:sz w:val="28"/>
          <w:szCs w:val="24"/>
          <w:lang w:eastAsia="uk-UA"/>
        </w:rPr>
        <w:t>потребують</w:t>
      </w:r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вирішення.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З метою всебічного розгляду запропонованих варіантів можуть залучатися для консультацій фахівці, які володіють потрібними знаннями у відповідній сфері.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другому етапі розробляються шляхи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основі всіх пропозицій та проведених консультацій із заінтересованими сторонами/органами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приймає рішення щодо вибору та реалізації певного альтернативного варіанта, який забезпечить найкраще за строками та оптимальне ресурсне забезпечення досягнення стратегічної цілі.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 третьому етапі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очікувані результати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здійснює первинне оцінювання впливу на бюджет і визначає загальну вартість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заповнює пере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 питань, передбачених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7118"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фінансово-економічними розрахунками </w:t>
      </w:r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потреби заповнення форми зведених фінансово-економічних розрахунків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проведених заходів </w:t>
      </w:r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заповнення форми зведених фінансово-економічних розрахунків</w:t>
      </w:r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перелік базових показників, необхідних для фінансово-економічних розрахунків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заінтересовані сторони, які належать до відповідної галузі (сфери) (контингент осіб, коло пільговиків,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суб’єкти господарювання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тощо);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показників прямих і непрямих витрат.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базових показників здійснюється з урахуванням особливостей та специфіки галузі (сфери), норм, нормативів, стандартів, ставок, лімітів тощо, встановлених законодавством у відповідній галузі (сфері), а також з використанням офіційних статистичних даних, даних органів державної влади та органів місцевого самоврядування, підвідомчих установ, наукових організацій, висновків експертів, власних спостережень і досліджень тощо із зазначенням джерел інформації.</w:t>
      </w:r>
    </w:p>
    <w:p w:rsidR="004821CC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показники передбачаються в іноземній валюті, розрахунок надається з урахуванням показників валютно-курсової політики, визначених Національним банком України на середньостроковий період, у тому числі обмінного курсу гривні </w:t>
      </w:r>
      <w:r w:rsidR="003B6F8D" w:rsidRPr="003B6F8D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середньому за рік та на кінець року</w:t>
      </w:r>
      <w:r w:rsidR="003B6F8D"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основних прогнозних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макропоказників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економічного і соціального розвитку України.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передбачається надання державних/місцевих гарантій, встановлення інших зобов'язань, які можуть призвести до додаткових витрат бюджету, для розрахунку витрат бюджету береться загальна сума збільшення зобов'язань.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 підставі попередніх розрахунків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зведені фінансово-економічні розрахунки 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кожним видом надходжень та/або витрат бюджету на середньостроковий період: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розраховує обсяги надходжень та/або витрат бюджету згідно з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окремо за загальним і спеціальним фондами в розрізі кодів бюджетної класифікації;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порівнює обсяги витрат бюджету, потрібні для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обсягами, встановленими у державному та/або місцевому бюджетах, та прогнозними показниками, встановленими в Бюджетній декларації, на поточний бюджетний період та період, потрібний для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розраховує загальну суму додаткових бюджетних коштів, потрібну для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кожний рік періоду, потрібного для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дорівнює сумі додаткових витрат з бюджету та втрат надходжень бюджету.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мають бути детальними, точними, достовірними та збалансованими.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Зведені фінансово-економічні розрахунки використовуються під час підготовки пропозицій до Бюджетної декларації, бюджетного запиту.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реалізація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потребує додаткових бюджетних коштів,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джерела їх покриття з наданням пропозицій щодо збільшення надходжень до бюджету відповідно до законодавства та/або пропозицій щодо скорочення витрат бюджету згідно з бюджетною класифікацією.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передбачає затвердження переліку заходів (внесення змін до нього), які здійснюватимуться за рахунок бюджетних коштів,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 обґрунтування щодо включення запропонованого заходу, визначає прогнозний обсяг витрат, потрібний для реалізації, щодо кожного</w:t>
      </w:r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заходу з розбивкою за роками та визначає ефект від впровадження таких заходів.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разі ліквідації (реорганізації) бюджетної установи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 обсяг коштів для здійснення заходів, пов'язаних з ліквідацією (реорганізацією) установи відповідно до законодавства.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створення нової бюджетної установи (або збільшення штатної чисельності працівників бюджетної установи)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обґрунтовані прогнозні показники видатків на створення та подальше забезпечення діяльності такої установи (установи, у якій збільшується штатна чисельність).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додаткових бюджетних коштів, потрібний для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має призвести до збільшення обсягів державного та/або місцевого боргу, державних та/або місцевих гарантій щодо виконання зобов'язань, дефіциту бюджету (за винятком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актів, що передбачають здійснення державних/місцевих запозичень або надання державних/місцевих гарантій на виконання закону про Державний бюджет України</w:t>
      </w:r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про місцевий бюджет Верховної Ради Автономної Республіки Крим, обласної або міської ради, у тому числі для реалізації  інвестиційних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наявності впливу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показники фондів загальнообов'язкового державного соціального і пенсійного страхування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окремі розрахунки, про що зазначає у пояснювальній записці 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містить положення щодо встановлення пільг з податків, зборів та інших платежів,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обов'язковому порядку до фінансово-економічних розрахунків додає обґрунтування із зазначенням підстав для надання таких пільг, а також пропозиції щодо джерел додаткових надходжень до бюджету для досягнення збалансованості.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Фінансово-економічні розрахунки 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актів з питань надання державної підтримки (допомоги) та реалізації заходів на виконання документів державного стратегічного планування здійснюються з урахуванням положень відповідного законодавства.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передбачає збільшення витрат державного комерційного та казенного підприємств, господарського товариства, у статутному капіталі якого є корпоративні права держави, господарського товариства, 50 і більше відсотків акцій (часток) якого належать господарському товариству, частка держави в якому становить 100 відсотків, які можуть впливати на базу оподаткування і надходження до бюджету,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додатково до фінансово-економічних розрахунків надає пропозиції щодо розширення виробництва і збереження рівня прибутковості діяльності підприємства та інформацію щодо впливу на його основні виробничі і фінансові показники.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вартісне оцінювання прямого та опосередкованого впливу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надходження та витрати державного та/або місцевого бюджетів у подальшому може змінитися,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 граничні межі збільшення/зменшення надходжень/витрат бюджету з обґрунтуваннями та припущеннями.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оцінювання наявних ризиків, у тому числі фіскальних, щоб перевірити, чи не призведе прийняття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істотно інших результатів.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Фінансово-економічні розрахунки 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керівник самостійного структурного підрозділу розробника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821CC" w:rsidRPr="007E7118" w:rsidRDefault="004821CC" w:rsidP="004821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результати фінансово-економічних розрахунків щодо вартісного впливу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показники державного та/або місцевого бюджетів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 у пояснювальній записці 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87"/>
      <w:bookmarkEnd w:id="2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реалізація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потребує додаткових коштів, у тому числі з державного або місцевого бюджетів, про це окремо зазначається у пояснювальній записці та обов’язково вказуються бюджетна програма, фонд бюджету, код бюджетної класифікації та обсяг коштів на реалізацію такого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6565" w:rsidRDefault="004821CC" w:rsidP="004821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1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821CC" w:rsidRPr="00386565" w:rsidRDefault="004821CC" w:rsidP="00386565">
      <w:pPr>
        <w:shd w:val="clear" w:color="auto" w:fill="FFFFFF"/>
        <w:spacing w:after="0" w:line="43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865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ІІІ. </w:t>
      </w:r>
      <w:r w:rsidRPr="00386565">
        <w:rPr>
          <w:rFonts w:ascii="Times New Roman" w:hAnsi="Times New Roman"/>
          <w:b/>
          <w:sz w:val="28"/>
        </w:rPr>
        <w:t xml:space="preserve">Порядок заповнення </w:t>
      </w:r>
      <w:r w:rsidRPr="003865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форми фінансово-економічних </w:t>
      </w:r>
      <w:r w:rsidRPr="003865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розрахунків до </w:t>
      </w:r>
      <w:proofErr w:type="spellStart"/>
      <w:r w:rsidRPr="003865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Pr="003865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865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акта</w:t>
      </w:r>
      <w:proofErr w:type="spellEnd"/>
    </w:p>
    <w:p w:rsidR="004821CC" w:rsidRPr="00386565" w:rsidRDefault="004821CC" w:rsidP="00386565">
      <w:pPr>
        <w:shd w:val="clear" w:color="auto" w:fill="FFFFFF"/>
        <w:spacing w:after="0" w:line="43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65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Заповнення форми фінансово-економічних розрахунків до </w:t>
      </w:r>
      <w:proofErr w:type="spellStart"/>
      <w:r w:rsidRPr="003865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3865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656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3865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у такому порядку: </w:t>
      </w:r>
    </w:p>
    <w:p w:rsidR="004821CC" w:rsidRPr="007E7118" w:rsidRDefault="004821CC" w:rsidP="001109B1">
      <w:pPr>
        <w:shd w:val="clear" w:color="auto" w:fill="FFFFFF"/>
        <w:spacing w:after="0" w:line="43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1 зазначається період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 рік початку реалізації та кінцевий термін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821CC" w:rsidRPr="007E7118" w:rsidRDefault="004821CC" w:rsidP="001109B1">
      <w:pPr>
        <w:shd w:val="clear" w:color="auto" w:fill="FFFFFF"/>
        <w:spacing w:after="0" w:line="43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термін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обмежено часовими рамками, у рядку «кінцевий термін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» зазначається «постійно»;</w:t>
      </w:r>
    </w:p>
    <w:p w:rsidR="004821CC" w:rsidRPr="007E7118" w:rsidRDefault="004821CC" w:rsidP="001109B1">
      <w:pPr>
        <w:shd w:val="clear" w:color="auto" w:fill="FFFFFF"/>
        <w:spacing w:after="0" w:line="43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2 наводиться перелік стратегічних цілей та зазначаються очікувані у поточному та середньостроковому періодах показники результату діяльності головного розпорядника бюджетних коштів, до повноважень якого віднесено виконання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09B1" w:rsidRPr="001109B1" w:rsidRDefault="001109B1" w:rsidP="00386565">
      <w:pPr>
        <w:shd w:val="clear" w:color="auto" w:fill="FFFFFF"/>
        <w:spacing w:after="0" w:line="43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Стратегічні цілі та показники результату </w:t>
      </w:r>
      <w:r w:rsidRPr="008A4C9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визначаються згідно із</w:t>
      </w:r>
      <w:r w:rsidRPr="0011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затвердженим планом діяльності головного розпорядника бюджетних коштів  на середньостроковий період та відповідно до Інструкції з підготовки бюджетних запитів, затвердженої наказом Міністерства фінансів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1109B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06 червня 2012 року № 687, зареєстрованої у Міністерстві юстиції України 26 червня 2012 року за № 1057/21369.</w:t>
      </w:r>
    </w:p>
    <w:p w:rsidR="004821CC" w:rsidRPr="007E7118" w:rsidRDefault="004821CC" w:rsidP="00386565">
      <w:pPr>
        <w:shd w:val="clear" w:color="auto" w:fill="FFFFFF"/>
        <w:spacing w:after="0" w:line="43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заходи, передбачені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, будуть реалізовуватись у межах діючої стратегічної цілі, визначеної Бюджетною декларацією та бюджетним запитом головного розпорядника бюджетних коштів, показники результату зазначаються в цілому щодо стратегічної цілі.</w:t>
      </w:r>
    </w:p>
    <w:p w:rsidR="004821CC" w:rsidRDefault="004821CC" w:rsidP="003865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Нові стратегічні цілі та показники результату, яких планує досягти розробник з прийняттям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мають відповідати пріоритетам, визначеним у щорічному посланні Президента України до Верховної Ради України про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внутрішнє і зовнішнє становище України, Програмі діяльності Кабінету Міністрів України, прогнозних і програмних документах економічного і соціального розвитку;</w:t>
      </w:r>
    </w:p>
    <w:p w:rsidR="004821CC" w:rsidRPr="007E7118" w:rsidRDefault="004821CC" w:rsidP="003865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3 зазначається бюджетна програма, в межах якої планується виконувати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і назва програмної класифікації видатків та кредитування державного бюджету (КПКВК) та/або код і назва типової програмної класифікації видатків та кредитування місцевих бюджетів (ТПКВКМБ).</w:t>
      </w:r>
    </w:p>
    <w:p w:rsidR="004821CC" w:rsidRPr="007E7118" w:rsidRDefault="004821CC" w:rsidP="00386565">
      <w:pPr>
        <w:shd w:val="clear" w:color="auto" w:fill="FFFFFF"/>
        <w:spacing w:after="0" w:line="360" w:lineRule="auto"/>
        <w:ind w:lef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потреби зазначається назва нової бюджетної програми або напрям використання бюджетних коштів із зазначенням головного розпорядника бюджетних коштів, відповідального за виконання цієї програми/напряму;</w:t>
      </w:r>
    </w:p>
    <w:p w:rsidR="004821CC" w:rsidRPr="007E7118" w:rsidRDefault="004821CC" w:rsidP="00386565">
      <w:pPr>
        <w:shd w:val="clear" w:color="auto" w:fill="FFFFFF"/>
        <w:spacing w:after="0" w:line="360" w:lineRule="auto"/>
        <w:ind w:lef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4 зазначається загальна вартість публічної послуги з формування та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, вказуються джерела здійснення витрат, зокрема за рахунок коштів відповідного бюджету та/або за рахунок інших джерел (з розбивкою за роками);</w:t>
      </w:r>
    </w:p>
    <w:p w:rsidR="004821CC" w:rsidRPr="007E7118" w:rsidRDefault="004821CC" w:rsidP="003865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5 надаються відповіді на перелік питань, які мають на меті допомогти визначити потребу здійснення зведених фінансово-економічних розрахунків.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питань не є вичерпним і може бути доповненим іншими питаннями у відповідній галузі (сфері).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на всі питання надається відповідь «ні», зведені фінансово-економічні розрахунки можуть не здійснюватися. </w:t>
      </w:r>
    </w:p>
    <w:p w:rsidR="00E65AE9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такому разі розробник заповнює пункти 1 – 5, 8 </w:t>
      </w:r>
      <w:r w:rsidRPr="007E7118">
        <w:rPr>
          <w:rFonts w:ascii="Times New Roman" w:eastAsia="Times New Roman" w:hAnsi="Times New Roman" w:cs="Times New Roman"/>
          <w:bCs/>
          <w:sz w:val="28"/>
          <w:szCs w:val="28"/>
        </w:rPr>
        <w:t xml:space="preserve">фінансово-економічних розрахунків до </w:t>
      </w:r>
      <w:proofErr w:type="spellStart"/>
      <w:r w:rsidRPr="007E7118"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E65A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21CC" w:rsidRPr="007E7118" w:rsidRDefault="004821CC" w:rsidP="003865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надається відповідь «так» хоча б на одне питання,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попередні розрахунки та заповнює всі пункти </w:t>
      </w:r>
      <w:r w:rsidR="00E65A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фінансово-економічних розрахунків до </w:t>
      </w:r>
      <w:proofErr w:type="spellStart"/>
      <w:r w:rsidR="00E65AE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E65A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65AE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Відповідаючи на питання, потрібно врахувати відмінність показників кожного року реалізації до попереднього періоду;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пункті 6 визначається перелік базових показників.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підпункті 6.1 зазначаються заінтересовані сторони, на забезпечення інтересів яких спрямовано реалізацію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актом будуть забезпечуватися потреби всього населення, у графі «Заінтересовані сторони» зазначається «все населення», а інші графи не заповнюються.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зазначаються у розрізі груп заінтересованих сторін (наприклад, за контингентом осіб у відповідній галузі (сфері), віком, статтю, місцем проживання, станом здоров’я, категорією пільг, суб’єктом підприємницької діяльності тощо) у разі різної вартості забезпечення інтересів таких груп, врахованих у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однакової вартості забезпечення інтересів різних груп зазначається кількість узагальненої групи.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підпункті 6.2 зазначаються прямі та непрямі витрати.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графі «Перелік показників» визначається потрібний для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перелік: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прямих витрат, до яких відносять витрати, безпосередньо пов’язані з наданням публічних послуг, виготовленням продукції тощо (наприклад, вартість сировини та основних матеріалів, що утворюють основу об’єкта витрат, заробітна плата, інші виплати робітникам, зайнятим у виконанні робіт, наданні послуг);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непрямих витрат, до яких відносять витрати, пов’язані з процесом надання послуг, виробництва тощо (наприклад, витрати на допоміжні матеріали, комунальні послуги, на допоміжний</w:t>
      </w:r>
      <w:r w:rsidRPr="00883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83E1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обслуговувальний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персонал тощо);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7 наводяться зведені фінансово-економічні розрахунки до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Заповнюються лише ті рядки і графи, за якими є показники.</w:t>
      </w:r>
    </w:p>
    <w:p w:rsidR="004821CC" w:rsidRPr="007E7118" w:rsidRDefault="004821CC" w:rsidP="004821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вид бюджету. Якщо є прямий та опосередкований вплив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надходження та витрати державного та місцевого бюджетів, спочатку заповнюється таблиця щодо такого впли</w:t>
      </w:r>
      <w:r w:rsidR="00E65A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 на державний бюджет, а потім –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місцевий та за потреби зазначається вид місцевого бюджету;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видатки наводяться за бюджетними програмами за КПКВК або ТПКВКМБ з подальшою їх деталізацією за напрямами використання бюджет</w:t>
      </w:r>
      <w:r w:rsidR="003B152C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 коштів та у разі можливості</w:t>
      </w:r>
      <w:r w:rsidR="003B15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кодами економічної класифікації видатків бюджету (КЕКВ);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доходи – за класифікацією доходів бюджету (ККД);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кредитів до бюджету та розподіл надання кредитів з                 бюджету – за КПКВК або ТПКВКМБ з подальшою їх деталізацією за кодами класифікації кредитування (ККК);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державні/місцеві гарантії – у розрізі суб’єктів господарювання; зазначається мета/назва інвестиційного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, рік набрання чинності гарантійною угодою та гарантійні зобов’язання із зазначенням суми гарантованого кредиту (позики) як в іноземній валюті, так і в національній, а також додаткові зобов’язання, що гарантуються;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державні/місцеві запозичення – за ініціатором залучення кредиту (позики) та мети/назви інвестиційного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реалізацію якого буде спрямовано запозичення;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 у валюті кредиту (позики) (у разі якщо кредит (позика) залучатиметься кількома траншами, додатково відображаються суми кожного окремого траншу кредиту (позики) із зазначенням року його отримання);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проставляється сума у валюті запозичення із зазначенням коду валюти, а також сума у національній валюті та зазначаються додаткові фінансові умови запозичення, що матимуть вплив на загальну вартість запозичення.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Зазначені показники формуються за результатом здійсненої розробником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оцінки впливу на бюджет і детальних розрахунків надходжень і витрат;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8 зазначаються обґрунтування та припущення щодо оцінки прямого та опосередкованого впливу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надходження та витрати державного та/або місцевого бюджетів на поточний рік та середньостроковий період.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Обґрунтування надаються щодо: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вартісного впливу або його відсутності на надходження і витрати державного та/або місцевих бюджетів;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включення нового заходу;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прогнозного обсягу витрат на його реалізацію з розбивкою за роками та ефекту від його впровадження, якщо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передбачає затвердження переліку заходів або змін до нього.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Припущення надаються щодо: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можливого впливу реалізації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надходження та витрати державного та/або місцевих бюджетів, виникнення ризиків, у тому числі фіскальних, та інших обставин, які  не можна спрогнозувати під час розроблення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ймовірних граничних меж впливу на надходження та витрати бюджету. 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передбачає здійснення державних/місцевих запозичень або містить фіскальні ризики, розробник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E7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надати припущення щодо можливої загальної суми збільшення зобов’язань та періоду настання такого випадку.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21CC" w:rsidRPr="007E7118" w:rsidRDefault="004821CC" w:rsidP="0048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Директор Департаменту </w:t>
      </w:r>
    </w:p>
    <w:p w:rsidR="004821CC" w:rsidRPr="007E7118" w:rsidRDefault="004821CC" w:rsidP="00482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E71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державного бюджету                                                  Володимир ЛОЗИЦЬКИЙ</w:t>
      </w: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21CC" w:rsidRPr="007E7118" w:rsidRDefault="004821CC" w:rsidP="004821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21CC" w:rsidRPr="007E7118" w:rsidRDefault="004821CC" w:rsidP="004821CC"/>
    <w:p w:rsidR="00A32CEC" w:rsidRPr="007E7118" w:rsidRDefault="006600BB"/>
    <w:sectPr w:rsidR="00A32CEC" w:rsidRPr="007E7118" w:rsidSect="00805A4D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BB" w:rsidRDefault="006600BB">
      <w:pPr>
        <w:spacing w:after="0" w:line="240" w:lineRule="auto"/>
      </w:pPr>
      <w:r>
        <w:separator/>
      </w:r>
    </w:p>
  </w:endnote>
  <w:endnote w:type="continuationSeparator" w:id="0">
    <w:p w:rsidR="006600BB" w:rsidRDefault="006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BB" w:rsidRDefault="006600BB">
      <w:pPr>
        <w:spacing w:after="0" w:line="240" w:lineRule="auto"/>
      </w:pPr>
      <w:r>
        <w:separator/>
      </w:r>
    </w:p>
  </w:footnote>
  <w:footnote w:type="continuationSeparator" w:id="0">
    <w:p w:rsidR="006600BB" w:rsidRDefault="006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2013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07D04" w:rsidRDefault="006600BB">
        <w:pPr>
          <w:pStyle w:val="a3"/>
          <w:jc w:val="center"/>
          <w:rPr>
            <w:rFonts w:ascii="Times New Roman" w:hAnsi="Times New Roman" w:cs="Times New Roman"/>
          </w:rPr>
        </w:pPr>
      </w:p>
      <w:p w:rsidR="00B07D04" w:rsidRPr="003608D1" w:rsidRDefault="00386565">
        <w:pPr>
          <w:pStyle w:val="a3"/>
          <w:jc w:val="center"/>
          <w:rPr>
            <w:rFonts w:ascii="Times New Roman" w:hAnsi="Times New Roman"/>
          </w:rPr>
        </w:pPr>
        <w:r w:rsidRPr="003608D1">
          <w:rPr>
            <w:rFonts w:ascii="Times New Roman" w:hAnsi="Times New Roman"/>
          </w:rPr>
          <w:fldChar w:fldCharType="begin"/>
        </w:r>
        <w:r w:rsidRPr="00A47B98">
          <w:rPr>
            <w:rFonts w:ascii="Times New Roman" w:hAnsi="Times New Roman" w:cs="Times New Roman"/>
          </w:rPr>
          <w:instrText>PAGE   \* MERGEFORMAT</w:instrText>
        </w:r>
        <w:r w:rsidRPr="003608D1">
          <w:rPr>
            <w:rFonts w:ascii="Times New Roman" w:hAnsi="Times New Roman"/>
          </w:rPr>
          <w:fldChar w:fldCharType="separate"/>
        </w:r>
        <w:r w:rsidR="00C80DB1">
          <w:rPr>
            <w:rFonts w:ascii="Times New Roman" w:hAnsi="Times New Roman" w:cs="Times New Roman"/>
            <w:noProof/>
          </w:rPr>
          <w:t>11</w:t>
        </w:r>
        <w:r w:rsidRPr="003608D1">
          <w:rPr>
            <w:rFonts w:ascii="Times New Roman" w:hAnsi="Times New Roman"/>
          </w:rPr>
          <w:fldChar w:fldCharType="end"/>
        </w:r>
      </w:p>
    </w:sdtContent>
  </w:sdt>
  <w:p w:rsidR="00B07D04" w:rsidRDefault="00660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CC"/>
    <w:rsid w:val="001109B1"/>
    <w:rsid w:val="0014478B"/>
    <w:rsid w:val="001D51B8"/>
    <w:rsid w:val="00242EC4"/>
    <w:rsid w:val="003155F5"/>
    <w:rsid w:val="0034424B"/>
    <w:rsid w:val="00386565"/>
    <w:rsid w:val="003B152C"/>
    <w:rsid w:val="003B6F8D"/>
    <w:rsid w:val="003D6818"/>
    <w:rsid w:val="003D7402"/>
    <w:rsid w:val="004821CC"/>
    <w:rsid w:val="006600BB"/>
    <w:rsid w:val="007A5F41"/>
    <w:rsid w:val="007D0300"/>
    <w:rsid w:val="007E6A26"/>
    <w:rsid w:val="007E7118"/>
    <w:rsid w:val="00883E10"/>
    <w:rsid w:val="008A4C95"/>
    <w:rsid w:val="009227DA"/>
    <w:rsid w:val="00AC5FB0"/>
    <w:rsid w:val="00B85BF9"/>
    <w:rsid w:val="00C0512D"/>
    <w:rsid w:val="00C80DB1"/>
    <w:rsid w:val="00C8100E"/>
    <w:rsid w:val="00CE7E75"/>
    <w:rsid w:val="00DD7A3A"/>
    <w:rsid w:val="00E65AE9"/>
    <w:rsid w:val="00F051FB"/>
    <w:rsid w:val="00F239A7"/>
    <w:rsid w:val="00F41FB6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EA928-8F80-49B7-A736-7494C2F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821CC"/>
  </w:style>
  <w:style w:type="character" w:customStyle="1" w:styleId="rvts9">
    <w:name w:val="rvts9"/>
    <w:basedOn w:val="a0"/>
    <w:rsid w:val="00AC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11271</Words>
  <Characters>6425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Ганнисик Людмила Василівна</cp:lastModifiedBy>
  <cp:revision>2</cp:revision>
  <cp:lastPrinted>2019-12-28T14:07:00Z</cp:lastPrinted>
  <dcterms:created xsi:type="dcterms:W3CDTF">2020-02-04T14:54:00Z</dcterms:created>
  <dcterms:modified xsi:type="dcterms:W3CDTF">2020-02-04T14:54:00Z</dcterms:modified>
</cp:coreProperties>
</file>