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3C7" w:rsidRPr="000167EF" w:rsidRDefault="003E23C7" w:rsidP="003E23C7">
      <w:pPr>
        <w:pStyle w:val="a4"/>
        <w:pageBreakBefore/>
        <w:spacing w:before="0" w:beforeAutospacing="0" w:after="0" w:afterAutospacing="0"/>
        <w:ind w:left="4678"/>
        <w:jc w:val="both"/>
        <w:rPr>
          <w:rFonts w:eastAsia="Times New Roman"/>
          <w:sz w:val="28"/>
          <w:szCs w:val="28"/>
          <w:lang w:eastAsia="ru-RU"/>
        </w:rPr>
      </w:pPr>
      <w:r w:rsidRPr="000167EF">
        <w:rPr>
          <w:rFonts w:eastAsia="Times New Roman"/>
          <w:sz w:val="28"/>
          <w:szCs w:val="28"/>
          <w:lang w:eastAsia="ru-RU"/>
        </w:rPr>
        <w:t>ЗАТВЕРДЖЕНО</w:t>
      </w:r>
    </w:p>
    <w:p w:rsidR="003E23C7" w:rsidRPr="000167EF" w:rsidRDefault="003E23C7" w:rsidP="003E23C7">
      <w:pPr>
        <w:pStyle w:val="a4"/>
        <w:spacing w:before="0" w:beforeAutospacing="0" w:after="0" w:afterAutospacing="0"/>
        <w:ind w:left="4678"/>
        <w:jc w:val="both"/>
        <w:rPr>
          <w:rFonts w:eastAsia="Times New Roman"/>
          <w:sz w:val="28"/>
          <w:szCs w:val="28"/>
          <w:lang w:eastAsia="ru-RU"/>
        </w:rPr>
      </w:pPr>
      <w:r w:rsidRPr="000167EF">
        <w:rPr>
          <w:rFonts w:eastAsia="Times New Roman"/>
          <w:sz w:val="28"/>
          <w:szCs w:val="28"/>
          <w:lang w:eastAsia="ru-RU"/>
        </w:rPr>
        <w:t>Наказ Міністерства фінансів України</w:t>
      </w:r>
    </w:p>
    <w:p w:rsidR="003E23C7" w:rsidRPr="000167EF" w:rsidRDefault="003E23C7" w:rsidP="003E23C7">
      <w:pPr>
        <w:pStyle w:val="a4"/>
        <w:spacing w:before="0" w:beforeAutospacing="0" w:after="0" w:afterAutospacing="0"/>
        <w:ind w:left="4678"/>
        <w:rPr>
          <w:rFonts w:eastAsia="Times New Roman"/>
          <w:sz w:val="28"/>
          <w:szCs w:val="28"/>
          <w:lang w:eastAsia="ru-RU"/>
        </w:rPr>
      </w:pPr>
      <w:r w:rsidRPr="000167EF">
        <w:rPr>
          <w:rFonts w:eastAsia="Times New Roman"/>
          <w:sz w:val="28"/>
          <w:szCs w:val="28"/>
          <w:lang w:eastAsia="ru-RU"/>
        </w:rPr>
        <w:t>______________</w:t>
      </w:r>
      <w:r w:rsidRPr="000167EF">
        <w:rPr>
          <w:rFonts w:eastAsia="Times New Roman"/>
          <w:sz w:val="28"/>
          <w:szCs w:val="28"/>
          <w:lang w:eastAsia="ru-RU"/>
        </w:rPr>
        <w:softHyphen/>
      </w:r>
      <w:r w:rsidRPr="000167EF">
        <w:rPr>
          <w:rFonts w:eastAsia="Times New Roman"/>
          <w:sz w:val="28"/>
          <w:szCs w:val="28"/>
          <w:lang w:eastAsia="ru-RU"/>
        </w:rPr>
        <w:softHyphen/>
      </w:r>
      <w:r w:rsidRPr="000167EF">
        <w:rPr>
          <w:rFonts w:eastAsia="Times New Roman"/>
          <w:sz w:val="28"/>
          <w:szCs w:val="28"/>
          <w:lang w:eastAsia="ru-RU"/>
        </w:rPr>
        <w:softHyphen/>
        <w:t>_2017 року № ____ </w:t>
      </w:r>
      <w:r w:rsidRPr="000167EF">
        <w:rPr>
          <w:rFonts w:eastAsia="Times New Roman"/>
          <w:sz w:val="28"/>
          <w:szCs w:val="28"/>
          <w:lang w:eastAsia="ru-RU"/>
        </w:rPr>
        <w:br/>
      </w:r>
    </w:p>
    <w:p w:rsidR="003E23C7" w:rsidRPr="000167EF" w:rsidRDefault="003E23C7" w:rsidP="003E23C7">
      <w:pPr>
        <w:pStyle w:val="3"/>
        <w:spacing w:before="500" w:after="360"/>
        <w:jc w:val="center"/>
        <w:rPr>
          <w:rFonts w:ascii="Times New Roman" w:eastAsia="Times New Roman" w:hAnsi="Times New Roman" w:cs="Times New Roman"/>
          <w:color w:val="auto"/>
          <w:sz w:val="28"/>
          <w:szCs w:val="28"/>
        </w:rPr>
      </w:pPr>
      <w:r w:rsidRPr="000167EF">
        <w:rPr>
          <w:rFonts w:ascii="Times New Roman" w:eastAsia="Times New Roman" w:hAnsi="Times New Roman" w:cs="Times New Roman"/>
          <w:color w:val="auto"/>
          <w:sz w:val="28"/>
          <w:szCs w:val="28"/>
        </w:rPr>
        <w:t>ЗМІНИ</w:t>
      </w:r>
      <w:r w:rsidRPr="000167EF">
        <w:rPr>
          <w:rFonts w:ascii="Times New Roman" w:eastAsia="Times New Roman" w:hAnsi="Times New Roman" w:cs="Times New Roman"/>
          <w:color w:val="auto"/>
          <w:sz w:val="28"/>
          <w:szCs w:val="28"/>
        </w:rPr>
        <w:br/>
        <w:t>до бюджетної класифікації</w:t>
      </w:r>
    </w:p>
    <w:p w:rsidR="003E23C7" w:rsidRPr="0075388F" w:rsidRDefault="003E23C7">
      <w:pPr>
        <w:rPr>
          <w:rFonts w:eastAsia="Times New Roman"/>
          <w:szCs w:val="28"/>
        </w:rPr>
      </w:pPr>
    </w:p>
    <w:p w:rsidR="002A170B" w:rsidRPr="0075388F" w:rsidRDefault="00836528" w:rsidP="00333AC6">
      <w:pPr>
        <w:pStyle w:val="a3"/>
        <w:numPr>
          <w:ilvl w:val="0"/>
          <w:numId w:val="2"/>
        </w:numPr>
        <w:rPr>
          <w:rFonts w:eastAsia="Times New Roman"/>
          <w:szCs w:val="28"/>
        </w:rPr>
      </w:pPr>
      <w:r w:rsidRPr="0075388F">
        <w:rPr>
          <w:rFonts w:eastAsia="Times New Roman"/>
          <w:szCs w:val="28"/>
        </w:rPr>
        <w:t>У</w:t>
      </w:r>
      <w:r w:rsidR="003E23C7" w:rsidRPr="0075388F">
        <w:rPr>
          <w:rFonts w:eastAsia="Times New Roman"/>
          <w:szCs w:val="28"/>
        </w:rPr>
        <w:t xml:space="preserve"> Класифікаці</w:t>
      </w:r>
      <w:r w:rsidRPr="0075388F">
        <w:rPr>
          <w:rFonts w:eastAsia="Times New Roman"/>
          <w:szCs w:val="28"/>
        </w:rPr>
        <w:t>ї доходів бюджету</w:t>
      </w:r>
      <w:r w:rsidR="003E23C7" w:rsidRPr="0075388F">
        <w:rPr>
          <w:rFonts w:eastAsia="Times New Roman"/>
          <w:szCs w:val="28"/>
        </w:rPr>
        <w:t>:</w:t>
      </w:r>
    </w:p>
    <w:p w:rsidR="00836528" w:rsidRPr="0075388F" w:rsidRDefault="00836528" w:rsidP="00836528">
      <w:pPr>
        <w:ind w:firstLine="709"/>
        <w:rPr>
          <w:rFonts w:eastAsia="Times New Roman"/>
          <w:szCs w:val="28"/>
        </w:rPr>
      </w:pPr>
    </w:p>
    <w:p w:rsidR="00836528" w:rsidRPr="0075388F" w:rsidRDefault="00836528" w:rsidP="00AE5D22">
      <w:pPr>
        <w:pStyle w:val="a3"/>
        <w:numPr>
          <w:ilvl w:val="0"/>
          <w:numId w:val="1"/>
        </w:numPr>
        <w:rPr>
          <w:rFonts w:eastAsia="Times New Roman"/>
          <w:szCs w:val="28"/>
        </w:rPr>
      </w:pPr>
      <w:r w:rsidRPr="0075388F">
        <w:rPr>
          <w:rFonts w:eastAsia="Times New Roman"/>
          <w:szCs w:val="28"/>
        </w:rPr>
        <w:t>доповнити такою позицією:</w:t>
      </w:r>
    </w:p>
    <w:p w:rsidR="00AE5D22" w:rsidRPr="0075388F" w:rsidRDefault="00AE5D22" w:rsidP="00AE5D22">
      <w:pPr>
        <w:pStyle w:val="a3"/>
        <w:ind w:left="1069"/>
        <w:rPr>
          <w:rFonts w:eastAsia="Times New Roman"/>
          <w:szCs w:val="28"/>
        </w:rPr>
      </w:pPr>
    </w:p>
    <w:tbl>
      <w:tblPr>
        <w:tblpPr w:leftFromText="180" w:rightFromText="180" w:vertAnchor="text" w:horzAnchor="page" w:tblpX="2293" w:tblpY="146"/>
        <w:tblW w:w="9322" w:type="dxa"/>
        <w:tblLayout w:type="fixed"/>
        <w:tblLook w:val="04A0" w:firstRow="1" w:lastRow="0" w:firstColumn="1" w:lastColumn="0" w:noHBand="0" w:noVBand="1"/>
      </w:tblPr>
      <w:tblGrid>
        <w:gridCol w:w="1560"/>
        <w:gridCol w:w="7762"/>
      </w:tblGrid>
      <w:tr w:rsidR="0075388F" w:rsidRPr="0075388F" w:rsidTr="003E23C7">
        <w:trPr>
          <w:trHeight w:val="133"/>
        </w:trPr>
        <w:tc>
          <w:tcPr>
            <w:tcW w:w="1560" w:type="dxa"/>
            <w:shd w:val="clear" w:color="auto" w:fill="auto"/>
          </w:tcPr>
          <w:p w:rsidR="003E23C7" w:rsidRPr="0075388F" w:rsidRDefault="003E23C7" w:rsidP="00054880">
            <w:pPr>
              <w:jc w:val="both"/>
              <w:rPr>
                <w:rFonts w:cs="Times New Roman"/>
                <w:szCs w:val="28"/>
              </w:rPr>
            </w:pPr>
            <w:r w:rsidRPr="0075388F">
              <w:rPr>
                <w:rFonts w:cs="Times New Roman"/>
                <w:szCs w:val="28"/>
              </w:rPr>
              <w:t>«</w:t>
            </w:r>
            <w:r w:rsidR="00502762" w:rsidRPr="0075388F">
              <w:rPr>
                <w:rFonts w:cs="Times New Roman"/>
                <w:szCs w:val="28"/>
              </w:rPr>
              <w:t>210816</w:t>
            </w:r>
            <w:r w:rsidR="00054880" w:rsidRPr="0075388F">
              <w:rPr>
                <w:rFonts w:cs="Times New Roman"/>
                <w:szCs w:val="28"/>
              </w:rPr>
              <w:t>00</w:t>
            </w:r>
          </w:p>
        </w:tc>
        <w:tc>
          <w:tcPr>
            <w:tcW w:w="7762" w:type="dxa"/>
            <w:shd w:val="clear" w:color="auto" w:fill="auto"/>
          </w:tcPr>
          <w:p w:rsidR="003E23C7" w:rsidRPr="0075388F" w:rsidRDefault="00054880" w:rsidP="000618A1">
            <w:pPr>
              <w:jc w:val="both"/>
              <w:rPr>
                <w:rFonts w:cs="Times New Roman"/>
                <w:szCs w:val="28"/>
              </w:rPr>
            </w:pPr>
            <w:r w:rsidRPr="0075388F">
              <w:rPr>
                <w:rFonts w:cs="Times New Roman"/>
                <w:szCs w:val="28"/>
              </w:rPr>
              <w:t>Плата за експлуатацію газорозподіль</w:t>
            </w:r>
            <w:r w:rsidR="000618A1" w:rsidRPr="0075388F">
              <w:rPr>
                <w:rFonts w:cs="Times New Roman"/>
                <w:szCs w:val="28"/>
              </w:rPr>
              <w:t>н</w:t>
            </w:r>
            <w:r w:rsidRPr="0075388F">
              <w:rPr>
                <w:rFonts w:cs="Times New Roman"/>
                <w:szCs w:val="28"/>
              </w:rPr>
              <w:t>их систем або їх складових</w:t>
            </w:r>
            <w:r w:rsidR="00EF424F" w:rsidRPr="0075388F">
              <w:rPr>
                <w:rFonts w:cs="Times New Roman"/>
                <w:szCs w:val="28"/>
                <w:lang w:val="ru-RU"/>
              </w:rPr>
              <w:t>»</w:t>
            </w:r>
            <w:r w:rsidR="00386BF6">
              <w:rPr>
                <w:rFonts w:cs="Times New Roman"/>
                <w:szCs w:val="28"/>
              </w:rPr>
              <w:t>;</w:t>
            </w:r>
          </w:p>
        </w:tc>
      </w:tr>
    </w:tbl>
    <w:p w:rsidR="00836528" w:rsidRPr="0075388F" w:rsidRDefault="00836528" w:rsidP="003E23C7">
      <w:pPr>
        <w:ind w:firstLine="709"/>
        <w:rPr>
          <w:rFonts w:eastAsia="Times New Roman"/>
          <w:szCs w:val="28"/>
        </w:rPr>
      </w:pPr>
    </w:p>
    <w:p w:rsidR="00836528" w:rsidRPr="0075388F" w:rsidRDefault="00935286" w:rsidP="003E23C7">
      <w:pPr>
        <w:ind w:firstLine="709"/>
        <w:rPr>
          <w:rFonts w:eastAsia="Times New Roman"/>
          <w:szCs w:val="28"/>
        </w:rPr>
      </w:pPr>
      <w:r w:rsidRPr="0075388F">
        <w:rPr>
          <w:rFonts w:eastAsia="Times New Roman"/>
          <w:szCs w:val="28"/>
        </w:rPr>
        <w:t>2) позиції</w:t>
      </w:r>
      <w:r w:rsidR="00836528" w:rsidRPr="0075388F">
        <w:rPr>
          <w:rFonts w:eastAsia="Times New Roman"/>
          <w:szCs w:val="28"/>
        </w:rPr>
        <w:t xml:space="preserve"> </w:t>
      </w:r>
    </w:p>
    <w:p w:rsidR="00836528" w:rsidRPr="0075388F" w:rsidRDefault="00836528" w:rsidP="003E23C7">
      <w:pPr>
        <w:ind w:firstLine="709"/>
        <w:rPr>
          <w:rFonts w:eastAsia="Times New Roman"/>
          <w:szCs w:val="28"/>
        </w:rPr>
      </w:pPr>
    </w:p>
    <w:tbl>
      <w:tblPr>
        <w:tblpPr w:leftFromText="180" w:rightFromText="180" w:vertAnchor="text" w:horzAnchor="page" w:tblpX="2293" w:tblpY="146"/>
        <w:tblW w:w="9322" w:type="dxa"/>
        <w:tblLayout w:type="fixed"/>
        <w:tblLook w:val="04A0" w:firstRow="1" w:lastRow="0" w:firstColumn="1" w:lastColumn="0" w:noHBand="0" w:noVBand="1"/>
      </w:tblPr>
      <w:tblGrid>
        <w:gridCol w:w="1560"/>
        <w:gridCol w:w="7762"/>
      </w:tblGrid>
      <w:tr w:rsidR="0075388F" w:rsidRPr="0075388F" w:rsidTr="00CC2AB6">
        <w:trPr>
          <w:trHeight w:val="133"/>
        </w:trPr>
        <w:tc>
          <w:tcPr>
            <w:tcW w:w="1560" w:type="dxa"/>
            <w:shd w:val="clear" w:color="auto" w:fill="auto"/>
          </w:tcPr>
          <w:p w:rsidR="00836528" w:rsidRPr="0075388F" w:rsidRDefault="00935286" w:rsidP="00791E09">
            <w:pPr>
              <w:jc w:val="both"/>
              <w:rPr>
                <w:rFonts w:cs="Times New Roman"/>
                <w:szCs w:val="28"/>
              </w:rPr>
            </w:pPr>
            <w:r w:rsidRPr="0075388F">
              <w:rPr>
                <w:rFonts w:cs="Times New Roman"/>
                <w:szCs w:val="28"/>
              </w:rPr>
              <w:t>«24130100</w:t>
            </w:r>
          </w:p>
        </w:tc>
        <w:tc>
          <w:tcPr>
            <w:tcW w:w="7762" w:type="dxa"/>
            <w:shd w:val="clear" w:color="auto" w:fill="auto"/>
          </w:tcPr>
          <w:p w:rsidR="00836528" w:rsidRPr="0075388F" w:rsidRDefault="00935286" w:rsidP="002E1F3F">
            <w:pPr>
              <w:spacing w:after="120"/>
              <w:jc w:val="both"/>
              <w:rPr>
                <w:rFonts w:cs="Times New Roman"/>
                <w:szCs w:val="28"/>
              </w:rPr>
            </w:pPr>
            <w:r w:rsidRPr="0075388F">
              <w:rPr>
                <w:rFonts w:cs="Times New Roman"/>
                <w:szCs w:val="28"/>
              </w:rPr>
              <w:t>Збір на соціально-економічну компенсацію ризику населення, яке проживає на території зони спостереження, що сплачується експлуатуючими організаціями при реалізації електричної енергії</w:t>
            </w:r>
          </w:p>
        </w:tc>
      </w:tr>
      <w:tr w:rsidR="0075388F" w:rsidRPr="0075388F" w:rsidTr="00CC2AB6">
        <w:trPr>
          <w:trHeight w:val="133"/>
        </w:trPr>
        <w:tc>
          <w:tcPr>
            <w:tcW w:w="1560" w:type="dxa"/>
            <w:shd w:val="clear" w:color="auto" w:fill="auto"/>
          </w:tcPr>
          <w:p w:rsidR="00935286" w:rsidRPr="0075388F" w:rsidRDefault="00935286" w:rsidP="00791E09">
            <w:pPr>
              <w:jc w:val="both"/>
              <w:rPr>
                <w:rFonts w:cs="Times New Roman"/>
                <w:szCs w:val="28"/>
              </w:rPr>
            </w:pPr>
            <w:r w:rsidRPr="0075388F">
              <w:rPr>
                <w:rFonts w:cs="Times New Roman"/>
                <w:szCs w:val="28"/>
              </w:rPr>
              <w:t>24130300</w:t>
            </w:r>
          </w:p>
        </w:tc>
        <w:tc>
          <w:tcPr>
            <w:tcW w:w="7762" w:type="dxa"/>
            <w:shd w:val="clear" w:color="auto" w:fill="auto"/>
          </w:tcPr>
          <w:p w:rsidR="00935286" w:rsidRPr="0075388F" w:rsidRDefault="00935286" w:rsidP="002E1F3F">
            <w:pPr>
              <w:spacing w:after="120"/>
              <w:jc w:val="both"/>
              <w:rPr>
                <w:rFonts w:cs="Times New Roman"/>
                <w:szCs w:val="28"/>
              </w:rPr>
            </w:pPr>
            <w:r w:rsidRPr="0075388F">
              <w:rPr>
                <w:rFonts w:cs="Times New Roman"/>
                <w:szCs w:val="28"/>
              </w:rPr>
              <w:t>Збір на соціально-економічну компенсацію ризику населення, яке проживає на території зони спостереження, що сплачується експлуатуючими організаціями за зберігання відпрацьованого ядерного палива  </w:t>
            </w:r>
          </w:p>
        </w:tc>
      </w:tr>
      <w:tr w:rsidR="0075388F" w:rsidRPr="0075388F" w:rsidTr="00CC2AB6">
        <w:trPr>
          <w:trHeight w:val="133"/>
        </w:trPr>
        <w:tc>
          <w:tcPr>
            <w:tcW w:w="1560" w:type="dxa"/>
            <w:shd w:val="clear" w:color="auto" w:fill="auto"/>
          </w:tcPr>
          <w:p w:rsidR="00935286" w:rsidRPr="0075388F" w:rsidRDefault="00935286" w:rsidP="00935286">
            <w:pPr>
              <w:jc w:val="both"/>
              <w:rPr>
                <w:rFonts w:cs="Times New Roman"/>
                <w:szCs w:val="28"/>
              </w:rPr>
            </w:pPr>
            <w:r w:rsidRPr="0075388F">
              <w:rPr>
                <w:rFonts w:cs="Times New Roman"/>
                <w:szCs w:val="28"/>
              </w:rPr>
              <w:t>41036100</w:t>
            </w:r>
          </w:p>
        </w:tc>
        <w:tc>
          <w:tcPr>
            <w:tcW w:w="7762" w:type="dxa"/>
            <w:shd w:val="clear" w:color="auto" w:fill="auto"/>
          </w:tcPr>
          <w:p w:rsidR="00935286" w:rsidRPr="0075388F" w:rsidRDefault="001128A0" w:rsidP="002E1F3F">
            <w:pPr>
              <w:spacing w:after="120"/>
              <w:jc w:val="both"/>
              <w:rPr>
                <w:rFonts w:cs="Times New Roman"/>
                <w:szCs w:val="28"/>
              </w:rPr>
            </w:pPr>
            <w:r w:rsidRPr="0075388F">
              <w:rPr>
                <w:rFonts w:cs="Times New Roman"/>
                <w:szCs w:val="28"/>
              </w:rPr>
              <w:t xml:space="preserve">Субвенція з державного бюджету місцевим бюджетам на виплату грошової компенсації за належні для отримання жилі приміщення для сімей загиблих осіб, визначених абзацами 5 - </w:t>
            </w:r>
            <w:r w:rsidRPr="000D1A67">
              <w:rPr>
                <w:rFonts w:cs="Times New Roman"/>
                <w:szCs w:val="28"/>
              </w:rPr>
              <w:t xml:space="preserve">8 пункту 1 статті 10, а також для осіб з інвалідністю I - </w:t>
            </w:r>
            <w:r w:rsidR="00341C99" w:rsidRPr="000D1A67">
              <w:rPr>
                <w:rFonts w:cs="Times New Roman"/>
                <w:szCs w:val="28"/>
              </w:rPr>
              <w:t xml:space="preserve">                       </w:t>
            </w:r>
            <w:r w:rsidRPr="000D1A67">
              <w:rPr>
                <w:rFonts w:cs="Times New Roman"/>
                <w:szCs w:val="28"/>
              </w:rPr>
              <w:t xml:space="preserve">II групи, визначених абзацами 11 - 14 частини другої статті 7 Закону </w:t>
            </w:r>
            <w:r w:rsidRPr="0075388F">
              <w:rPr>
                <w:rFonts w:cs="Times New Roman"/>
                <w:szCs w:val="28"/>
              </w:rPr>
              <w:t>України "Про статус ветеранів війни, гарантії їх соціального захисту", та осіб, які втратили функціональні можливості нижніх кінцівок, інвалідність яких настала внаслідок поранення, контузії, каліцтва або захворювання, одержаних під час безпосередньої участі в антитерористичній операції, та потребують поліпшення житлових умов</w:t>
            </w:r>
            <w:r w:rsidR="00386BF6">
              <w:rPr>
                <w:rFonts w:cs="Times New Roman"/>
                <w:szCs w:val="28"/>
              </w:rPr>
              <w:t>»</w:t>
            </w:r>
          </w:p>
        </w:tc>
      </w:tr>
    </w:tbl>
    <w:p w:rsidR="00836528" w:rsidRPr="0075388F" w:rsidRDefault="00836528" w:rsidP="003E23C7">
      <w:pPr>
        <w:ind w:firstLine="709"/>
        <w:rPr>
          <w:rFonts w:eastAsia="Times New Roman"/>
          <w:szCs w:val="28"/>
        </w:rPr>
      </w:pPr>
    </w:p>
    <w:p w:rsidR="00791E09" w:rsidRPr="0075388F" w:rsidRDefault="00935286" w:rsidP="003E23C7">
      <w:pPr>
        <w:ind w:firstLine="709"/>
        <w:rPr>
          <w:rFonts w:eastAsia="Times New Roman"/>
          <w:szCs w:val="28"/>
        </w:rPr>
      </w:pPr>
      <w:r w:rsidRPr="0075388F">
        <w:rPr>
          <w:rFonts w:eastAsia="Times New Roman"/>
          <w:szCs w:val="28"/>
        </w:rPr>
        <w:t>замінити позиціями</w:t>
      </w:r>
      <w:r w:rsidR="00791E09" w:rsidRPr="0075388F">
        <w:rPr>
          <w:rFonts w:eastAsia="Times New Roman"/>
          <w:szCs w:val="28"/>
        </w:rPr>
        <w:t>:</w:t>
      </w:r>
    </w:p>
    <w:p w:rsidR="00791E09" w:rsidRPr="0075388F" w:rsidRDefault="00791E09" w:rsidP="003E23C7">
      <w:pPr>
        <w:ind w:firstLine="709"/>
        <w:rPr>
          <w:rFonts w:eastAsia="Times New Roman"/>
          <w:szCs w:val="28"/>
        </w:rPr>
      </w:pPr>
    </w:p>
    <w:tbl>
      <w:tblPr>
        <w:tblpPr w:leftFromText="180" w:rightFromText="180" w:vertAnchor="text" w:horzAnchor="page" w:tblpX="2293" w:tblpY="146"/>
        <w:tblW w:w="9322" w:type="dxa"/>
        <w:tblLayout w:type="fixed"/>
        <w:tblLook w:val="04A0" w:firstRow="1" w:lastRow="0" w:firstColumn="1" w:lastColumn="0" w:noHBand="0" w:noVBand="1"/>
      </w:tblPr>
      <w:tblGrid>
        <w:gridCol w:w="1560"/>
        <w:gridCol w:w="7762"/>
      </w:tblGrid>
      <w:tr w:rsidR="0075388F" w:rsidRPr="0075388F" w:rsidTr="00CC2AB6">
        <w:trPr>
          <w:trHeight w:val="133"/>
        </w:trPr>
        <w:tc>
          <w:tcPr>
            <w:tcW w:w="1560" w:type="dxa"/>
            <w:shd w:val="clear" w:color="auto" w:fill="auto"/>
          </w:tcPr>
          <w:p w:rsidR="00791E09" w:rsidRPr="0075388F" w:rsidRDefault="00935286" w:rsidP="00CC2AB6">
            <w:pPr>
              <w:jc w:val="both"/>
              <w:rPr>
                <w:rFonts w:cs="Times New Roman"/>
                <w:szCs w:val="28"/>
              </w:rPr>
            </w:pPr>
            <w:r w:rsidRPr="0075388F">
              <w:rPr>
                <w:rFonts w:cs="Times New Roman"/>
                <w:szCs w:val="28"/>
              </w:rPr>
              <w:t>«24130100</w:t>
            </w:r>
          </w:p>
        </w:tc>
        <w:tc>
          <w:tcPr>
            <w:tcW w:w="7762" w:type="dxa"/>
            <w:shd w:val="clear" w:color="auto" w:fill="auto"/>
          </w:tcPr>
          <w:p w:rsidR="00791E09" w:rsidRPr="0075388F" w:rsidRDefault="00935286" w:rsidP="002E1F3F">
            <w:pPr>
              <w:spacing w:after="120"/>
              <w:jc w:val="both"/>
              <w:rPr>
                <w:rFonts w:cs="Times New Roman"/>
                <w:szCs w:val="28"/>
              </w:rPr>
            </w:pPr>
            <w:r w:rsidRPr="0075388F">
              <w:rPr>
                <w:rFonts w:cs="Times New Roman"/>
                <w:szCs w:val="28"/>
              </w:rPr>
              <w:t xml:space="preserve">Збір на соціально-економічну компенсацію ризику населення, </w:t>
            </w:r>
            <w:r w:rsidRPr="0075388F">
              <w:rPr>
                <w:rFonts w:cs="Times New Roman"/>
                <w:szCs w:val="28"/>
              </w:rPr>
              <w:lastRenderedPageBreak/>
              <w:t>яке проживає на території зони спостереження, що сплачується експлуатуючими організаціями ядерних установок</w:t>
            </w:r>
          </w:p>
        </w:tc>
      </w:tr>
      <w:tr w:rsidR="0075388F" w:rsidRPr="0075388F" w:rsidTr="00CC2AB6">
        <w:trPr>
          <w:trHeight w:val="133"/>
        </w:trPr>
        <w:tc>
          <w:tcPr>
            <w:tcW w:w="1560" w:type="dxa"/>
            <w:shd w:val="clear" w:color="auto" w:fill="auto"/>
          </w:tcPr>
          <w:p w:rsidR="00935286" w:rsidRPr="0075388F" w:rsidRDefault="00935286" w:rsidP="00CC2AB6">
            <w:pPr>
              <w:jc w:val="both"/>
              <w:rPr>
                <w:rFonts w:cs="Times New Roman"/>
                <w:szCs w:val="28"/>
              </w:rPr>
            </w:pPr>
            <w:r w:rsidRPr="0075388F">
              <w:rPr>
                <w:rFonts w:cs="Times New Roman"/>
                <w:szCs w:val="28"/>
              </w:rPr>
              <w:lastRenderedPageBreak/>
              <w:t>24130300</w:t>
            </w:r>
          </w:p>
        </w:tc>
        <w:tc>
          <w:tcPr>
            <w:tcW w:w="7762" w:type="dxa"/>
            <w:shd w:val="clear" w:color="auto" w:fill="auto"/>
          </w:tcPr>
          <w:p w:rsidR="00935286" w:rsidRPr="0075388F" w:rsidRDefault="00935286" w:rsidP="002E1F3F">
            <w:pPr>
              <w:spacing w:after="120"/>
              <w:jc w:val="both"/>
              <w:rPr>
                <w:rFonts w:cs="Times New Roman"/>
                <w:szCs w:val="28"/>
              </w:rPr>
            </w:pPr>
            <w:r w:rsidRPr="0075388F">
              <w:rPr>
                <w:rFonts w:cs="Times New Roman"/>
                <w:szCs w:val="28"/>
              </w:rPr>
              <w:t>Збір на соціально-економічну компенсацію ризику населення, яке проживає на території зони спостереження, що сплачується підприємствами, які є замовниками будівництва нових ядерних установок або об’єктів, призначених для поводження з радіоактивними відходами, які мають загальнодержавне значення</w:t>
            </w:r>
          </w:p>
        </w:tc>
      </w:tr>
      <w:tr w:rsidR="0075388F" w:rsidRPr="0075388F" w:rsidTr="00CC2AB6">
        <w:trPr>
          <w:trHeight w:val="133"/>
        </w:trPr>
        <w:tc>
          <w:tcPr>
            <w:tcW w:w="1560" w:type="dxa"/>
            <w:shd w:val="clear" w:color="auto" w:fill="auto"/>
          </w:tcPr>
          <w:p w:rsidR="00935286" w:rsidRPr="0075388F" w:rsidRDefault="00935286" w:rsidP="00935286">
            <w:pPr>
              <w:jc w:val="both"/>
              <w:rPr>
                <w:rFonts w:cs="Times New Roman"/>
                <w:szCs w:val="28"/>
              </w:rPr>
            </w:pPr>
            <w:r w:rsidRPr="0075388F">
              <w:rPr>
                <w:rFonts w:cs="Times New Roman"/>
                <w:szCs w:val="28"/>
              </w:rPr>
              <w:t>41036100</w:t>
            </w:r>
          </w:p>
        </w:tc>
        <w:tc>
          <w:tcPr>
            <w:tcW w:w="7762" w:type="dxa"/>
            <w:shd w:val="clear" w:color="auto" w:fill="auto"/>
          </w:tcPr>
          <w:p w:rsidR="00935286" w:rsidRPr="0075388F" w:rsidRDefault="00B7258B" w:rsidP="002E1F3F">
            <w:pPr>
              <w:spacing w:after="120"/>
              <w:jc w:val="both"/>
              <w:rPr>
                <w:rFonts w:cs="Times New Roman"/>
                <w:szCs w:val="28"/>
              </w:rPr>
            </w:pPr>
            <w:r w:rsidRPr="0075388F">
              <w:rPr>
                <w:rFonts w:cs="Times New Roman"/>
                <w:szCs w:val="28"/>
              </w:rPr>
              <w:t xml:space="preserve">Субвенція з державного бюджету місцевим бюджетам на виплату грошової компенсації за належні для отримання жилі приміщення для сімей загиблих осіб, визначених абзацами 5 - 8 пункту 1 статті 10, а також для осіб з інвалідністю I - </w:t>
            </w:r>
            <w:r w:rsidR="00341C99">
              <w:rPr>
                <w:rFonts w:cs="Times New Roman"/>
                <w:szCs w:val="28"/>
              </w:rPr>
              <w:t xml:space="preserve">                       </w:t>
            </w:r>
            <w:bookmarkStart w:id="0" w:name="_GoBack"/>
            <w:r w:rsidRPr="000D1A67">
              <w:rPr>
                <w:rFonts w:cs="Times New Roman"/>
                <w:szCs w:val="28"/>
              </w:rPr>
              <w:t>II</w:t>
            </w:r>
            <w:bookmarkEnd w:id="0"/>
            <w:r w:rsidRPr="0075388F">
              <w:rPr>
                <w:rFonts w:cs="Times New Roman"/>
                <w:szCs w:val="28"/>
              </w:rPr>
              <w:t xml:space="preserve"> групи, визначених пунктами 11 - 14 частини другої статті 7 Закону України "Про статус ветеранів війни, гарантії їх соціального захисту", та осіб, які втратили функціональні можливості нижніх кінцівок, інвалідність яких настала внаслідок поранення, контузії, каліцтва або захворювання, одержаних під час безпосередньої участі в антитерористичній операції, та потребують поліпшення житлових умов»</w:t>
            </w:r>
            <w:r w:rsidR="00935286" w:rsidRPr="0075388F">
              <w:rPr>
                <w:rFonts w:cs="Times New Roman"/>
                <w:szCs w:val="28"/>
              </w:rPr>
              <w:t>.</w:t>
            </w:r>
          </w:p>
        </w:tc>
      </w:tr>
    </w:tbl>
    <w:p w:rsidR="00AE5D22" w:rsidRPr="0075388F" w:rsidRDefault="00AE5D22" w:rsidP="003E23C7">
      <w:pPr>
        <w:ind w:firstLine="709"/>
        <w:rPr>
          <w:rFonts w:eastAsia="Times New Roman"/>
          <w:szCs w:val="28"/>
        </w:rPr>
      </w:pPr>
    </w:p>
    <w:p w:rsidR="003E23C7" w:rsidRPr="0075388F" w:rsidRDefault="001E557E" w:rsidP="003E23C7">
      <w:pPr>
        <w:ind w:firstLine="709"/>
        <w:rPr>
          <w:rFonts w:eastAsia="Times New Roman"/>
          <w:szCs w:val="28"/>
          <w:lang w:val="ru-RU"/>
        </w:rPr>
      </w:pPr>
      <w:r w:rsidRPr="0075388F">
        <w:rPr>
          <w:rFonts w:eastAsia="Times New Roman"/>
          <w:szCs w:val="28"/>
        </w:rPr>
        <w:t>2.</w:t>
      </w:r>
      <w:r w:rsidR="00716AC2" w:rsidRPr="0075388F">
        <w:rPr>
          <w:rFonts w:eastAsia="Times New Roman"/>
          <w:szCs w:val="28"/>
        </w:rPr>
        <w:t xml:space="preserve"> У </w:t>
      </w:r>
      <w:r w:rsidR="00054880" w:rsidRPr="0075388F">
        <w:rPr>
          <w:rFonts w:eastAsia="Times New Roman"/>
          <w:szCs w:val="28"/>
        </w:rPr>
        <w:t>Відомчій класифікації видатків та кредитування державного бюджету позицію</w:t>
      </w:r>
      <w:r w:rsidR="001E7C1D" w:rsidRPr="0075388F">
        <w:rPr>
          <w:rFonts w:eastAsia="Times New Roman"/>
          <w:szCs w:val="28"/>
        </w:rPr>
        <w:t>:</w:t>
      </w:r>
    </w:p>
    <w:p w:rsidR="00EF424F" w:rsidRPr="0075388F" w:rsidRDefault="00EF424F" w:rsidP="003E23C7">
      <w:pPr>
        <w:ind w:firstLine="709"/>
        <w:rPr>
          <w:rFonts w:eastAsia="Times New Roman"/>
          <w:sz w:val="20"/>
          <w:szCs w:val="20"/>
          <w:lang w:val="ru-RU"/>
        </w:rPr>
      </w:pPr>
    </w:p>
    <w:tbl>
      <w:tblPr>
        <w:tblpPr w:leftFromText="180" w:rightFromText="180" w:vertAnchor="text" w:horzAnchor="page" w:tblpX="2293" w:tblpY="146"/>
        <w:tblW w:w="9322" w:type="dxa"/>
        <w:tblLayout w:type="fixed"/>
        <w:tblLook w:val="04A0" w:firstRow="1" w:lastRow="0" w:firstColumn="1" w:lastColumn="0" w:noHBand="0" w:noVBand="1"/>
      </w:tblPr>
      <w:tblGrid>
        <w:gridCol w:w="1560"/>
        <w:gridCol w:w="7762"/>
      </w:tblGrid>
      <w:tr w:rsidR="0075388F" w:rsidRPr="0075388F" w:rsidTr="003E23C7">
        <w:trPr>
          <w:trHeight w:val="133"/>
        </w:trPr>
        <w:tc>
          <w:tcPr>
            <w:tcW w:w="1560" w:type="dxa"/>
            <w:shd w:val="clear" w:color="auto" w:fill="auto"/>
          </w:tcPr>
          <w:p w:rsidR="003E23C7" w:rsidRPr="0075388F" w:rsidRDefault="003E23C7" w:rsidP="00054880">
            <w:pPr>
              <w:jc w:val="both"/>
              <w:rPr>
                <w:rFonts w:cs="Times New Roman"/>
                <w:szCs w:val="28"/>
              </w:rPr>
            </w:pPr>
            <w:r w:rsidRPr="0075388F">
              <w:rPr>
                <w:rFonts w:cs="Times New Roman"/>
                <w:szCs w:val="28"/>
              </w:rPr>
              <w:t>«</w:t>
            </w:r>
            <w:r w:rsidR="00054880" w:rsidRPr="0075388F">
              <w:rPr>
                <w:rFonts w:cs="Times New Roman"/>
                <w:szCs w:val="28"/>
              </w:rPr>
              <w:t>598</w:t>
            </w:r>
          </w:p>
        </w:tc>
        <w:tc>
          <w:tcPr>
            <w:tcW w:w="7762" w:type="dxa"/>
            <w:shd w:val="clear" w:color="auto" w:fill="auto"/>
          </w:tcPr>
          <w:p w:rsidR="003E23C7" w:rsidRPr="0075388F" w:rsidRDefault="00054880" w:rsidP="00080BFE">
            <w:pPr>
              <w:jc w:val="both"/>
              <w:rPr>
                <w:rFonts w:cs="Times New Roman"/>
                <w:szCs w:val="28"/>
              </w:rPr>
            </w:pPr>
            <w:r w:rsidRPr="0075388F">
              <w:rPr>
                <w:rFonts w:cs="Times New Roman"/>
                <w:szCs w:val="28"/>
              </w:rPr>
              <w:t>Вища рада юстиції»</w:t>
            </w:r>
          </w:p>
        </w:tc>
      </w:tr>
    </w:tbl>
    <w:p w:rsidR="003E23C7" w:rsidRPr="0075388F" w:rsidRDefault="003E23C7">
      <w:pPr>
        <w:rPr>
          <w:sz w:val="20"/>
          <w:szCs w:val="20"/>
        </w:rPr>
      </w:pPr>
    </w:p>
    <w:p w:rsidR="003E23C7" w:rsidRPr="0075388F" w:rsidRDefault="00054880" w:rsidP="003E23C7">
      <w:pPr>
        <w:rPr>
          <w:rFonts w:eastAsia="Times New Roman"/>
          <w:szCs w:val="28"/>
          <w:lang w:val="ru-RU"/>
        </w:rPr>
      </w:pPr>
      <w:r w:rsidRPr="0075388F">
        <w:rPr>
          <w:rFonts w:eastAsia="Times New Roman"/>
          <w:szCs w:val="28"/>
        </w:rPr>
        <w:t>замінити</w:t>
      </w:r>
      <w:r w:rsidR="003E08F6" w:rsidRPr="0075388F">
        <w:rPr>
          <w:rFonts w:eastAsia="Times New Roman"/>
          <w:szCs w:val="28"/>
        </w:rPr>
        <w:t xml:space="preserve"> позиці</w:t>
      </w:r>
      <w:r w:rsidRPr="0075388F">
        <w:rPr>
          <w:rFonts w:eastAsia="Times New Roman"/>
          <w:szCs w:val="28"/>
        </w:rPr>
        <w:t>єю</w:t>
      </w:r>
      <w:r w:rsidR="001E7C1D" w:rsidRPr="0075388F">
        <w:rPr>
          <w:rFonts w:eastAsia="Times New Roman"/>
          <w:szCs w:val="28"/>
        </w:rPr>
        <w:t>:</w:t>
      </w:r>
    </w:p>
    <w:p w:rsidR="00EF424F" w:rsidRPr="0075388F" w:rsidRDefault="00EF424F" w:rsidP="003E23C7">
      <w:pPr>
        <w:rPr>
          <w:sz w:val="20"/>
          <w:szCs w:val="20"/>
          <w:lang w:val="ru-RU"/>
        </w:rPr>
      </w:pPr>
    </w:p>
    <w:tbl>
      <w:tblPr>
        <w:tblpPr w:leftFromText="180" w:rightFromText="180" w:vertAnchor="text" w:horzAnchor="page" w:tblpX="2293" w:tblpY="146"/>
        <w:tblW w:w="9322" w:type="dxa"/>
        <w:tblLayout w:type="fixed"/>
        <w:tblLook w:val="04A0" w:firstRow="1" w:lastRow="0" w:firstColumn="1" w:lastColumn="0" w:noHBand="0" w:noVBand="1"/>
      </w:tblPr>
      <w:tblGrid>
        <w:gridCol w:w="1560"/>
        <w:gridCol w:w="7762"/>
      </w:tblGrid>
      <w:tr w:rsidR="0075388F" w:rsidRPr="0075388F" w:rsidTr="003E23C7">
        <w:trPr>
          <w:trHeight w:val="133"/>
        </w:trPr>
        <w:tc>
          <w:tcPr>
            <w:tcW w:w="1560" w:type="dxa"/>
            <w:shd w:val="clear" w:color="auto" w:fill="auto"/>
          </w:tcPr>
          <w:p w:rsidR="003E23C7" w:rsidRPr="0075388F" w:rsidRDefault="003E23C7" w:rsidP="00054880">
            <w:pPr>
              <w:jc w:val="both"/>
              <w:rPr>
                <w:rFonts w:cs="Times New Roman"/>
                <w:szCs w:val="28"/>
              </w:rPr>
            </w:pPr>
            <w:r w:rsidRPr="0075388F">
              <w:rPr>
                <w:rFonts w:cs="Times New Roman"/>
                <w:szCs w:val="28"/>
              </w:rPr>
              <w:t>«</w:t>
            </w:r>
            <w:r w:rsidR="00054880" w:rsidRPr="0075388F">
              <w:rPr>
                <w:rFonts w:cs="Times New Roman"/>
                <w:szCs w:val="28"/>
              </w:rPr>
              <w:t>598</w:t>
            </w:r>
          </w:p>
        </w:tc>
        <w:tc>
          <w:tcPr>
            <w:tcW w:w="7762" w:type="dxa"/>
            <w:shd w:val="clear" w:color="auto" w:fill="auto"/>
          </w:tcPr>
          <w:p w:rsidR="003E23C7" w:rsidRPr="0075388F" w:rsidRDefault="00054880" w:rsidP="003E23C7">
            <w:pPr>
              <w:jc w:val="both"/>
              <w:rPr>
                <w:rFonts w:cs="Times New Roman"/>
                <w:szCs w:val="28"/>
              </w:rPr>
            </w:pPr>
            <w:r w:rsidRPr="0075388F">
              <w:rPr>
                <w:rFonts w:cs="Times New Roman"/>
                <w:szCs w:val="28"/>
              </w:rPr>
              <w:t>Вища рада правосуддя».</w:t>
            </w:r>
          </w:p>
        </w:tc>
      </w:tr>
    </w:tbl>
    <w:p w:rsidR="003E23C7" w:rsidRPr="0075388F" w:rsidRDefault="003E23C7"/>
    <w:p w:rsidR="00757A7C" w:rsidRPr="0075388F" w:rsidRDefault="00757A7C" w:rsidP="00757A7C">
      <w:pPr>
        <w:ind w:firstLine="709"/>
        <w:rPr>
          <w:rFonts w:eastAsia="Times New Roman"/>
          <w:szCs w:val="28"/>
        </w:rPr>
      </w:pPr>
    </w:p>
    <w:p w:rsidR="003E23C7" w:rsidRPr="0075388F" w:rsidRDefault="00B10CB0" w:rsidP="00004D1F">
      <w:pPr>
        <w:ind w:firstLine="709"/>
      </w:pPr>
      <w:r w:rsidRPr="0075388F">
        <w:rPr>
          <w:rFonts w:eastAsia="Times New Roman"/>
          <w:szCs w:val="28"/>
        </w:rPr>
        <w:t>3</w:t>
      </w:r>
      <w:r w:rsidR="00004D1F" w:rsidRPr="0075388F">
        <w:rPr>
          <w:rFonts w:eastAsia="Times New Roman"/>
          <w:szCs w:val="28"/>
        </w:rPr>
        <w:t xml:space="preserve">. </w:t>
      </w:r>
      <w:r w:rsidR="00004D1F" w:rsidRPr="0075388F">
        <w:t>Тимчасову класифікацію видатків та кредитування місцевих бюджетів (з перехідною таблицею до функціональної класифікації видатків та кредитування бюджету) виключити.</w:t>
      </w:r>
    </w:p>
    <w:p w:rsidR="00004D1F" w:rsidRPr="0075388F" w:rsidRDefault="00004D1F" w:rsidP="00004D1F">
      <w:pPr>
        <w:ind w:firstLine="709"/>
      </w:pPr>
    </w:p>
    <w:p w:rsidR="00004D1F" w:rsidRPr="0075388F" w:rsidRDefault="00004D1F" w:rsidP="00004D1F">
      <w:pPr>
        <w:ind w:firstLine="709"/>
      </w:pPr>
    </w:p>
    <w:p w:rsidR="00004D1F" w:rsidRPr="0075388F" w:rsidRDefault="00004D1F" w:rsidP="00004D1F">
      <w:pPr>
        <w:ind w:firstLine="709"/>
      </w:pPr>
    </w:p>
    <w:p w:rsidR="003E23C7" w:rsidRPr="0075388F" w:rsidRDefault="003E23C7" w:rsidP="003E23C7">
      <w:pPr>
        <w:pStyle w:val="a4"/>
        <w:tabs>
          <w:tab w:val="left" w:pos="1134"/>
        </w:tabs>
        <w:spacing w:before="0" w:beforeAutospacing="0" w:after="0" w:afterAutospacing="0"/>
        <w:ind w:left="-142"/>
        <w:jc w:val="both"/>
        <w:rPr>
          <w:rFonts w:eastAsia="Times New Roman"/>
          <w:b/>
          <w:sz w:val="28"/>
          <w:szCs w:val="28"/>
        </w:rPr>
      </w:pPr>
      <w:r w:rsidRPr="0075388F">
        <w:rPr>
          <w:rFonts w:eastAsia="Times New Roman"/>
          <w:b/>
          <w:sz w:val="28"/>
          <w:szCs w:val="28"/>
        </w:rPr>
        <w:t xml:space="preserve">Директор Департаменту </w:t>
      </w:r>
    </w:p>
    <w:p w:rsidR="003E23C7" w:rsidRPr="0075388F" w:rsidRDefault="003E23C7" w:rsidP="003E23C7">
      <w:pPr>
        <w:pStyle w:val="a4"/>
        <w:tabs>
          <w:tab w:val="left" w:pos="1134"/>
        </w:tabs>
        <w:spacing w:before="0" w:beforeAutospacing="0" w:after="0" w:afterAutospacing="0"/>
        <w:ind w:left="-142"/>
        <w:jc w:val="both"/>
        <w:rPr>
          <w:rFonts w:eastAsia="Times New Roman"/>
          <w:b/>
          <w:sz w:val="28"/>
          <w:szCs w:val="28"/>
          <w:lang w:val="ru-RU"/>
        </w:rPr>
      </w:pPr>
      <w:r w:rsidRPr="0075388F">
        <w:rPr>
          <w:rFonts w:eastAsia="Times New Roman"/>
          <w:b/>
          <w:sz w:val="28"/>
          <w:szCs w:val="28"/>
        </w:rPr>
        <w:t xml:space="preserve">державного бюджету                                                                      </w:t>
      </w:r>
      <w:r w:rsidR="00EF424F" w:rsidRPr="0075388F">
        <w:rPr>
          <w:rFonts w:eastAsia="Times New Roman"/>
          <w:b/>
          <w:sz w:val="28"/>
          <w:szCs w:val="28"/>
          <w:lang w:val="ru-RU"/>
        </w:rPr>
        <w:t xml:space="preserve">   </w:t>
      </w:r>
      <w:r w:rsidR="00EF424F" w:rsidRPr="0075388F">
        <w:rPr>
          <w:rFonts w:eastAsia="Times New Roman"/>
          <w:b/>
          <w:sz w:val="28"/>
          <w:szCs w:val="28"/>
        </w:rPr>
        <w:t>В. П. Лозицький</w:t>
      </w:r>
    </w:p>
    <w:p w:rsidR="003E23C7" w:rsidRPr="0075388F" w:rsidRDefault="003E23C7"/>
    <w:sectPr w:rsidR="003E23C7" w:rsidRPr="0075388F" w:rsidSect="00333AC6">
      <w:headerReference w:type="default" r:id="rId9"/>
      <w:pgSz w:w="11906" w:h="16838"/>
      <w:pgMar w:top="1134" w:right="424"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6BCC" w:rsidRDefault="00A86BCC" w:rsidP="00333AC6">
      <w:r>
        <w:separator/>
      </w:r>
    </w:p>
  </w:endnote>
  <w:endnote w:type="continuationSeparator" w:id="0">
    <w:p w:rsidR="00A86BCC" w:rsidRDefault="00A86BCC" w:rsidP="00333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6BCC" w:rsidRDefault="00A86BCC" w:rsidP="00333AC6">
      <w:r>
        <w:separator/>
      </w:r>
    </w:p>
  </w:footnote>
  <w:footnote w:type="continuationSeparator" w:id="0">
    <w:p w:rsidR="00A86BCC" w:rsidRDefault="00A86BCC" w:rsidP="00333A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8187472"/>
      <w:docPartObj>
        <w:docPartGallery w:val="Page Numbers (Top of Page)"/>
        <w:docPartUnique/>
      </w:docPartObj>
    </w:sdtPr>
    <w:sdtEndPr>
      <w:rPr>
        <w:noProof/>
      </w:rPr>
    </w:sdtEndPr>
    <w:sdtContent>
      <w:p w:rsidR="00333AC6" w:rsidRDefault="00333AC6">
        <w:pPr>
          <w:pStyle w:val="a5"/>
          <w:jc w:val="center"/>
        </w:pPr>
        <w:r>
          <w:fldChar w:fldCharType="begin"/>
        </w:r>
        <w:r>
          <w:instrText xml:space="preserve"> PAGE   \* MERGEFORMAT </w:instrText>
        </w:r>
        <w:r>
          <w:fldChar w:fldCharType="separate"/>
        </w:r>
        <w:r w:rsidR="000D1A67">
          <w:rPr>
            <w:noProof/>
          </w:rPr>
          <w:t>2</w:t>
        </w:r>
        <w:r>
          <w:rPr>
            <w:noProof/>
          </w:rPr>
          <w:fldChar w:fldCharType="end"/>
        </w:r>
      </w:p>
    </w:sdtContent>
  </w:sdt>
  <w:p w:rsidR="00333AC6" w:rsidRDefault="00333AC6">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E422EB"/>
    <w:multiLevelType w:val="hybridMultilevel"/>
    <w:tmpl w:val="714CDFAC"/>
    <w:lvl w:ilvl="0" w:tplc="ABA2D44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nsid w:val="4FC63493"/>
    <w:multiLevelType w:val="hybridMultilevel"/>
    <w:tmpl w:val="2FD6A7BE"/>
    <w:lvl w:ilvl="0" w:tplc="F886CEBA">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3C7"/>
    <w:rsid w:val="00001043"/>
    <w:rsid w:val="00004D1F"/>
    <w:rsid w:val="0001458F"/>
    <w:rsid w:val="000167EF"/>
    <w:rsid w:val="00054880"/>
    <w:rsid w:val="000618A1"/>
    <w:rsid w:val="00061B7A"/>
    <w:rsid w:val="00080BFE"/>
    <w:rsid w:val="000D1A67"/>
    <w:rsid w:val="001128A0"/>
    <w:rsid w:val="0012774E"/>
    <w:rsid w:val="001E557E"/>
    <w:rsid w:val="001E7C1D"/>
    <w:rsid w:val="0028620C"/>
    <w:rsid w:val="00295CEE"/>
    <w:rsid w:val="002A170B"/>
    <w:rsid w:val="002E1F3F"/>
    <w:rsid w:val="002F21FA"/>
    <w:rsid w:val="002F78BF"/>
    <w:rsid w:val="00321191"/>
    <w:rsid w:val="00333AC6"/>
    <w:rsid w:val="00341C99"/>
    <w:rsid w:val="0035685B"/>
    <w:rsid w:val="00386BF6"/>
    <w:rsid w:val="00397DFD"/>
    <w:rsid w:val="003E08F6"/>
    <w:rsid w:val="003E23C7"/>
    <w:rsid w:val="00492D9C"/>
    <w:rsid w:val="00502762"/>
    <w:rsid w:val="0054231A"/>
    <w:rsid w:val="005A4484"/>
    <w:rsid w:val="005A5D1E"/>
    <w:rsid w:val="00716AC2"/>
    <w:rsid w:val="007453C4"/>
    <w:rsid w:val="0075388F"/>
    <w:rsid w:val="00757A7C"/>
    <w:rsid w:val="00791E09"/>
    <w:rsid w:val="00836528"/>
    <w:rsid w:val="00864095"/>
    <w:rsid w:val="008A4351"/>
    <w:rsid w:val="00935286"/>
    <w:rsid w:val="00A34CC4"/>
    <w:rsid w:val="00A86BCC"/>
    <w:rsid w:val="00AE5D22"/>
    <w:rsid w:val="00B10CB0"/>
    <w:rsid w:val="00B7258B"/>
    <w:rsid w:val="00B87B77"/>
    <w:rsid w:val="00BF21B8"/>
    <w:rsid w:val="00C47073"/>
    <w:rsid w:val="00C85101"/>
    <w:rsid w:val="00D150B9"/>
    <w:rsid w:val="00D21173"/>
    <w:rsid w:val="00DA1178"/>
    <w:rsid w:val="00E13CCC"/>
    <w:rsid w:val="00E9264E"/>
    <w:rsid w:val="00EA0FD1"/>
    <w:rsid w:val="00EF1EC5"/>
    <w:rsid w:val="00EF424F"/>
    <w:rsid w:val="00FC4B4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A7C"/>
  </w:style>
  <w:style w:type="paragraph" w:styleId="3">
    <w:name w:val="heading 3"/>
    <w:basedOn w:val="a"/>
    <w:next w:val="a"/>
    <w:link w:val="30"/>
    <w:uiPriority w:val="9"/>
    <w:semiHidden/>
    <w:unhideWhenUsed/>
    <w:qFormat/>
    <w:rsid w:val="003E23C7"/>
    <w:pPr>
      <w:keepNext/>
      <w:keepLines/>
      <w:spacing w:before="200" w:line="276" w:lineRule="auto"/>
      <w:outlineLvl w:val="2"/>
    </w:pPr>
    <w:rPr>
      <w:rFonts w:asciiTheme="majorHAnsi" w:eastAsiaTheme="majorEastAsia" w:hAnsiTheme="majorHAnsi" w:cstheme="majorBidi"/>
      <w:b/>
      <w:bCs/>
      <w:color w:val="4F81BD" w:themeColor="accent1"/>
      <w:sz w:val="22"/>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23C7"/>
    <w:pPr>
      <w:ind w:left="720"/>
      <w:contextualSpacing/>
    </w:pPr>
  </w:style>
  <w:style w:type="paragraph" w:styleId="a4">
    <w:name w:val="Normal (Web)"/>
    <w:basedOn w:val="a"/>
    <w:uiPriority w:val="99"/>
    <w:unhideWhenUsed/>
    <w:rsid w:val="003E23C7"/>
    <w:pPr>
      <w:spacing w:before="100" w:beforeAutospacing="1" w:after="100" w:afterAutospacing="1"/>
    </w:pPr>
    <w:rPr>
      <w:rFonts w:eastAsiaTheme="minorEastAsia" w:cs="Times New Roman"/>
      <w:sz w:val="24"/>
      <w:szCs w:val="24"/>
      <w:lang w:eastAsia="uk-UA"/>
    </w:rPr>
  </w:style>
  <w:style w:type="character" w:customStyle="1" w:styleId="30">
    <w:name w:val="Заголовок 3 Знак"/>
    <w:basedOn w:val="a0"/>
    <w:link w:val="3"/>
    <w:uiPriority w:val="9"/>
    <w:semiHidden/>
    <w:rsid w:val="003E23C7"/>
    <w:rPr>
      <w:rFonts w:asciiTheme="majorHAnsi" w:eastAsiaTheme="majorEastAsia" w:hAnsiTheme="majorHAnsi" w:cstheme="majorBidi"/>
      <w:b/>
      <w:bCs/>
      <w:color w:val="4F81BD" w:themeColor="accent1"/>
      <w:sz w:val="22"/>
      <w:lang w:eastAsia="uk-UA"/>
    </w:rPr>
  </w:style>
  <w:style w:type="paragraph" w:styleId="a5">
    <w:name w:val="header"/>
    <w:basedOn w:val="a"/>
    <w:link w:val="a6"/>
    <w:uiPriority w:val="99"/>
    <w:unhideWhenUsed/>
    <w:rsid w:val="00333AC6"/>
    <w:pPr>
      <w:tabs>
        <w:tab w:val="center" w:pos="4819"/>
        <w:tab w:val="right" w:pos="9639"/>
      </w:tabs>
    </w:pPr>
  </w:style>
  <w:style w:type="character" w:customStyle="1" w:styleId="a6">
    <w:name w:val="Верхній колонтитул Знак"/>
    <w:basedOn w:val="a0"/>
    <w:link w:val="a5"/>
    <w:uiPriority w:val="99"/>
    <w:rsid w:val="00333AC6"/>
  </w:style>
  <w:style w:type="paragraph" w:styleId="a7">
    <w:name w:val="footer"/>
    <w:basedOn w:val="a"/>
    <w:link w:val="a8"/>
    <w:uiPriority w:val="99"/>
    <w:unhideWhenUsed/>
    <w:rsid w:val="00333AC6"/>
    <w:pPr>
      <w:tabs>
        <w:tab w:val="center" w:pos="4819"/>
        <w:tab w:val="right" w:pos="9639"/>
      </w:tabs>
    </w:pPr>
  </w:style>
  <w:style w:type="character" w:customStyle="1" w:styleId="a8">
    <w:name w:val="Нижній колонтитул Знак"/>
    <w:basedOn w:val="a0"/>
    <w:link w:val="a7"/>
    <w:uiPriority w:val="99"/>
    <w:rsid w:val="00333A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A7C"/>
  </w:style>
  <w:style w:type="paragraph" w:styleId="3">
    <w:name w:val="heading 3"/>
    <w:basedOn w:val="a"/>
    <w:next w:val="a"/>
    <w:link w:val="30"/>
    <w:uiPriority w:val="9"/>
    <w:semiHidden/>
    <w:unhideWhenUsed/>
    <w:qFormat/>
    <w:rsid w:val="003E23C7"/>
    <w:pPr>
      <w:keepNext/>
      <w:keepLines/>
      <w:spacing w:before="200" w:line="276" w:lineRule="auto"/>
      <w:outlineLvl w:val="2"/>
    </w:pPr>
    <w:rPr>
      <w:rFonts w:asciiTheme="majorHAnsi" w:eastAsiaTheme="majorEastAsia" w:hAnsiTheme="majorHAnsi" w:cstheme="majorBidi"/>
      <w:b/>
      <w:bCs/>
      <w:color w:val="4F81BD" w:themeColor="accent1"/>
      <w:sz w:val="22"/>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23C7"/>
    <w:pPr>
      <w:ind w:left="720"/>
      <w:contextualSpacing/>
    </w:pPr>
  </w:style>
  <w:style w:type="paragraph" w:styleId="a4">
    <w:name w:val="Normal (Web)"/>
    <w:basedOn w:val="a"/>
    <w:uiPriority w:val="99"/>
    <w:unhideWhenUsed/>
    <w:rsid w:val="003E23C7"/>
    <w:pPr>
      <w:spacing w:before="100" w:beforeAutospacing="1" w:after="100" w:afterAutospacing="1"/>
    </w:pPr>
    <w:rPr>
      <w:rFonts w:eastAsiaTheme="minorEastAsia" w:cs="Times New Roman"/>
      <w:sz w:val="24"/>
      <w:szCs w:val="24"/>
      <w:lang w:eastAsia="uk-UA"/>
    </w:rPr>
  </w:style>
  <w:style w:type="character" w:customStyle="1" w:styleId="30">
    <w:name w:val="Заголовок 3 Знак"/>
    <w:basedOn w:val="a0"/>
    <w:link w:val="3"/>
    <w:uiPriority w:val="9"/>
    <w:semiHidden/>
    <w:rsid w:val="003E23C7"/>
    <w:rPr>
      <w:rFonts w:asciiTheme="majorHAnsi" w:eastAsiaTheme="majorEastAsia" w:hAnsiTheme="majorHAnsi" w:cstheme="majorBidi"/>
      <w:b/>
      <w:bCs/>
      <w:color w:val="4F81BD" w:themeColor="accent1"/>
      <w:sz w:val="22"/>
      <w:lang w:eastAsia="uk-UA"/>
    </w:rPr>
  </w:style>
  <w:style w:type="paragraph" w:styleId="a5">
    <w:name w:val="header"/>
    <w:basedOn w:val="a"/>
    <w:link w:val="a6"/>
    <w:uiPriority w:val="99"/>
    <w:unhideWhenUsed/>
    <w:rsid w:val="00333AC6"/>
    <w:pPr>
      <w:tabs>
        <w:tab w:val="center" w:pos="4819"/>
        <w:tab w:val="right" w:pos="9639"/>
      </w:tabs>
    </w:pPr>
  </w:style>
  <w:style w:type="character" w:customStyle="1" w:styleId="a6">
    <w:name w:val="Верхній колонтитул Знак"/>
    <w:basedOn w:val="a0"/>
    <w:link w:val="a5"/>
    <w:uiPriority w:val="99"/>
    <w:rsid w:val="00333AC6"/>
  </w:style>
  <w:style w:type="paragraph" w:styleId="a7">
    <w:name w:val="footer"/>
    <w:basedOn w:val="a"/>
    <w:link w:val="a8"/>
    <w:uiPriority w:val="99"/>
    <w:unhideWhenUsed/>
    <w:rsid w:val="00333AC6"/>
    <w:pPr>
      <w:tabs>
        <w:tab w:val="center" w:pos="4819"/>
        <w:tab w:val="right" w:pos="9639"/>
      </w:tabs>
    </w:pPr>
  </w:style>
  <w:style w:type="character" w:customStyle="1" w:styleId="a8">
    <w:name w:val="Нижній колонтитул Знак"/>
    <w:basedOn w:val="a0"/>
    <w:link w:val="a7"/>
    <w:uiPriority w:val="99"/>
    <w:rsid w:val="00333A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3437F1-B9F2-4A07-BE98-AA6D11C2D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1883</Words>
  <Characters>1074</Characters>
  <Application>Microsoft Office Word</Application>
  <DocSecurity>0</DocSecurity>
  <Lines>8</Lines>
  <Paragraphs>5</Paragraphs>
  <ScaleCrop>false</ScaleCrop>
  <HeadingPairs>
    <vt:vector size="2" baseType="variant">
      <vt:variant>
        <vt:lpstr>Назва</vt:lpstr>
      </vt:variant>
      <vt:variant>
        <vt:i4>1</vt:i4>
      </vt:variant>
    </vt:vector>
  </HeadingPairs>
  <TitlesOfParts>
    <vt:vector size="1" baseType="lpstr">
      <vt:lpstr/>
    </vt:vector>
  </TitlesOfParts>
  <Company>Minfin</Company>
  <LinksUpToDate>false</LinksUpToDate>
  <CharactersWithSpaces>2952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Користувач Windows</cp:lastModifiedBy>
  <cp:revision>3</cp:revision>
  <cp:lastPrinted>2017-04-13T06:26:00Z</cp:lastPrinted>
  <dcterms:created xsi:type="dcterms:W3CDTF">2017-05-19T08:02:00Z</dcterms:created>
  <dcterms:modified xsi:type="dcterms:W3CDTF">2017-05-19T08:06:00Z</dcterms:modified>
</cp:coreProperties>
</file>