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219E4" w:rsidRPr="006D1E5B" w:rsidRDefault="008219E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33C1E" w:rsidRPr="006D1E5B" w:rsidRDefault="00833C1E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Порядок</w:t>
      </w:r>
    </w:p>
    <w:p w:rsidR="002E0BCA" w:rsidRPr="006D1E5B" w:rsidRDefault="00833C1E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складання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FE4EF7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форм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меморіальних ордерів </w:t>
      </w:r>
      <w:r w:rsidR="008219E4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суб’єктів державного сектору</w:t>
      </w:r>
    </w:p>
    <w:p w:rsidR="000F40B7" w:rsidRPr="006D1E5B" w:rsidRDefault="000F40B7" w:rsidP="00ED64F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64FF" w:rsidRPr="006D1E5B" w:rsidRDefault="00ED64FF" w:rsidP="00ED64F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І. Загальні положення </w:t>
      </w:r>
    </w:p>
    <w:p w:rsidR="00ED64FF" w:rsidRPr="006D1E5B" w:rsidRDefault="00ED64FF" w:rsidP="000F40B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>Цей Порядок застосовується при складанні форм меморіальних ордерів розпорядниками бюджетних коштів</w:t>
      </w:r>
      <w:bookmarkStart w:id="0" w:name="_GoBack"/>
      <w:bookmarkEnd w:id="0"/>
      <w:r w:rsidR="00A24016" w:rsidRPr="006D1E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 xml:space="preserve">та державними цільовими фондами (далі </w:t>
      </w:r>
      <w:r w:rsidRPr="006D1E5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– </w:t>
      </w:r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>суб’єкти державного сектору).</w:t>
      </w:r>
    </w:p>
    <w:p w:rsidR="00ED64FF" w:rsidRPr="006D1E5B" w:rsidRDefault="00ED64FF" w:rsidP="000F40B7">
      <w:pPr>
        <w:pStyle w:val="ad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 xml:space="preserve">Терміни у цьому Порядку застосовуються у значеннях, визначених </w:t>
      </w:r>
      <w:hyperlink r:id="rId9" w:tgtFrame="_blank" w:history="1">
        <w:r w:rsidRPr="006D1E5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Бюджетним кодексом України</w:t>
        </w:r>
      </w:hyperlink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0" w:tgtFrame="_blank" w:history="1">
        <w:r w:rsidRPr="006D1E5B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Законом України</w:t>
        </w:r>
      </w:hyperlink>
      <w:r w:rsidRPr="006D1E5B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бухгалтерський облік та фінансову звітність в Україні», національними положеннями (стандартами) бухгалтерського обліку в державному секторі.</w:t>
      </w:r>
    </w:p>
    <w:p w:rsidR="000F40B7" w:rsidRPr="006D1E5B" w:rsidRDefault="000F40B7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781" w:rsidRPr="006D1E5B" w:rsidRDefault="00ED64FF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b/>
          <w:sz w:val="28"/>
          <w:szCs w:val="28"/>
          <w:lang w:eastAsia="ru-RU"/>
        </w:rPr>
        <w:t>ІІ. Вимоги до складання типових форм</w:t>
      </w:r>
    </w:p>
    <w:p w:rsidR="000F40B7" w:rsidRPr="006D1E5B" w:rsidRDefault="000F40B7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B234ED" w:rsidP="00B234ED">
      <w:pPr>
        <w:pStyle w:val="ad"/>
        <w:shd w:val="clear" w:color="auto" w:fill="FFFFFF"/>
        <w:spacing w:after="0" w:line="435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264E32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за</w:t>
      </w:r>
      <w:r w:rsidR="00D1039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касовими операціями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ED64FF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Накопичувальна відомість за касовими операціями з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астосовується при обробці звітів касирів з метою систематизації оборотів у касі за поточний місяць. Кожен звіт касира заноситься до накопичувальної відомості за відповідними субрахунками одним рядком, тобто записуються всі обороти в касі з надходження та витрачання коштів за дебетом чи кредитом відповідних субрахунків рахунку </w:t>
      </w:r>
      <w:r w:rsidR="00220A3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428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="00833C1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11 (2221)</w:t>
      </w:r>
      <w:r w:rsidR="002428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«Готівкові кошти та їх еквіваленти»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</w:t>
      </w:r>
      <w:r w:rsidR="002428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683325" w:rsidRPr="006D1E5B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="002428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 касові операції в національній та іноземній валюті, то меморіальні ордери - накопичувальні відомості за касовими операціями складаються окремо для кожного виду валюти та нумеруються відповідно </w:t>
      </w:r>
      <w:r w:rsidR="00E0178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1-1, 1-2 та ін.</w:t>
      </w:r>
    </w:p>
    <w:p w:rsidR="002E0BCA" w:rsidRPr="006D1E5B" w:rsidRDefault="002E0BCA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У накопичувальній відомості за касовими операціями за субрахунком </w:t>
      </w:r>
      <w:r w:rsidR="003149B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2212 (2222) </w:t>
      </w:r>
      <w:r w:rsidR="00264E3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149B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Готівка в іноземній валюті</w:t>
      </w:r>
      <w:r w:rsidR="00264E3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кожним звітом касира записи здійснюються окремими рядками в національній та іноземній валюті, що застосовувалась для касової операції. У графі 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E0178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з/п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такі записи відображаються за одним порядковим номером.</w:t>
      </w:r>
    </w:p>
    <w:p w:rsidR="002E0BCA" w:rsidRPr="006D1E5B" w:rsidRDefault="002E0BCA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Оскільки операції із надходження готівкових коштів з реєстраційних</w:t>
      </w:r>
      <w:r w:rsidRPr="006D1E5B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(поточних) рахунків до каси 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A718F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із внесення готівкових коштів з каси на реєстраційні (спеціальні реєстраційні, поточні) рахунки також відображаються в меморіальному ордері 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або 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3, то при перенесенні підсумків руху коштів у касі з накопичувальної відомості до книги </w:t>
      </w:r>
      <w:r w:rsidR="005808D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ці обороти виключаються.</w:t>
      </w:r>
    </w:p>
    <w:p w:rsidR="002E0BCA" w:rsidRPr="006D1E5B" w:rsidRDefault="005808D0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Позиція 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боротів за меморіальним ордером»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5B23B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E0178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6409A7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 1-авт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</w:t>
      </w:r>
      <w:r w:rsidR="001A737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чно порядку складання форми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</w:t>
      </w:r>
      <w:r w:rsidR="003209C6" w:rsidRPr="003209C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 1-авт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A7371" w:rsidRPr="006D1E5B" w:rsidRDefault="001A7371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B234ED" w:rsidP="00B234ED">
      <w:pPr>
        <w:pStyle w:val="ad"/>
        <w:shd w:val="clear" w:color="auto" w:fill="FFFFFF"/>
        <w:spacing w:after="0" w:line="435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1A7371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2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руху грошових коштів загального фонду</w:t>
      </w:r>
      <w:r w:rsidR="00F22C2E" w:rsidRPr="0042323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F22C2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 рахунках, відкритих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</w:t>
      </w:r>
      <w:r w:rsidR="001A7371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органах Державної казначейської служби України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(установах банків)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6409A7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Накопичувальна відомість руху грошових коштів загального фонду в органах Державної казначейської служби України (установах банків)</w:t>
      </w: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икористовується для відображення в обліку операцій з надходження на рахунок </w:t>
      </w:r>
      <w:r w:rsidR="001A737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суб’єкта державного сектору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асигнувань та здійснення касових видатків загального фонду, тобто вибірки з надходження та витрачання коштів з реєстраційних</w:t>
      </w:r>
      <w:r w:rsidR="000E3AB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3AB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рахунків в органах </w:t>
      </w:r>
      <w:r w:rsidR="001A737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 казначейської служби України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органи Казначейства)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(поточних рахунків </w:t>
      </w:r>
      <w:r w:rsidR="00833C1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установах банків).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Накопичувальні відомості складаються окремо за кожним реєстраційним</w:t>
      </w:r>
      <w:r w:rsidR="00833C1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0E3AB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поточним) рахунком </w:t>
      </w:r>
      <w:r w:rsidR="001A737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тобто при наявності декількох рахунків в органах </w:t>
      </w:r>
      <w:r w:rsidR="00B17B6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Казначейства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(установах банків), відкритих на ім</w:t>
      </w:r>
      <w:r w:rsidR="00B86A9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B17B6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6A9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B17B6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86A9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єкта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кожен рахунок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оформляється окремим меморіальним ордером, які нумеруються </w:t>
      </w:r>
      <w:r w:rsidR="00B86A9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2-1, 2-2, 2-3 та ін. Операції з руху коштів загального фонду в іноземній валюті оформляються окремими меморіальними ордерами за видами валют.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Записи операцій в накопичувальні відомості здійснюються на підставі щоденних виписок з реєстраційних (</w:t>
      </w:r>
      <w:r w:rsidR="000E3AB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поточних) рахунків, відкритих в органах </w:t>
      </w:r>
      <w:r w:rsidR="00B17B6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Казначейства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(установах банків), з доданням до них підтвердних документів (платіжних доручень тощо).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накопичувальній відомості руху грошових коштів в іноземній валюті на рахунках в установах банків (субрахунок 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2311</w:t>
      </w:r>
      <w:r w:rsidR="001765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(23</w:t>
      </w:r>
      <w:r w:rsidR="002402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765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EA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Поточні рахунки в банку</w:t>
      </w:r>
      <w:r w:rsidR="00270EA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 кожною випискою банку записи здійснюються окремими рядками в національній та іноземній валюті. У графі 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з/п</w:t>
      </w:r>
      <w:r w:rsidR="00D1449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такі записи відображаються за одним порядковим номером.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Позиція</w:t>
      </w:r>
      <w:r w:rsidR="0096616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</w:t>
      </w:r>
      <w:r w:rsidR="0096616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боротів за меморіальним ордером»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2402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96616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96616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1A737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6409A7" w:rsidP="0051663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DB127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2-авт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1663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2-авт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2673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2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B1279" w:rsidRPr="006D1E5B" w:rsidRDefault="00DB1279" w:rsidP="0051663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0BCA" w:rsidRPr="006D1E5B" w:rsidRDefault="00B234ED" w:rsidP="00B234ED">
      <w:pPr>
        <w:pStyle w:val="ad"/>
        <w:shd w:val="clear" w:color="auto" w:fill="FFFFFF"/>
        <w:spacing w:after="0" w:line="435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270EA2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3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руху грошових коштів спеціального фонду</w:t>
      </w:r>
      <w:r w:rsidR="008C00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рахунках, відкритих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органах </w:t>
      </w:r>
      <w:r w:rsidR="004012EB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Казначейства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(установах банків)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6409A7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Накопичувальна відомість руху грошових коштів спеціального фонду в органах Казначейства (установах банків)</w:t>
      </w: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икористовується для відображення в обліку операцій з надходження на рахунок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суб’єкта державного сектору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доходів та здійснення касових видатків спеціального фонду, тобто вибірки з надходження та витрачання коштів </w:t>
      </w:r>
      <w:r w:rsidR="000E3AB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спеціального фонду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2E0BCA" w:rsidRPr="008C001B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реєстраційних (поточних) рахунків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органах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Казначейства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(установах банків).</w:t>
      </w:r>
    </w:p>
    <w:p w:rsidR="002E0BCA" w:rsidRPr="006D1E5B" w:rsidRDefault="002E0BCA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наявності декількох рахунків в органах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Казначейства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(уст</w:t>
      </w:r>
      <w:r w:rsidR="00B328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ановах банків), відкритих на ім’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накопичувальні відомості складаються окремо за кожним </w:t>
      </w:r>
      <w:r w:rsidRPr="008C001B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реєстраційним (поточним) рахунком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нумеруються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№ 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3-1, 3-2, 3-3 та ін. Операції з руху коштів спеціального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фонду в іноземній валюті оформляються окремими меморіальними ордерами за видами валют.</w:t>
      </w:r>
    </w:p>
    <w:p w:rsidR="002E0BCA" w:rsidRPr="006D1E5B" w:rsidRDefault="002E0BCA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Записи операцій в накопичувальні відомості здійснюються на підставі щоденних виписок з </w:t>
      </w:r>
      <w:r w:rsidRPr="008C001B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реєстраційних (поточних) рахунків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відкритих в органах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Казначейства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(установах банків), з доданням до них підтвердних документів (платіжних доручень тощо).</w:t>
      </w:r>
    </w:p>
    <w:p w:rsidR="002E0BCA" w:rsidRPr="006D1E5B" w:rsidRDefault="002E0BCA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 накопичувальній відомості руху грошових коштів спеціального фонду в іноземній валюті на рахунках в установах банків (субрахунок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2311 (23</w:t>
      </w:r>
      <w:r w:rsidR="002402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1) «Поточні рахунки в банку»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 кожною випискою банку записи здійснюються окремими рядками в національній та іноземній валюті. У графі </w:t>
      </w:r>
      <w:r w:rsidR="00B328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«№ з/п»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такі записи відображаються за одним порядковим номером.</w:t>
      </w:r>
    </w:p>
    <w:p w:rsidR="002E0BCA" w:rsidRPr="006D1E5B" w:rsidRDefault="002E0BCA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B328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</w:t>
      </w:r>
      <w:r w:rsidR="00B328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боротів за меморіальним ордером»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2402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B328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DB127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A62B57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</w:t>
      </w:r>
      <w:r w:rsidRPr="006D1E5B" w:rsidDel="00A62B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BE0C1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3-авт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BE0C16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3-авт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огічно порядку складання форми</w:t>
      </w:r>
      <w:r w:rsidR="004012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3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E0C16" w:rsidRPr="006D1E5B" w:rsidRDefault="00BE0C16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B234ED" w:rsidP="00B234ED">
      <w:pPr>
        <w:pStyle w:val="ad"/>
        <w:shd w:val="clear" w:color="auto" w:fill="FFFFFF"/>
        <w:spacing w:after="0" w:line="435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BE0C16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4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за розрахунками з дебіторами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161CB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накопичувальній відомості </w:t>
      </w:r>
      <w:r w:rsidR="00A62B57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розрахунками з іншими дебіторами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ведеться облік розрахунків з різними підприємствами, установами та організаціями, які є дебіторами </w:t>
      </w:r>
      <w:r w:rsidR="000041F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суб’єкта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Відомість складається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окремо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відповідними субрахунками рахунку 21 «Поточна дебіторська заборгованість»  та</w:t>
      </w:r>
      <w:r w:rsidR="00A901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окремо за кожним дебітором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розрізі кодів економічної класифікації видатків. Записи в ній здійснюються позиційним методом </w:t>
      </w:r>
      <w:r w:rsidR="00A62B57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кожною операцією, що підтверджена документом</w:t>
      </w:r>
      <w:r w:rsidR="00857915">
        <w:rPr>
          <w:rFonts w:ascii="Times New Roman" w:eastAsia="Times New Roman" w:hAnsi="Times New Roman" w:cs="Times New Roman"/>
          <w:sz w:val="28"/>
          <w:szCs w:val="28"/>
          <w:lang w:eastAsia="uk-UA"/>
        </w:rPr>
        <w:t>, оформленим відповідно до законодавства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Операції за розрахунками з дебіторами, що здійснюються за кошт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спеціального фонду ведуться в окремому меморіальному ордері за даною формою.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Попередня оплата рахунків постачальників за матеріальні цінності та послуги, які будуть поставлені або надані </w:t>
      </w:r>
      <w:r w:rsidR="00A901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</w:t>
      </w:r>
      <w:r w:rsidR="002149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901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майбутньому; або відвантаження </w:t>
      </w:r>
      <w:r w:rsidR="00A901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 державного сектор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901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матеріальних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цінностей та надання послуг, оплата яких очікується в майбутньому, супроводжуються записами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дебет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 відповідних субрахунків рахунку 21 «Поточна дебіторська заборгованість» та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кредитом субрахунків за графами 2, 5, 8 - 14 у рядку відповідного дебітора.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Одержання матеріальних цінностей та послуг, оплачених 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суб’єктом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раніше, або надходження грошових коштів за матеріальні цінності та послуги, відвантажені чи надані 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суб’єктом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минулому, супроводжуються записами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 відповідних субрахунків рахунку 21 «Поточна дебіторська заборгованість»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дебетом субрахунків за графами 2, 5, 16 - 22 у рядку відповідного дебітора. Другі записи у випадках одержання необоротних активів, малоцінних та швидкозношуваних предметів відображаються за графами 24 - 26.</w:t>
      </w:r>
    </w:p>
    <w:p w:rsidR="002E0BCA" w:rsidRPr="006D1E5B" w:rsidRDefault="0093406C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Залишок на кінець місяця за субрахунком </w:t>
      </w:r>
      <w:r w:rsidR="006044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9858E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21___</w:t>
      </w:r>
      <w:r w:rsidR="0060446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розраховується загальний та окремо за кожним дебітором у розрізі кодів економічної класифікації видатків.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одержання позиції 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вираховуються суми операцій на реєстраційних (поточних) рахунках 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суб’єкта державного сектору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за нарахованими доходами </w:t>
      </w:r>
      <w:r w:rsidR="009340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C8140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C8140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вигляді відповідної кореспонденції </w:t>
      </w:r>
      <w:r w:rsidR="0062521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C8140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C8140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B3286C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B234ED" w:rsidP="001549A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4-авт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</w:t>
      </w:r>
    </w:p>
    <w:p w:rsidR="002E0BCA" w:rsidRPr="006D1E5B" w:rsidRDefault="002E0BCA" w:rsidP="001549A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4-авт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здійснюється аналогічно порядку складання форми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4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E4B2E" w:rsidRPr="006D1E5B" w:rsidRDefault="00BE4B2E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B234ED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BE4B2E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5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Зведення розрахункових відомостей із заробітної плати та стипендій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5035A8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суб’єктів державного сектор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де виписується декілька розрахунково-платіжних відомостей, за підсумками цих відомостей складається зведення, яке і є меморіальним ордером </w:t>
      </w:r>
      <w:r w:rsidR="00750D7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 заробітної плати та стипендій.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Записи в </w:t>
      </w:r>
      <w:r w:rsidR="00750D7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меморіальному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ордері систематизуються за функціональною класифікацією та найменуванням </w:t>
      </w:r>
      <w:r w:rsidR="005035A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750D7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 </w:t>
      </w:r>
      <w:r w:rsidR="005035A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обслуговуються.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 нарахуванні заробітної плати та стипендій за рахунок коштів спеціального фонду, вони систематизуються і за видами коштів спеціального фонду.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Дані розрахунково-платіжних відомостей за коштами спеціального фонду записуються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="00750D7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меморіальний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ордер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виведення підсумку за коштами загального фонду.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суму нарахованої заробітної плати здійснюється нарахування</w:t>
      </w:r>
      <w:r w:rsidR="002149C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єдиного внеску на загальнообов’язкове державне соціальне страхування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меморіального ордера додаються всі документи, які є підставою для нарахування заробітної плати (табелі використання робочого часу, витяги з наказів про зарахування працівників, їх звільнення та ін.).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кінці місяця підбиваються підсумки за меморіальним ордером і одержані дані, у вигляді відповідної кореспонденції </w:t>
      </w:r>
      <w:r w:rsidR="00750D7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рахунків, записуються до книги </w:t>
      </w:r>
      <w:r w:rsidR="005035A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5035A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035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B234ED" w:rsidP="00301E20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ордеру № 5-авт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301E20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ордеру № 5-авт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здійснюється на підставі розрахунково-платіжних відомостей. Записи за графами 1 - 5 здійснюються за аналогією здійснення записів за графами 1 - 5 форми 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ордеру № 5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301E20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Записи за графами 6 - 13 групуються за</w:t>
      </w:r>
      <w:r w:rsidR="00E1147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" w:tgtFrame="_top" w:history="1">
        <w:r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кодами програмної класифікації</w:t>
        </w:r>
      </w:hyperlink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видами коштів спеціального фонду, за установами, що обслуговуються. Крім того, за графами 9 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Нараховано</w:t>
      </w:r>
      <w:proofErr w:type="spellEnd"/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(за окремими видами)»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10 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Утримано (за окремими видами)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13 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Нараховано</w:t>
      </w:r>
      <w:proofErr w:type="spellEnd"/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внесків (за окремими видами)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записи здійснюються окремо відповідно за кожним видом нарахувань (за працівниками, що перебувають і не перебувають у штаті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суб’єкт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C279E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сектору</w:t>
      </w:r>
      <w:r w:rsidR="005A35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57915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73C5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видом утримань.</w:t>
      </w:r>
    </w:p>
    <w:p w:rsidR="00301E20" w:rsidRPr="006D1E5B" w:rsidRDefault="00301E20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DA0A0A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C279E0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№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за розрахунками з кредиторами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ED0362" w:rsidRPr="006D1E5B" w:rsidRDefault="002E0BCA" w:rsidP="00ED036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накопичувальній відомості </w:t>
      </w:r>
      <w:r w:rsidR="00DA0A0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розрахунками з кредиторами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ведеться облік розрахунків з різними підприємствами, установами та організаціями, які є кредиторами </w:t>
      </w:r>
      <w:r w:rsidR="00C12C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A718F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C12C6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Відомість складається 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окремо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</w:t>
      </w:r>
      <w:r w:rsidR="00373C5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25BA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субрахунками </w:t>
      </w:r>
      <w:r w:rsidR="00896E1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6211 (6221) «Розрахунки з постачальниками та підрядниками» та </w:t>
      </w:r>
      <w:r w:rsidR="00925BA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6415 (6425) «Розрахунки з іншими кредиторами»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окремо за кожним кредитором та в розрізі кодів економічної класифікації видатків. Записи в ній здійснюються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позиційним методом </w:t>
      </w:r>
      <w:r w:rsidR="00373C5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кожною операцією, що підтверджена документом</w:t>
      </w:r>
      <w:r w:rsidR="00ED0362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0362">
        <w:rPr>
          <w:rFonts w:ascii="Times New Roman" w:eastAsia="Times New Roman" w:hAnsi="Times New Roman" w:cs="Times New Roman"/>
          <w:sz w:val="28"/>
          <w:szCs w:val="28"/>
          <w:lang w:eastAsia="uk-UA"/>
        </w:rPr>
        <w:t>оформленим відповідно до законодавства</w:t>
      </w:r>
      <w:r w:rsidR="00ED036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Операції за розрахунками з кредиторами, що здійснюється за рахунок коштів спеціального фонду, ведуться в окремому ордері за даною формою.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матеріальні цінності та послуги, за які </w:t>
      </w:r>
      <w:r w:rsidR="00373C5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розрахується в майбутньому, або зараховані грошові кошти за матеріальні цінності та послуги, що будуть відвантажені та надані </w:t>
      </w:r>
      <w:r w:rsidR="00373C5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суб’єктом державного сектору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майбутньому, супроводжуються записами 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96E1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відповідних субрахунків за розрахунками з кредиторами</w:t>
      </w:r>
      <w:r w:rsidR="00896E1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дебет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субрахунків за графами 2, 5, 8 - 12 у рядку відповідного кредитора.</w:t>
      </w:r>
    </w:p>
    <w:p w:rsidR="002E0BCA" w:rsidRPr="006D1E5B" w:rsidRDefault="00B36B5B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Залишок на кінець місяця за субрахунком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  <w:r w:rsidR="00B5514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розраховується загальний та окремо за кожним кредитором у розрізі кодів економічної класифікації видатків.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одержання позиції 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вираховуються суми операцій </w:t>
      </w:r>
      <w:r w:rsidRPr="005A3567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реєстраційних (поточних) рахунках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A718F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за нарахованими доходами </w:t>
      </w:r>
      <w:r w:rsidR="000722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07224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</w:t>
      </w:r>
      <w:r w:rsidR="00484F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боротів за меморіальним ордером»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2D729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1C31A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DA0A0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51304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484F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6-авт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</w:t>
      </w:r>
    </w:p>
    <w:p w:rsidR="002E0BCA" w:rsidRPr="006D1E5B" w:rsidRDefault="002E0BCA" w:rsidP="005130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484F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6-авт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484F4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6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13045" w:rsidRPr="006D1E5B" w:rsidRDefault="00513045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DA0A0A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282D55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7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за розрахунками в порядку планових платежів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накопичувальній відомості </w:t>
      </w:r>
      <w:r w:rsidR="00DA0A0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розрахунками в порядку планових платежів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ведеться облік розрахунків за продукти харчування, медикаменти та перев</w:t>
      </w:r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язувальні </w:t>
      </w:r>
      <w:r w:rsidR="000F40B7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матеріали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здійснюються в порядку планових платежів. Облік ведеться окремо за кожним постачальником, для якого відводиться необхідна кількість рядків з метою відображення операцій протягом місяця в розрізі кодів економічної класифікації видатків.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Операції за розрахунками в порядку планових платежів, що здійснюються за рахунок коштів спеціального фонду, ведуться в окремому ордері за даною формою.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Записи в накопичувальну відомість здійснюються за кожним документом (платіжним дорученням, рахунком та ін.) в міру здійснення операцій.</w:t>
      </w:r>
    </w:p>
    <w:p w:rsidR="002E0BCA" w:rsidRPr="006D1E5B" w:rsidRDefault="002E0BCA" w:rsidP="007F4203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Перерахування постачальникам планового авансу супроводжується записами 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дебет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субрахунку </w:t>
      </w:r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2111 (2121) «Поточна дебіторська заборгованість за розрахунками за товари, роботи, послуги» 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2113 (2123) «Розрахунки за авансами, виданими постачальникам, підрядникам за товари, роботи і послуги»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кредит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відповідних субрахунків за графами 2, 5, 8 - 12.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Отримання продуктів харчування, медикаментів та </w:t>
      </w:r>
      <w:proofErr w:type="spellStart"/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</w:t>
      </w:r>
      <w:proofErr w:type="spellEnd"/>
      <w:r w:rsidR="007F4203" w:rsidRPr="006D1E5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язувальних</w:t>
      </w:r>
      <w:proofErr w:type="spellEnd"/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F40B7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матеріалів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постачальників супроводжується записами 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субрахунку </w:t>
      </w:r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2111 (2121) «Поточна дебіторська заборгованість за розрахунками за товари, роботи, послуги» 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r w:rsidR="007F42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2113 (2123) «Розрахунки за авансами, виданими постачальникам, підрядникам за товари, роботи і послуги»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дебет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відповідних субрахунків за графами 2, 5, 14 - 22.</w:t>
      </w:r>
    </w:p>
    <w:p w:rsidR="002E0BCA" w:rsidRPr="006D1E5B" w:rsidRDefault="000B2407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Залишок на кінець місяця за субрахунком 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вираховується загальний та окремо за кожним постачальником у розрізі кодів економічної класифікації видатків.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одержання позиції </w:t>
      </w:r>
      <w:r w:rsidR="00AB0F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AB0F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вираховуються суми операцій на </w:t>
      </w:r>
      <w:r w:rsidRPr="005A3567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реєстраційних (поточних)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рахунках </w:t>
      </w:r>
      <w:r w:rsidR="003C79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C79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за отримані </w:t>
      </w:r>
      <w:r w:rsidR="00AB0F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суб’єктом державного сектору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продукти харчування.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28730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28730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вигляді відповідної кореспонденції </w:t>
      </w:r>
      <w:r w:rsidR="002F59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28730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28730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DA0A0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FA280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7-авт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FA280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7-авт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FA280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7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82D55" w:rsidRPr="006D1E5B" w:rsidRDefault="00282D55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DA0A0A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8.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282D55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8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за розрахунками з підзвітними особами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накопичувальній відомості ведеться облік розрахунків з підзвітними особами в розрізі кодів економічної класифікації видатків. Накопичувальна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відомість за субрахунком </w:t>
      </w:r>
      <w:r w:rsidR="001E64C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2116 (2126) «Дебіторська заборгованість за розрахунками з підзвітними особами»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складається щомісячно позиційним способом.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Операції за розрахунками з підзвітними особами, що здійснюється за рахунок коштів спеціального фонду, ведуться в окремому ордері за даною формою.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Операції з видачі грошових коштів під звіт і відшкодування перевитрат супроводжуються записами за дебетом субрахунку </w:t>
      </w:r>
      <w:r w:rsidR="001E64C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2116 (2126) «Дебіторська заборгованість за розрахунками з підзвітними особами»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Дані про невикористані та повернені підзвітною особою до каси </w:t>
      </w:r>
      <w:r w:rsidR="001E64C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E64C5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авансові суми, а також про витрачені суми авансу та затверджені суми витрат відповідно до авансового звіту записуються за кредитом субрахунку </w:t>
      </w:r>
      <w:r w:rsidR="00B5077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2116 (2126)</w:t>
      </w:r>
      <w:r w:rsidR="0029062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«Дебіторська заборгованість за розрахунками з підзвітними особами»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Другі записи здійснюються у випадках придбання підзвітними особами необоротних активів, малоцінних та швидкозношуваних предметів.</w:t>
      </w:r>
    </w:p>
    <w:p w:rsidR="002E0BCA" w:rsidRPr="006D1E5B" w:rsidRDefault="00B50774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Залишок на кінець місяця за субрахунком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2116 (2126)»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розраховується загальний та окремо за кожною підзвітною особою в розрізі кодів економічної класифікації видатків.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підрахуванні позиції </w:t>
      </w:r>
      <w:r w:rsidR="00DD11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DD11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вираховуються суми операцій з руху коштів у касі установи.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DA0A0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9B7EF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8-авт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9B7EF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8-авт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9B7EF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8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82D55" w:rsidRPr="006D1E5B" w:rsidRDefault="00282D55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0D3B7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9.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7E5D3F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9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про вибуття та переміщення необоротних активів</w:t>
      </w:r>
      <w:r w:rsidR="008D1529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8C3012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0D3B74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Накопичувальна відомість про вибуття та переміщення </w:t>
      </w:r>
      <w:r w:rsidR="00F33AD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необоротних активів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икористовується для обліку вибуття та переміщення до інших установ, організацій та матеріально відповідальних осіб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необоротних активів, до яких 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відносяться основні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засоб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3079C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3079C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необоротн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3079C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матеріальн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3079C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актив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нематеріальн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актив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інвестиційн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нерухом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35D1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r w:rsidR="00AC3DDA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Записи здійснюються щодо кожного документа (</w:t>
      </w:r>
      <w:r w:rsidR="00F5353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кт прий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мання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-передачі основних засобів, </w:t>
      </w:r>
      <w:r w:rsidR="00F5353B" w:rsidRPr="006D1E5B">
        <w:rPr>
          <w:rFonts w:ascii="Times New Roman" w:hAnsi="Times New Roman" w:cs="Times New Roman"/>
          <w:sz w:val="28"/>
          <w:szCs w:val="28"/>
        </w:rPr>
        <w:t>ак</w:t>
      </w:r>
      <w:r w:rsidR="00B07C7A" w:rsidRPr="006D1E5B">
        <w:rPr>
          <w:rFonts w:ascii="Times New Roman" w:hAnsi="Times New Roman" w:cs="Times New Roman"/>
          <w:sz w:val="28"/>
          <w:szCs w:val="28"/>
        </w:rPr>
        <w:t>т внутрішнього переміщення основних засобів,</w:t>
      </w:r>
      <w:r w:rsidR="00F5353B" w:rsidRPr="006D1E5B">
        <w:rPr>
          <w:rFonts w:ascii="Times New Roman" w:hAnsi="Times New Roman" w:cs="Times New Roman"/>
          <w:sz w:val="28"/>
          <w:szCs w:val="28"/>
        </w:rPr>
        <w:t xml:space="preserve"> </w:t>
      </w:r>
      <w:r w:rsidR="00F5353B" w:rsidRPr="006D1E5B">
        <w:rPr>
          <w:rFonts w:ascii="Times New Roman" w:eastAsia="Times New Roman" w:hAnsi="Times New Roman"/>
          <w:sz w:val="28"/>
          <w:szCs w:val="28"/>
          <w:lang w:eastAsia="ru-RU"/>
        </w:rPr>
        <w:t>акт передачі на ремонт, реконструкцію та модернізацію основних засобів,</w:t>
      </w:r>
      <w:r w:rsidR="00B07C7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353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списання основних засобів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(часткової ліквідації)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5353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 списання транспортних засобів, </w:t>
      </w:r>
      <w:r w:rsidR="00F5353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списання вилучен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документів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 бібліоте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чного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051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фонду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2050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) із зазначенням матеріально відповідальної особи.</w:t>
      </w:r>
    </w:p>
    <w:p w:rsidR="002E0BCA" w:rsidRPr="006D1E5B" w:rsidRDefault="002E0BCA" w:rsidP="00E5431E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</w:t>
      </w:r>
      <w:r w:rsidR="00F33AD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необоротн</w:t>
      </w:r>
      <w:r w:rsidR="00F33ADB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актив, </w:t>
      </w:r>
      <w:r w:rsidR="00E9622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який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вибуває, нарахований знос, то він відображається за дебетом відповідного субрахунку рахунку</w:t>
      </w:r>
      <w:r w:rsidR="00E5431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 «Знос (амортизація) необоротних активів</w:t>
      </w:r>
      <w:r w:rsidR="0091786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Сума зносу вираховується з даних </w:t>
      </w:r>
      <w:r w:rsidR="00356B8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відповідних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інвентарних карток.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2E0BCA" w:rsidP="00282D5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Одночасно відповідні записи здійснюються у відповідних інвентарних картках.</w:t>
      </w:r>
    </w:p>
    <w:p w:rsidR="002E0BCA" w:rsidRPr="006D1E5B" w:rsidRDefault="00723A4F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автоматизованому веденні бухгалтерського обліку </w:t>
      </w:r>
      <w:r w:rsidR="00A21E2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використовується</w:t>
      </w:r>
      <w:r w:rsidR="00A21E2A" w:rsidRPr="006D1E5B" w:rsidDel="00A21E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21E2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6C2F4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9-авт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6C2F4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9-авт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аналогічно порядку складання форми </w:t>
      </w:r>
      <w:r w:rsidR="006C2F4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9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5D3F" w:rsidRPr="006D1E5B" w:rsidRDefault="007E5D3F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A21E2A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10.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7E5D3F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10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Накопичувальна відомість про вибуття та переміщення малоцінних та швидкозношуваних предметів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A21E2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Накопичувальна відомість про вибуття та переміщення малоцінних та швидкозношуваних предметів 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икористовується для обліку вибуття та переміщення до інших установ, організацій та матеріально відповідальних осіб малоцінних та швидкозношуваних предметів. Записи здійснюються за кожним документом із зазначенням матеріально відповідальної особи.</w:t>
      </w:r>
    </w:p>
    <w:p w:rsidR="002E0BCA" w:rsidRPr="006D1E5B" w:rsidRDefault="002E0BC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кінці місяця підсумки по всіх графах підраховуються. Позиція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7E5D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A21E2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10-авт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</w:t>
      </w:r>
    </w:p>
    <w:p w:rsidR="002E0BCA" w:rsidRPr="006D1E5B" w:rsidRDefault="002E0BCA" w:rsidP="007E5D3F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10-авт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10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5D3F" w:rsidRPr="006D1E5B" w:rsidRDefault="007E5D3F" w:rsidP="002E0BCA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sz w:val="32"/>
          <w:szCs w:val="32"/>
          <w:lang w:eastAsia="uk-UA"/>
        </w:rPr>
      </w:pPr>
    </w:p>
    <w:p w:rsidR="002E0BCA" w:rsidRPr="006D1E5B" w:rsidRDefault="00C95482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11.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971FC4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№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Зведення накопичувальних відомостей про надходження продуктів харчування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Меморіальний ордер </w:t>
      </w:r>
      <w:r w:rsidR="00C9548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11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використовується в тих випадках, коли 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складається декілька накопичувальних відомостей про надходження продуктів харчування.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складається за результатами місяця на підставі накопичувальних відомостей про надходженням продуктів харчування окремо за кожною матеріально відповідальною особою (обслуговуючою установою).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Записи до накопичувальної відомості про надходження продуктів харчування здійснюються окремо за кожним постачальником.</w:t>
      </w:r>
    </w:p>
    <w:p w:rsidR="002E0BCA" w:rsidRPr="006D1E5B" w:rsidRDefault="00FC0BF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Позиція 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E267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BF6003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11-авт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відомості за формою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11-авт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аналогічно порядку складання форми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11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C0BFA" w:rsidRPr="006D1E5B" w:rsidRDefault="00FC0BFA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BF6003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12. </w:t>
      </w:r>
      <w:r w:rsidR="00FC0BF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МЕМОРІАЛЬНИЙ ОРДЕР 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12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Зведення накопичувальних відомостей про витрачання продуктів харчування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Меморіальний ордер </w:t>
      </w:r>
      <w:r w:rsidR="00BF600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12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використовується в тих випадках, коли 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складається декілька накопичувальних відомостей про витрачання продуктів харчування.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складається в кінці місяця на підставі накопичувальних відомостей про витрачання продуктів харчування окремо за кожною матеріально відповідальною особою (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 меморіального ордера 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 переносяться підсумки з відомостей витрачання продуктів харчування за відповідною кореспонденцією </w:t>
      </w:r>
      <w:r w:rsidR="0047637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рахунків. Крім того, в ордері записуються дані з інших видаткових документів на продукти харчування.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Позиція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47637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FC0BF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BF6003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12-авт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34506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- меморіального ордера № 12-авт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аналогічно порядку складання форми</w:t>
      </w:r>
      <w:r w:rsidR="00417451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12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67359" w:rsidRPr="006D1E5B" w:rsidRDefault="00E67359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3B171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13.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8B0172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13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 xml:space="preserve">Накопичувальна відомість витрачання </w:t>
      </w:r>
      <w:r w:rsidR="007441C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виробничих </w:t>
      </w:r>
      <w:r w:rsidR="00737F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запасів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3B1714" w:rsidP="00E6735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Накопичувальна відомість витрачання </w:t>
      </w:r>
      <w:r w:rsidR="00493C3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запасів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икористовується для обліку операцій про витрачання </w:t>
      </w:r>
      <w:r w:rsidR="007441C9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виробничих та інших</w:t>
      </w:r>
      <w:r w:rsidR="007441C9" w:rsidRPr="007441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441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запасів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крім продуктів харчування.</w:t>
      </w:r>
    </w:p>
    <w:p w:rsidR="002E0BCA" w:rsidRPr="006D1E5B" w:rsidRDefault="002E0BCA" w:rsidP="00E6735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меморіального ордеру дані заносяться з первинних документів про витрачання </w:t>
      </w:r>
      <w:r w:rsidR="007441C9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матеріальних цінностей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(накладних </w:t>
      </w:r>
      <w:r w:rsidR="00960CC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(вимог)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забірних карток та ін.).</w:t>
      </w:r>
    </w:p>
    <w:p w:rsidR="002E0BCA" w:rsidRPr="006D1E5B" w:rsidRDefault="002E0BCA" w:rsidP="00E6735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Записи за дебетом субрахунків, що кореспондують з субрахунками</w:t>
      </w:r>
      <w:r w:rsidR="007441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обліку запасів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здійснюються в розрізі кодів економічної класифікації видатків.</w:t>
      </w:r>
    </w:p>
    <w:p w:rsidR="002E0BCA" w:rsidRPr="006D1E5B" w:rsidRDefault="002E0BCA" w:rsidP="00E6735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кінці місяця підраховуються підсумки за всіма графами. Позиція </w:t>
      </w:r>
      <w:r w:rsidR="006524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6524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47637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6524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6524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E6735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3B1714" w:rsidP="001F19A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8B017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13-авт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1F19A7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8B017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меморіального ордера № 13-авт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аналогічно порядку складання форми</w:t>
      </w:r>
      <w:r w:rsidR="008B017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13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D64FF" w:rsidRPr="006D1E5B" w:rsidRDefault="00ED64FF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3B1714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14.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CD6BB3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14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 xml:space="preserve">Накопичувальна відомість нарахування доходів спеціального фонду </w:t>
      </w:r>
      <w:r w:rsidR="0090045C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суб</w:t>
      </w:r>
      <w:r w:rsidR="0090045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90045C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єктів державного сектору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6119F4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2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Накопичувальна відомість </w:t>
        </w:r>
        <w:r w:rsidR="003B1714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нарахування доходів спеціального фон</w:t>
        </w:r>
        <w:r w:rsidR="00501DF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ду  суб’єктів державного сектору</w:t>
        </w:r>
        <w:r w:rsidR="003B1714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використовується для обліку операцій нарахування доходів спеціального фонду (субрахунки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7011 «Бюджетні асигнування» (7021 «Асигнування державних цільових фондів на утримання апарату»)</w:t>
        </w:r>
        <w:r w:rsidR="00D5357C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(крім асигнувань із загального фонду)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, 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7111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(7121) «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Доходи від реалізації продукції (робіт, послуг)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»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, 7211 (7221)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Дохід від реалізації активів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»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,</w:t>
        </w:r>
        <w:r w:rsidR="001D42EB" w:rsidRPr="006D1E5B">
          <w:t xml:space="preserve">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7311 «Фінансові доходи розпорядників бюджетних коштів» (7321 «Фінансові доходи державних цільових фондів»),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7411 (7421)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Інші доходи за обмінними операціями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»,</w:t>
        </w:r>
        <w:r w:rsidR="00207D2E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1D42E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7511 «Доходи за необмінними операціями»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). На кожен вид доходів спеціального фонду відкриваються окремі меморіальні ордери, які нумеруються відповідно </w:t>
        </w:r>
        <w:r w:rsidR="00CD6BB3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14-1, 14-2, 14-3.</w:t>
        </w:r>
      </w:hyperlink>
    </w:p>
    <w:p w:rsidR="002E0BCA" w:rsidRPr="006D1E5B" w:rsidRDefault="002E0BCA" w:rsidP="00CD6BB3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кінці місяця підбиваються всі підсумки та позиція </w:t>
      </w:r>
      <w:r w:rsidR="00CD6BB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</w:t>
      </w:r>
      <w:r w:rsidR="00CD6BB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ротів за меморіальним ордером»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147C9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CD6BB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CD6BB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CD6BB3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852422" w:rsidP="00CD6BB3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D3079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14-авт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CD6BB3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Складання відомості за формою </w:t>
      </w:r>
      <w:r w:rsidR="00D3079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14-авт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D3079C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14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07D2E" w:rsidRPr="006D1E5B" w:rsidRDefault="00207D2E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2E0BCA" w:rsidRPr="006D1E5B" w:rsidRDefault="008C47FB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15.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МЕМОРІАЛЬНИЙ ОРДЕР </w:t>
      </w:r>
      <w:r w:rsidR="002150A8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15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Зведення відомостей за розрахунками з батьками на утримання дітей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8C47FB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Зведення відомостей за розрахунками з батьками на утримання дітей складається у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централізованих бухгалтеріях на підставі відомостей за розрахунками з батьками.</w:t>
      </w:r>
    </w:p>
    <w:p w:rsidR="002E0BCA" w:rsidRPr="006D1E5B" w:rsidRDefault="002E0BCA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Зведення відомостей відкривається виведенням залишку на початок місяця. У кінці місяця за всіма графами підраховуються підсумки на кінець місяця. Усі записи здійснюються окремо за кожною обслуговуючою установою (дитячою групою).</w:t>
      </w:r>
    </w:p>
    <w:p w:rsidR="002E0BCA" w:rsidRPr="006D1E5B" w:rsidRDefault="002E0BCA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Позиція </w:t>
      </w:r>
      <w:r w:rsidR="00036F1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036F1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відповідної кореспонденції </w:t>
      </w:r>
      <w:r w:rsidR="00147C94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рахунків переноситься до книги </w:t>
      </w:r>
      <w:r w:rsidR="00036F1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036F19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 особою, що перевірила меморіальний ордер, та головним бухгалтером.</w:t>
      </w:r>
    </w:p>
    <w:p w:rsidR="002E0BCA" w:rsidRPr="006D1E5B" w:rsidRDefault="008C47FB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</w:t>
      </w:r>
      <w:r w:rsidRPr="006D1E5B" w:rsidDel="008C47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орма </w:t>
      </w:r>
      <w:r w:rsidR="00391F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15-авт </w:t>
      </w:r>
      <w:r w:rsidR="002E0BC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Складання відомості за формою </w:t>
      </w:r>
      <w:r w:rsidR="00391F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меморіального ордера № 15-авт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аналогічно порядку складання форми</w:t>
      </w:r>
      <w:r w:rsidR="00391FC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меморіального ордера № 15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150A8" w:rsidRPr="006D1E5B" w:rsidRDefault="002150A8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8C47FB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hAnsi="Times New Roman" w:cs="Times New Roman"/>
          <w:b/>
          <w:sz w:val="28"/>
          <w:szCs w:val="28"/>
        </w:rPr>
        <w:t>16.</w:t>
      </w:r>
      <w:r w:rsidRPr="006D1E5B">
        <w:t xml:space="preserve"> </w:t>
      </w:r>
      <w:hyperlink r:id="rId13" w:tgtFrame="_top" w:history="1">
        <w:r w:rsidR="002E0BCA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 xml:space="preserve">МЕМОРІАЛЬНИЙ ОРДЕР </w:t>
        </w:r>
        <w:r w:rsidR="002150A8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№</w:t>
        </w:r>
        <w:r w:rsidR="002E0BCA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 xml:space="preserve"> 16</w:t>
        </w:r>
        <w:r w:rsidR="002E0BCA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br/>
          <w:t>Накопичувальна відомість позабалансового обліку</w:t>
        </w:r>
      </w:hyperlink>
    </w:p>
    <w:p w:rsidR="00137560" w:rsidRPr="006D1E5B" w:rsidRDefault="00137560" w:rsidP="002E0BC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4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У накопичувальній відомості </w:t>
        </w:r>
        <w:r w:rsidR="008C47F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позабалансового обліку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ведеться облік надходження та вибуття в розрізі </w:t>
        </w:r>
        <w:r w:rsidR="00036F1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об</w:t>
        </w:r>
        <w:r w:rsidR="00036F19" w:rsidRPr="006D1E5B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’</w:t>
        </w:r>
        <w:proofErr w:type="spellStart"/>
        <w:r w:rsidR="00036F1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єктів</w:t>
        </w:r>
        <w:proofErr w:type="spellEnd"/>
        <w:r w:rsidR="00036F1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позабалансового обліку.</w:t>
        </w:r>
      </w:hyperlink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5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До граф 1 - 6 заносяться дані про надходження (одержання, надання, отримання тощо), а до граф 7 - 12 заносяться дані про вибуття (використання, списання, повернення, сплату тощо) </w:t>
        </w:r>
        <w:r w:rsidR="00036F1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об’єктів</w:t>
        </w:r>
        <w:r w:rsidR="007F2087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, які обліковуються на позабалансових рахунках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:</w:t>
        </w:r>
      </w:hyperlink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01 «Орендовані основні засоби та нематеріальні активи»;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02 «Активи на відповідальному зберіганні»;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03 «Бюджетні зобов’язання»;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04 «Непередбачені активи»;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05 «Непередбачені зобов’язання, гарантії та забезпечення надані»;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06 «Гарантії та забезпечення отримані»;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07 «Списані активи»;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08 «Бланки документів суворої звітності»;</w:t>
      </w:r>
    </w:p>
    <w:p w:rsidR="007F2087" w:rsidRPr="006D1E5B" w:rsidRDefault="007F2087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09 «Передані (видані) активи відповідно до законодавства».</w:t>
      </w:r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6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 кінець кожного місяця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наводиться вартість залишку об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’</w:t>
        </w:r>
        <w:proofErr w:type="spellStart"/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єктів</w:t>
        </w:r>
        <w:proofErr w:type="spellEnd"/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позабалансового обліку (графа 5) як результат підрахунків показників у цій графі на початок місяця, записів за поточний місяць у цій графі, а також у графах 8 і 11.</w:t>
        </w:r>
      </w:hyperlink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7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При необхідно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сті </w:t>
        </w:r>
        <w:r w:rsidR="00D713A7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акопичувальна відомість об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’</w:t>
        </w:r>
        <w:proofErr w:type="spellStart"/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єктів</w:t>
        </w:r>
        <w:proofErr w:type="spellEnd"/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позабалансового обліку продовжується додатковими аркушами такого самого змісту і формату.</w:t>
        </w:r>
      </w:hyperlink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hyperlink r:id="rId18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Меморіальний ордер підписується виконавцем, особою, що перевірила меморіальний ордер, та головним бухгалтером.</w:t>
        </w:r>
      </w:hyperlink>
    </w:p>
    <w:p w:rsidR="002E0BCA" w:rsidRPr="006D1E5B" w:rsidRDefault="008C47FB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hAnsi="Times New Roman" w:cs="Times New Roman"/>
          <w:sz w:val="28"/>
          <w:szCs w:val="28"/>
        </w:rPr>
        <w:t xml:space="preserve">При автоматизованому веденні бухгалтерського обліку використовується </w:t>
      </w:r>
      <w:r w:rsidR="00BA1E0B" w:rsidRPr="006D1E5B">
        <w:rPr>
          <w:rFonts w:ascii="Times New Roman" w:hAnsi="Times New Roman" w:cs="Times New Roman"/>
          <w:sz w:val="28"/>
          <w:szCs w:val="28"/>
        </w:rPr>
        <w:t>ф</w:t>
      </w:r>
      <w:r w:rsidR="00D713A7" w:rsidRPr="006D1E5B">
        <w:rPr>
          <w:rFonts w:ascii="Times New Roman" w:hAnsi="Times New Roman" w:cs="Times New Roman"/>
          <w:sz w:val="28"/>
          <w:szCs w:val="28"/>
        </w:rPr>
        <w:t>орма меморіального ордера № 16-авт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6119F4" w:rsidP="002150A8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9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Складання </w:t>
        </w:r>
        <w:r w:rsidR="00CF3A6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еморіально</w:t>
        </w:r>
        <w:r w:rsidR="00D713A7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го ордера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№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D713A7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16-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авт здійснюється аналогічно порядку 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складання </w:t>
        </w:r>
        <w:r w:rsidR="00CF3A6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еморіального ордера №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16.</w:t>
        </w:r>
      </w:hyperlink>
    </w:p>
    <w:p w:rsidR="00AB58D9" w:rsidRPr="006D1E5B" w:rsidRDefault="00AB58D9" w:rsidP="002E0BC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B5889" w:rsidRPr="006D1E5B" w:rsidRDefault="00BB5889" w:rsidP="00BB58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17. МЕМОРІАЛЬНИЙ ОРДЕР № 17</w:t>
      </w: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№ 17 застосовується для відображення операцій, що не фіксуються в меморіальних ордерах </w:t>
      </w:r>
      <w:hyperlink r:id="rId20" w:tgtFrame="_top" w:history="1">
        <w:r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1 - 16</w:t>
        </w:r>
      </w:hyperlink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для операцій, за якими не потрібно складати накопичувальні відомості та зведення.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Записи в меморіальному ордері здійснюються як за окремими первинними документами, так і за групами однорідних документів.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Кореспонденція субрахунків у меморіальному ордері записується в залежності від характеру операцій за дебетом одного субрахунку та за кредитом іншого субрахунку чи дебету одного субрахунку та кредиту декількох субрахунків, або навпаки, за кредитом одного субрахунку і дебетом декількох.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Таким меморіальним ордерам присвоюються номери</w:t>
      </w:r>
      <w:r w:rsidR="00FC15B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5B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починаючи з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FC15B8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кож</w:t>
      </w:r>
      <w:r w:rsidR="00137560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ен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місяць окремо.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Позиція «Сума оборотів за меморіальним ордером» у вигляді відповідної кореспонденції субрахунків переноситься до книги «Журнал-головна».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 підписується виконавцем,</w:t>
      </w:r>
      <w:r w:rsidRPr="006D1E5B">
        <w:rPr>
          <w:rFonts w:ascii="Arial" w:eastAsia="Times New Roman" w:hAnsi="Arial" w:cs="Arial"/>
          <w:sz w:val="24"/>
          <w:szCs w:val="24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особою, що перевірила</w:t>
      </w:r>
      <w:r w:rsidRPr="006D1E5B">
        <w:rPr>
          <w:rFonts w:ascii="Arial" w:eastAsia="Times New Roman" w:hAnsi="Arial" w:cs="Arial"/>
          <w:sz w:val="24"/>
          <w:szCs w:val="24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ордер, та головним бухгалтером.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автоматизованому веденні бухгалтерського обліку використовується форма меморіального ордера № 17-авт .</w:t>
      </w:r>
    </w:p>
    <w:p w:rsidR="00BB5889" w:rsidRPr="006D1E5B" w:rsidRDefault="00BB5889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відомості за формою меморіального ордера № 17-авт здійснюється аналогічно порядку складання форми меморіального ордера № 17.</w:t>
      </w:r>
    </w:p>
    <w:p w:rsidR="00DC11AA" w:rsidRPr="006D1E5B" w:rsidRDefault="00DC11AA" w:rsidP="00BB588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0BCA" w:rsidRPr="006D1E5B" w:rsidRDefault="002E641B" w:rsidP="00AB58D9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hAnsi="Times New Roman" w:cs="Times New Roman"/>
          <w:b/>
          <w:sz w:val="28"/>
          <w:szCs w:val="28"/>
        </w:rPr>
        <w:t>1</w:t>
      </w:r>
      <w:r w:rsidR="00BB5889" w:rsidRPr="006D1E5B">
        <w:rPr>
          <w:rFonts w:ascii="Times New Roman" w:hAnsi="Times New Roman" w:cs="Times New Roman"/>
          <w:b/>
          <w:sz w:val="28"/>
          <w:szCs w:val="28"/>
        </w:rPr>
        <w:t>8</w:t>
      </w:r>
      <w:r w:rsidRPr="006D1E5B">
        <w:rPr>
          <w:rFonts w:ascii="Times New Roman" w:hAnsi="Times New Roman" w:cs="Times New Roman"/>
          <w:b/>
          <w:sz w:val="28"/>
          <w:szCs w:val="28"/>
        </w:rPr>
        <w:t>.</w:t>
      </w:r>
      <w:r w:rsidRPr="006D1E5B">
        <w:rPr>
          <w:b/>
        </w:rPr>
        <w:t xml:space="preserve"> </w:t>
      </w:r>
      <w:hyperlink r:id="rId21" w:tgtFrame="_top" w:history="1">
        <w:r w:rsidR="002E0BCA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КНИГА АНАЛІТИЧНОГО ОБЛІКУ ДЕПОНОВАНОЇ ЗАРОБІТНОЇ ПЛАТИ І СТИПЕНДІЙ</w:t>
        </w:r>
        <w:r w:rsidR="002E0BCA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br/>
        </w:r>
      </w:hyperlink>
    </w:p>
    <w:p w:rsidR="002E0BCA" w:rsidRPr="006D1E5B" w:rsidRDefault="006119F4" w:rsidP="00AB58D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2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 книзі ведеться облік депонованих сум заробітної плати і стипендій. Записи в цій книзі проводяться за кожним де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понентом. У відповідних графах «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Кредит (віднесено на ра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хунок депонентів)»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повинні бути вказані місяць, у якому утворилась депонентська заборгованість, номери платіжних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відомостей і суми, а в графах «Дебет – виплачено»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напроти прізвища депонента записується номер видаткового касового ордера</w:t>
        </w:r>
        <w:r w:rsidR="005B23B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чи іншого документа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та виплачена сума.</w:t>
        </w:r>
      </w:hyperlink>
    </w:p>
    <w:p w:rsidR="002E0BCA" w:rsidRPr="006D1E5B" w:rsidRDefault="006119F4" w:rsidP="00AB58D9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3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 видаткових касових ордерах за виплаченими депонен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тськими сумами ставиться штамп «Депонент»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.</w:t>
        </w:r>
      </w:hyperlink>
    </w:p>
    <w:p w:rsidR="002E0BCA" w:rsidRPr="006D1E5B" w:rsidRDefault="006119F4" w:rsidP="00AB58D9">
      <w:pPr>
        <w:shd w:val="clear" w:color="auto" w:fill="FFFFFF"/>
        <w:spacing w:after="0" w:line="36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hyperlink r:id="rId24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 кінці місяця в книзі підрах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овуються результати за графами «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Кредит (відне</w:t>
        </w:r>
        <w:r w:rsidR="00AB58D9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сено на рахунок депонентів)» і «Дебет – виплачено»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та виводиться кредитовий залишок на початок наступного місяця.</w:t>
        </w:r>
      </w:hyperlink>
    </w:p>
    <w:p w:rsidR="002E0BCA" w:rsidRPr="006D1E5B" w:rsidRDefault="006119F4" w:rsidP="00D56E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5" w:tgtFrame="_top" w:history="1">
        <w:r w:rsidR="002A3FD3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При автоматизованому веденні бухгалтерського обліку використовується </w:t>
        </w:r>
        <w:r w:rsidR="00DC11A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</w:t>
        </w:r>
        <w:r w:rsidR="002E641B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еєстр депонованих сум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.</w:t>
        </w:r>
      </w:hyperlink>
    </w:p>
    <w:p w:rsidR="002E0BCA" w:rsidRPr="006D1E5B" w:rsidRDefault="006119F4" w:rsidP="00D56E45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6" w:tgtFrame="_top" w:history="1"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Реєстр складається касиром, який закриває платіжну відомість, за кож</w:t>
        </w:r>
        <w:r w:rsidR="0010032C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ен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період виплати заробітної плати, стипендій окремо і перевіряється головним бухгалтером. Працівник </w:t>
        </w:r>
        <w:r w:rsidR="00820DC6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суб’єкта державного сектору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, який веде облік депонованої заробітної плати, стипендій на підставі видаткових касових ордерів, платіжних доручень та бухгалтерських довідок про списання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lastRenderedPageBreak/>
          <w:t>заборгованості, щодо якої термін позовної давності минув, робить відмітку про сплату (перерахування, списання, перенесення) депонованої заробітної плати і стипендії (графи 7</w:t>
        </w:r>
        <w:r w:rsidR="004163A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-</w:t>
        </w:r>
        <w:r w:rsidR="004163A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r w:rsidR="002E0BCA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10) і своїм підписом підтверджує кожну відображену операцію.</w:t>
        </w:r>
      </w:hyperlink>
    </w:p>
    <w:p w:rsidR="004F7911" w:rsidRPr="006D1E5B" w:rsidRDefault="004F7911" w:rsidP="00D56E4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F2BF1" w:rsidRPr="006D1E5B" w:rsidRDefault="00DC11AA" w:rsidP="000F2BF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hAnsi="Times New Roman" w:cs="Times New Roman"/>
          <w:b/>
          <w:sz w:val="28"/>
          <w:szCs w:val="28"/>
        </w:rPr>
        <w:t>19</w:t>
      </w:r>
      <w:r w:rsidR="000F2BF1" w:rsidRPr="006D1E5B">
        <w:rPr>
          <w:rFonts w:ascii="Times New Roman" w:hAnsi="Times New Roman" w:cs="Times New Roman"/>
          <w:b/>
          <w:sz w:val="28"/>
          <w:szCs w:val="28"/>
        </w:rPr>
        <w:t>.</w:t>
      </w:r>
      <w:r w:rsidR="000F2BF1" w:rsidRPr="006D1E5B">
        <w:t xml:space="preserve"> </w:t>
      </w:r>
      <w:hyperlink r:id="rId27" w:tgtFrame="_top" w:history="1">
        <w:r w:rsidR="000F2BF1" w:rsidRPr="006D1E5B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БУХГАЛТЕРСЬКА ДОВІДКА</w:t>
        </w:r>
      </w:hyperlink>
    </w:p>
    <w:p w:rsidR="00DC11AA" w:rsidRPr="006D1E5B" w:rsidRDefault="00DC11AA" w:rsidP="000F2BF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F2BF1" w:rsidRPr="006D1E5B" w:rsidRDefault="006119F4" w:rsidP="000F2BF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8" w:tgtFrame="_top" w:history="1"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Помилки в облікових регістрах за звітний рік, що виявлені після записів підсумків облікових регістрів у головну книгу, виправляються способом сторно. Цей спосіб передбачає складання бухгалтерської довідки, у яку помилка (сума, кореспонденція </w:t>
        </w:r>
        <w:r w:rsidR="0010032C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суб</w:t>
        </w:r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рахунків) заноситься червоним чорнилом, пастою кулькових ручок тощо або в дужках, а правильний запис (сума, кореспонденція </w:t>
        </w:r>
        <w:r w:rsidR="00B82A77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суб</w:t>
        </w:r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рахунків) заноситься чорнилом, пастою кулькових ручок тощо темного кольору. Унесенням цих даних до регістру бухгалтерського обліку і головної книги в місяці, у якому виявлено помилку, ліквідується неправильний запис та відображаються правильна сума і кореспонденція </w:t>
        </w:r>
        <w:r w:rsidR="000350E2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суб</w:t>
        </w:r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рахунків бухгалтерського обліку.</w:t>
        </w:r>
      </w:hyperlink>
    </w:p>
    <w:p w:rsidR="000F2BF1" w:rsidRPr="006D1E5B" w:rsidRDefault="006119F4" w:rsidP="000F2BF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29" w:tgtFrame="_top" w:history="1"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Виправлення помилок минулих років оформлюється бухгалтерською довідкою, де наводяться зміст помилки, сума та кореспонденція </w:t>
        </w:r>
        <w:r w:rsidR="007A3CCD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суб</w:t>
        </w:r>
        <w:r w:rsidR="000F2BF1" w:rsidRPr="006D1E5B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рахунків бухгалтерського обліку, якою виправляється помилка. У місяці складання бухгалтерської довідки її дані записуються до відповідного регістру бухгалтерського обліку і головної книги.</w:t>
        </w:r>
      </w:hyperlink>
    </w:p>
    <w:p w:rsidR="000F2BF1" w:rsidRPr="006D1E5B" w:rsidRDefault="000F2BF1" w:rsidP="00D56E4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E0BCA" w:rsidRPr="006D1E5B" w:rsidRDefault="00DC11AA" w:rsidP="00D56E4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2E641B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. 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КНИГА ЖУРНАЛ - ГОЛОВНА</w:t>
      </w:r>
      <w:r w:rsidR="002E0BCA" w:rsidRPr="006D1E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</w:p>
    <w:p w:rsidR="002E0BCA" w:rsidRPr="006D1E5B" w:rsidRDefault="002E0BCA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Книга призначена для реєстрації всіх меморіальних ордерів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Облік у книзі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ведеться за субрахунками</w:t>
      </w:r>
      <w:r w:rsidR="003B444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Плану рахунків бухгалтерського обліку в державному секторі, затвердженого наказом Міністерства фінансів України від 31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грудня </w:t>
      </w:r>
      <w:r w:rsidR="003B444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2013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  <w:r w:rsidR="003B4446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1203, зареєстрованого в Міністерстві юстиції України 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25 січня 2014 р. за №</w:t>
      </w:r>
      <w:r w:rsidR="00EF26DD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161/24938, з урахуванням галузевих особливостей та виробничої необхідності щодо деталізації обліку господарськи</w:t>
      </w:r>
      <w:r w:rsidR="002A3FD3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операцій суб’єкта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47318E">
      <w:pPr>
        <w:shd w:val="clear" w:color="auto" w:fill="FFFFFF" w:themeFill="background1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Книга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відкривається щорічно. На початку звітного </w:t>
      </w:r>
      <w:r w:rsidR="0047318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книга відкривається записами сум залишків на рахунках на початок </w:t>
      </w:r>
      <w:r w:rsidR="0047318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відповідності до балансу та залишків на рахунках книги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«Журнал-головна»</w:t>
      </w:r>
      <w:r w:rsidR="0047318E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минулий рік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Записи в книзі, при веденні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суб’єктами державного сектор</w:t>
      </w:r>
      <w:r w:rsidR="00501DF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окремих меморіальних ордерів, здійснюються у міру їх складання, але не пізніше наступного дня, а при складанні меморіальних ордерів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накопичувальних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відомостей </w:t>
      </w:r>
      <w:r w:rsidR="00DE49F2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 раз на місяць. Сума меморіального ордера переноситься спочатку до графи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потім </w:t>
      </w:r>
      <w:r w:rsidR="005B23B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дебет</w:t>
      </w:r>
      <w:r w:rsidR="005B23B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кредит</w:t>
      </w:r>
      <w:r w:rsidR="005B23BA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відповідних субрахунків.</w:t>
      </w:r>
    </w:p>
    <w:p w:rsidR="002E0BCA" w:rsidRPr="006D1E5B" w:rsidRDefault="002E0BCA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кінці місяця перевіряється правильність записів за субрахунками в книзі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Журнал-головна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Для цього підсумовуються обороти за кожним субрахунком і виводяться залишки на кінець місяця в рядку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Усього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0BCA" w:rsidRPr="006D1E5B" w:rsidRDefault="002E0BCA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оборотів за місяць за всіма субрахунками як за дебетом, так і за кредитом повинна дорівнювати підсумку графи 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оборотів за меморіальним ордером</w:t>
      </w:r>
      <w:r w:rsidR="00B5183F"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6D1E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1148B" w:rsidRPr="006D1E5B" w:rsidRDefault="0011148B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148B" w:rsidRPr="006D1E5B" w:rsidRDefault="0011148B" w:rsidP="004F7911">
      <w:pPr>
        <w:shd w:val="clear" w:color="auto" w:fill="FFFFFF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0BCA" w:rsidRPr="006D1E5B" w:rsidRDefault="002E0BCA" w:rsidP="002E0BCA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4"/>
          <w:szCs w:val="24"/>
          <w:lang w:eastAsia="uk-UA"/>
        </w:rPr>
      </w:pPr>
      <w:r w:rsidRPr="006D1E5B">
        <w:rPr>
          <w:rFonts w:ascii="Arial" w:eastAsia="Times New Roman" w:hAnsi="Arial" w:cs="Arial"/>
          <w:sz w:val="24"/>
          <w:szCs w:val="24"/>
          <w:lang w:eastAsia="uk-UA"/>
        </w:rPr>
        <w:t> </w:t>
      </w:r>
    </w:p>
    <w:p w:rsidR="003172F7" w:rsidRPr="006D1E5B" w:rsidRDefault="003172F7" w:rsidP="003172F7">
      <w:pPr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Директор Департаменту податкової, </w:t>
      </w:r>
    </w:p>
    <w:p w:rsidR="003172F7" w:rsidRPr="006D1E5B" w:rsidRDefault="003172F7" w:rsidP="003172F7">
      <w:pPr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1E5B">
        <w:rPr>
          <w:rFonts w:ascii="Times New Roman" w:eastAsia="Times New Roman" w:hAnsi="Times New Roman"/>
          <w:b/>
          <w:sz w:val="28"/>
          <w:szCs w:val="28"/>
          <w:lang w:eastAsia="ru-RU"/>
        </w:rPr>
        <w:t>митної політики та методології</w:t>
      </w:r>
    </w:p>
    <w:p w:rsidR="003172F7" w:rsidRPr="006D1E5B" w:rsidRDefault="003172F7" w:rsidP="003172F7">
      <w:pPr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D1E5B">
        <w:rPr>
          <w:rFonts w:ascii="Times New Roman" w:eastAsia="Times New Roman" w:hAnsi="Times New Roman"/>
          <w:b/>
          <w:sz w:val="28"/>
          <w:szCs w:val="28"/>
          <w:lang w:eastAsia="ru-RU"/>
        </w:rPr>
        <w:t>бухгалтерського обліку                                                               Ю. П. Романюк</w:t>
      </w:r>
    </w:p>
    <w:p w:rsidR="003172F7" w:rsidRPr="006D1E5B" w:rsidRDefault="003172F7" w:rsidP="002E0BCA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</w:p>
    <w:p w:rsidR="00BA4411" w:rsidRPr="006D1E5B" w:rsidRDefault="002E0BCA" w:rsidP="002E0BCA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6D1E5B">
        <w:rPr>
          <w:rFonts w:ascii="Arial" w:eastAsia="Times New Roman" w:hAnsi="Arial" w:cs="Arial"/>
          <w:sz w:val="24"/>
          <w:szCs w:val="24"/>
          <w:lang w:eastAsia="uk-UA"/>
        </w:rPr>
        <w:t> </w:t>
      </w:r>
    </w:p>
    <w:p w:rsidR="00BA4411" w:rsidRPr="006D1E5B" w:rsidRDefault="00BA4411" w:rsidP="002E0BCA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</w:p>
    <w:p w:rsidR="009E51D9" w:rsidRPr="006D1E5B" w:rsidRDefault="009E51D9"/>
    <w:sectPr w:rsidR="009E51D9" w:rsidRPr="006D1E5B" w:rsidSect="00ED64FF">
      <w:headerReference w:type="default" r:id="rId3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F4" w:rsidRDefault="006119F4" w:rsidP="00ED64FF">
      <w:pPr>
        <w:spacing w:after="0" w:line="240" w:lineRule="auto"/>
      </w:pPr>
      <w:r>
        <w:separator/>
      </w:r>
    </w:p>
  </w:endnote>
  <w:endnote w:type="continuationSeparator" w:id="0">
    <w:p w:rsidR="006119F4" w:rsidRDefault="006119F4" w:rsidP="00ED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F4" w:rsidRDefault="006119F4" w:rsidP="00ED64FF">
      <w:pPr>
        <w:spacing w:after="0" w:line="240" w:lineRule="auto"/>
      </w:pPr>
      <w:r>
        <w:separator/>
      </w:r>
    </w:p>
  </w:footnote>
  <w:footnote w:type="continuationSeparator" w:id="0">
    <w:p w:rsidR="006119F4" w:rsidRDefault="006119F4" w:rsidP="00ED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353294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C47FB" w:rsidRPr="00ED64FF" w:rsidRDefault="00E70271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64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C47FB" w:rsidRPr="00ED64F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D64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66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D64FF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8C47FB" w:rsidRDefault="008C47F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72E26"/>
    <w:multiLevelType w:val="hybridMultilevel"/>
    <w:tmpl w:val="1AA22156"/>
    <w:lvl w:ilvl="0" w:tplc="99421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5E06DB"/>
    <w:multiLevelType w:val="hybridMultilevel"/>
    <w:tmpl w:val="81F281E8"/>
    <w:lvl w:ilvl="0" w:tplc="5448B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A74C94"/>
    <w:multiLevelType w:val="hybridMultilevel"/>
    <w:tmpl w:val="F57EA1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CA"/>
    <w:rsid w:val="000041F8"/>
    <w:rsid w:val="00034F13"/>
    <w:rsid w:val="000350E2"/>
    <w:rsid w:val="00036F19"/>
    <w:rsid w:val="00047A65"/>
    <w:rsid w:val="00050486"/>
    <w:rsid w:val="0007224B"/>
    <w:rsid w:val="00073EA7"/>
    <w:rsid w:val="00080A09"/>
    <w:rsid w:val="00096797"/>
    <w:rsid w:val="000A687C"/>
    <w:rsid w:val="000B2407"/>
    <w:rsid w:val="000B51E6"/>
    <w:rsid w:val="000B6CA1"/>
    <w:rsid w:val="000C640A"/>
    <w:rsid w:val="000D3B74"/>
    <w:rsid w:val="000E25C2"/>
    <w:rsid w:val="000E3AB9"/>
    <w:rsid w:val="000F2BF1"/>
    <w:rsid w:val="000F40B7"/>
    <w:rsid w:val="0010032C"/>
    <w:rsid w:val="0010369B"/>
    <w:rsid w:val="00104248"/>
    <w:rsid w:val="0011148B"/>
    <w:rsid w:val="00130670"/>
    <w:rsid w:val="00137560"/>
    <w:rsid w:val="00147C94"/>
    <w:rsid w:val="001549AF"/>
    <w:rsid w:val="00161CB5"/>
    <w:rsid w:val="00176543"/>
    <w:rsid w:val="00176A8C"/>
    <w:rsid w:val="001A7371"/>
    <w:rsid w:val="001C31AE"/>
    <w:rsid w:val="001D42EB"/>
    <w:rsid w:val="001E64C5"/>
    <w:rsid w:val="001F19A7"/>
    <w:rsid w:val="001F7462"/>
    <w:rsid w:val="00203743"/>
    <w:rsid w:val="00207D2E"/>
    <w:rsid w:val="002149C1"/>
    <w:rsid w:val="002150A8"/>
    <w:rsid w:val="00220A3B"/>
    <w:rsid w:val="002234AF"/>
    <w:rsid w:val="0024026E"/>
    <w:rsid w:val="002407A8"/>
    <w:rsid w:val="00242843"/>
    <w:rsid w:val="00264E32"/>
    <w:rsid w:val="002673C1"/>
    <w:rsid w:val="0027009F"/>
    <w:rsid w:val="00270EA2"/>
    <w:rsid w:val="00282D55"/>
    <w:rsid w:val="00287301"/>
    <w:rsid w:val="0029062E"/>
    <w:rsid w:val="00295FC8"/>
    <w:rsid w:val="002A3FD3"/>
    <w:rsid w:val="002A678F"/>
    <w:rsid w:val="002B114A"/>
    <w:rsid w:val="002C3238"/>
    <w:rsid w:val="002D7290"/>
    <w:rsid w:val="002E0BCA"/>
    <w:rsid w:val="002E641B"/>
    <w:rsid w:val="002E7286"/>
    <w:rsid w:val="002F59CE"/>
    <w:rsid w:val="00301E20"/>
    <w:rsid w:val="003079CB"/>
    <w:rsid w:val="003149B4"/>
    <w:rsid w:val="003172F7"/>
    <w:rsid w:val="003209C6"/>
    <w:rsid w:val="00341C2C"/>
    <w:rsid w:val="00345067"/>
    <w:rsid w:val="003463AC"/>
    <w:rsid w:val="00356B86"/>
    <w:rsid w:val="00370986"/>
    <w:rsid w:val="00373C5D"/>
    <w:rsid w:val="00386058"/>
    <w:rsid w:val="00391FCE"/>
    <w:rsid w:val="003B1714"/>
    <w:rsid w:val="003B4446"/>
    <w:rsid w:val="003C793F"/>
    <w:rsid w:val="004012EB"/>
    <w:rsid w:val="00403AC6"/>
    <w:rsid w:val="004163AA"/>
    <w:rsid w:val="0041680A"/>
    <w:rsid w:val="00417451"/>
    <w:rsid w:val="00423236"/>
    <w:rsid w:val="0047318E"/>
    <w:rsid w:val="0047637F"/>
    <w:rsid w:val="00484F43"/>
    <w:rsid w:val="0049150B"/>
    <w:rsid w:val="00493C31"/>
    <w:rsid w:val="004C14D8"/>
    <w:rsid w:val="004F7911"/>
    <w:rsid w:val="00501762"/>
    <w:rsid w:val="00501DFB"/>
    <w:rsid w:val="005035A8"/>
    <w:rsid w:val="00513045"/>
    <w:rsid w:val="00515CC9"/>
    <w:rsid w:val="00516635"/>
    <w:rsid w:val="00525306"/>
    <w:rsid w:val="005808D0"/>
    <w:rsid w:val="005870CB"/>
    <w:rsid w:val="0059200C"/>
    <w:rsid w:val="00594CCB"/>
    <w:rsid w:val="00595B90"/>
    <w:rsid w:val="005A25CC"/>
    <w:rsid w:val="005A3567"/>
    <w:rsid w:val="005A5BDB"/>
    <w:rsid w:val="005B23BA"/>
    <w:rsid w:val="005C77D5"/>
    <w:rsid w:val="005E0A9C"/>
    <w:rsid w:val="005F3C69"/>
    <w:rsid w:val="0060446E"/>
    <w:rsid w:val="006119F4"/>
    <w:rsid w:val="00625218"/>
    <w:rsid w:val="006409A7"/>
    <w:rsid w:val="0065243F"/>
    <w:rsid w:val="00683325"/>
    <w:rsid w:val="006B0469"/>
    <w:rsid w:val="006C2856"/>
    <w:rsid w:val="006C2F40"/>
    <w:rsid w:val="006D1E5B"/>
    <w:rsid w:val="006D6421"/>
    <w:rsid w:val="006E1845"/>
    <w:rsid w:val="006E1D36"/>
    <w:rsid w:val="006F71E3"/>
    <w:rsid w:val="007205E1"/>
    <w:rsid w:val="00722C94"/>
    <w:rsid w:val="00723A4F"/>
    <w:rsid w:val="00737F3A"/>
    <w:rsid w:val="007441C9"/>
    <w:rsid w:val="00750D7B"/>
    <w:rsid w:val="00781973"/>
    <w:rsid w:val="00782767"/>
    <w:rsid w:val="007A3CCD"/>
    <w:rsid w:val="007A6140"/>
    <w:rsid w:val="007B01C6"/>
    <w:rsid w:val="007B6DB5"/>
    <w:rsid w:val="007E5D3F"/>
    <w:rsid w:val="007E7DC4"/>
    <w:rsid w:val="007F2087"/>
    <w:rsid w:val="007F4203"/>
    <w:rsid w:val="00805F34"/>
    <w:rsid w:val="00820DC6"/>
    <w:rsid w:val="008219E4"/>
    <w:rsid w:val="00824946"/>
    <w:rsid w:val="00833C1E"/>
    <w:rsid w:val="00852422"/>
    <w:rsid w:val="00857915"/>
    <w:rsid w:val="00896E16"/>
    <w:rsid w:val="008B0172"/>
    <w:rsid w:val="008B420B"/>
    <w:rsid w:val="008B67DF"/>
    <w:rsid w:val="008C001B"/>
    <w:rsid w:val="008C3012"/>
    <w:rsid w:val="008C47FB"/>
    <w:rsid w:val="008D1529"/>
    <w:rsid w:val="008F01FD"/>
    <w:rsid w:val="0090045C"/>
    <w:rsid w:val="0091605D"/>
    <w:rsid w:val="00917860"/>
    <w:rsid w:val="00923D8A"/>
    <w:rsid w:val="00925BA6"/>
    <w:rsid w:val="0093406C"/>
    <w:rsid w:val="00960512"/>
    <w:rsid w:val="00960CC3"/>
    <w:rsid w:val="00966161"/>
    <w:rsid w:val="00970FC1"/>
    <w:rsid w:val="00971FC4"/>
    <w:rsid w:val="009809A0"/>
    <w:rsid w:val="00983735"/>
    <w:rsid w:val="009858EB"/>
    <w:rsid w:val="009A2D77"/>
    <w:rsid w:val="009B7EF3"/>
    <w:rsid w:val="009C731E"/>
    <w:rsid w:val="009E4707"/>
    <w:rsid w:val="009E51D9"/>
    <w:rsid w:val="009F684D"/>
    <w:rsid w:val="00A2050F"/>
    <w:rsid w:val="00A21E2A"/>
    <w:rsid w:val="00A24016"/>
    <w:rsid w:val="00A378E9"/>
    <w:rsid w:val="00A46675"/>
    <w:rsid w:val="00A62B57"/>
    <w:rsid w:val="00A718F8"/>
    <w:rsid w:val="00A84796"/>
    <w:rsid w:val="00A9014B"/>
    <w:rsid w:val="00AB0FFA"/>
    <w:rsid w:val="00AB58D9"/>
    <w:rsid w:val="00AC0655"/>
    <w:rsid w:val="00AC2465"/>
    <w:rsid w:val="00AC3DDA"/>
    <w:rsid w:val="00AE6E8A"/>
    <w:rsid w:val="00AF73FA"/>
    <w:rsid w:val="00B07C7A"/>
    <w:rsid w:val="00B121A9"/>
    <w:rsid w:val="00B17B69"/>
    <w:rsid w:val="00B234ED"/>
    <w:rsid w:val="00B3286C"/>
    <w:rsid w:val="00B36B5B"/>
    <w:rsid w:val="00B41CF1"/>
    <w:rsid w:val="00B50774"/>
    <w:rsid w:val="00B5183F"/>
    <w:rsid w:val="00B55148"/>
    <w:rsid w:val="00B63C97"/>
    <w:rsid w:val="00B82A77"/>
    <w:rsid w:val="00B86A91"/>
    <w:rsid w:val="00BA1E0B"/>
    <w:rsid w:val="00BA235D"/>
    <w:rsid w:val="00BA4411"/>
    <w:rsid w:val="00BB325F"/>
    <w:rsid w:val="00BB5889"/>
    <w:rsid w:val="00BE0C16"/>
    <w:rsid w:val="00BE4B2E"/>
    <w:rsid w:val="00BF0CE4"/>
    <w:rsid w:val="00BF4054"/>
    <w:rsid w:val="00BF6003"/>
    <w:rsid w:val="00C0064A"/>
    <w:rsid w:val="00C12C6C"/>
    <w:rsid w:val="00C279E0"/>
    <w:rsid w:val="00C436D1"/>
    <w:rsid w:val="00C626B3"/>
    <w:rsid w:val="00C761AC"/>
    <w:rsid w:val="00C81405"/>
    <w:rsid w:val="00C95482"/>
    <w:rsid w:val="00CC1C97"/>
    <w:rsid w:val="00CC4349"/>
    <w:rsid w:val="00CD6BB3"/>
    <w:rsid w:val="00CF3A61"/>
    <w:rsid w:val="00CF3F0C"/>
    <w:rsid w:val="00D1039A"/>
    <w:rsid w:val="00D14495"/>
    <w:rsid w:val="00D301D6"/>
    <w:rsid w:val="00D3079C"/>
    <w:rsid w:val="00D35D14"/>
    <w:rsid w:val="00D465B2"/>
    <w:rsid w:val="00D5357C"/>
    <w:rsid w:val="00D56E45"/>
    <w:rsid w:val="00D713A7"/>
    <w:rsid w:val="00D83501"/>
    <w:rsid w:val="00D839FF"/>
    <w:rsid w:val="00D90CEC"/>
    <w:rsid w:val="00DA0A0A"/>
    <w:rsid w:val="00DB1279"/>
    <w:rsid w:val="00DC11AA"/>
    <w:rsid w:val="00DD1114"/>
    <w:rsid w:val="00DE49F2"/>
    <w:rsid w:val="00DE7722"/>
    <w:rsid w:val="00DF576F"/>
    <w:rsid w:val="00E01781"/>
    <w:rsid w:val="00E049D4"/>
    <w:rsid w:val="00E05CBB"/>
    <w:rsid w:val="00E1147E"/>
    <w:rsid w:val="00E267CA"/>
    <w:rsid w:val="00E5431E"/>
    <w:rsid w:val="00E55265"/>
    <w:rsid w:val="00E67359"/>
    <w:rsid w:val="00E70271"/>
    <w:rsid w:val="00E746C9"/>
    <w:rsid w:val="00E95E9C"/>
    <w:rsid w:val="00E9622E"/>
    <w:rsid w:val="00EC2974"/>
    <w:rsid w:val="00ED0362"/>
    <w:rsid w:val="00ED64FF"/>
    <w:rsid w:val="00EF26DD"/>
    <w:rsid w:val="00F22C2E"/>
    <w:rsid w:val="00F23E5A"/>
    <w:rsid w:val="00F33ADB"/>
    <w:rsid w:val="00F5353B"/>
    <w:rsid w:val="00F64946"/>
    <w:rsid w:val="00F765D2"/>
    <w:rsid w:val="00F8166D"/>
    <w:rsid w:val="00F97786"/>
    <w:rsid w:val="00FA280A"/>
    <w:rsid w:val="00FC0BFA"/>
    <w:rsid w:val="00FC15B8"/>
    <w:rsid w:val="00FC3F91"/>
    <w:rsid w:val="00FE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0B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2E0B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0BC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2E0BC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numbering" w:customStyle="1" w:styleId="1">
    <w:name w:val="Немає списку1"/>
    <w:next w:val="a2"/>
    <w:uiPriority w:val="99"/>
    <w:semiHidden/>
    <w:unhideWhenUsed/>
    <w:rsid w:val="002E0BCA"/>
  </w:style>
  <w:style w:type="paragraph" w:customStyle="1" w:styleId="tc">
    <w:name w:val="tc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2E0B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BCA"/>
    <w:rPr>
      <w:color w:val="800080"/>
      <w:u w:val="single"/>
    </w:rPr>
  </w:style>
  <w:style w:type="character" w:customStyle="1" w:styleId="apple-converted-space">
    <w:name w:val="apple-converted-space"/>
    <w:basedOn w:val="a0"/>
    <w:rsid w:val="002E0BCA"/>
  </w:style>
  <w:style w:type="paragraph" w:customStyle="1" w:styleId="tj">
    <w:name w:val="tj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2E0BCA"/>
  </w:style>
  <w:style w:type="character" w:customStyle="1" w:styleId="fs7">
    <w:name w:val="fs7"/>
    <w:basedOn w:val="a0"/>
    <w:rsid w:val="002E0BCA"/>
  </w:style>
  <w:style w:type="character" w:customStyle="1" w:styleId="fs5">
    <w:name w:val="fs5"/>
    <w:basedOn w:val="a0"/>
    <w:rsid w:val="002E0BCA"/>
  </w:style>
  <w:style w:type="character" w:customStyle="1" w:styleId="fs4">
    <w:name w:val="fs4"/>
    <w:basedOn w:val="a0"/>
    <w:rsid w:val="002E0BCA"/>
  </w:style>
  <w:style w:type="character" w:styleId="a5">
    <w:name w:val="annotation reference"/>
    <w:basedOn w:val="a0"/>
    <w:uiPriority w:val="99"/>
    <w:semiHidden/>
    <w:unhideWhenUsed/>
    <w:rsid w:val="00DB127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B1279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DB127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B1279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DB1279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DB1279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DB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B127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D64F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ED6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D64FF"/>
  </w:style>
  <w:style w:type="paragraph" w:styleId="af0">
    <w:name w:val="footer"/>
    <w:basedOn w:val="a"/>
    <w:link w:val="af1"/>
    <w:uiPriority w:val="99"/>
    <w:unhideWhenUsed/>
    <w:rsid w:val="00ED6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ED64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0B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2E0B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0BC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2E0BC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numbering" w:customStyle="1" w:styleId="1">
    <w:name w:val="Немає списку1"/>
    <w:next w:val="a2"/>
    <w:uiPriority w:val="99"/>
    <w:semiHidden/>
    <w:unhideWhenUsed/>
    <w:rsid w:val="002E0BCA"/>
  </w:style>
  <w:style w:type="paragraph" w:customStyle="1" w:styleId="tc">
    <w:name w:val="tc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2E0B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BCA"/>
    <w:rPr>
      <w:color w:val="800080"/>
      <w:u w:val="single"/>
    </w:rPr>
  </w:style>
  <w:style w:type="character" w:customStyle="1" w:styleId="apple-converted-space">
    <w:name w:val="apple-converted-space"/>
    <w:basedOn w:val="a0"/>
    <w:rsid w:val="002E0BCA"/>
  </w:style>
  <w:style w:type="paragraph" w:customStyle="1" w:styleId="tj">
    <w:name w:val="tj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2E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2E0BCA"/>
  </w:style>
  <w:style w:type="character" w:customStyle="1" w:styleId="fs7">
    <w:name w:val="fs7"/>
    <w:basedOn w:val="a0"/>
    <w:rsid w:val="002E0BCA"/>
  </w:style>
  <w:style w:type="character" w:customStyle="1" w:styleId="fs5">
    <w:name w:val="fs5"/>
    <w:basedOn w:val="a0"/>
    <w:rsid w:val="002E0BCA"/>
  </w:style>
  <w:style w:type="character" w:customStyle="1" w:styleId="fs4">
    <w:name w:val="fs4"/>
    <w:basedOn w:val="a0"/>
    <w:rsid w:val="002E0BCA"/>
  </w:style>
  <w:style w:type="character" w:styleId="a5">
    <w:name w:val="annotation reference"/>
    <w:basedOn w:val="a0"/>
    <w:uiPriority w:val="99"/>
    <w:semiHidden/>
    <w:unhideWhenUsed/>
    <w:rsid w:val="00DB127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B1279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DB127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B1279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DB1279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DB1279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DB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B127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D64F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ED6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D64FF"/>
  </w:style>
  <w:style w:type="paragraph" w:styleId="af0">
    <w:name w:val="footer"/>
    <w:basedOn w:val="a"/>
    <w:link w:val="af1"/>
    <w:uiPriority w:val="99"/>
    <w:unhideWhenUsed/>
    <w:rsid w:val="00ED6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ED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398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790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739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82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872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25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030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2015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328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94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22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57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1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62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296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02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206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407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32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276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1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02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168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45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70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75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14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92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15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7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88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805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40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40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37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517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85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501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48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11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88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063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379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294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59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52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21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22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051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79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063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50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31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2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3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7996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88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14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587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353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3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80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60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368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581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405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399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0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50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8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97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511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478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61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548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81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566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97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47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028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0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998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099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512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469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62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9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arch.ligazakon.ua/l_doc2.nsf/link1/REG7821.html" TargetMode="External"/><Relationship Id="rId18" Type="http://schemas.openxmlformats.org/officeDocument/2006/relationships/hyperlink" Target="http://search.ligazakon.ua/l_doc2.nsf/link1/REG7821.html" TargetMode="External"/><Relationship Id="rId26" Type="http://schemas.openxmlformats.org/officeDocument/2006/relationships/hyperlink" Target="http://search.ligazakon.ua/l_doc2.nsf/link1/REG7821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ligazakon.ua/l_doc2.nsf/link1/REG7821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earch.ligazakon.ua/l_doc2.nsf/link1/REG7821.html" TargetMode="External"/><Relationship Id="rId17" Type="http://schemas.openxmlformats.org/officeDocument/2006/relationships/hyperlink" Target="http://search.ligazakon.ua/l_doc2.nsf/link1/REG7821.html" TargetMode="External"/><Relationship Id="rId25" Type="http://schemas.openxmlformats.org/officeDocument/2006/relationships/hyperlink" Target="http://search.ligazakon.ua/l_doc2.nsf/link1/REG782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G7821.html" TargetMode="External"/><Relationship Id="rId20" Type="http://schemas.openxmlformats.org/officeDocument/2006/relationships/hyperlink" Target="http://search.ligazakon.ua/l_doc2.nsf/link1/REG7821.html" TargetMode="External"/><Relationship Id="rId29" Type="http://schemas.openxmlformats.org/officeDocument/2006/relationships/hyperlink" Target="http://search.ligazakon.ua/l_doc2.nsf/link1/REG782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REG6428.html" TargetMode="External"/><Relationship Id="rId24" Type="http://schemas.openxmlformats.org/officeDocument/2006/relationships/hyperlink" Target="http://search.ligazakon.ua/l_doc2.nsf/link1/REG7821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earch.ligazakon.ua/l_doc2.nsf/link1/REG7821.html" TargetMode="External"/><Relationship Id="rId23" Type="http://schemas.openxmlformats.org/officeDocument/2006/relationships/hyperlink" Target="http://search.ligazakon.ua/l_doc2.nsf/link1/REG7821.html" TargetMode="External"/><Relationship Id="rId28" Type="http://schemas.openxmlformats.org/officeDocument/2006/relationships/hyperlink" Target="http://search.ligazakon.ua/l_doc2.nsf/link1/REG7821.html" TargetMode="External"/><Relationship Id="rId10" Type="http://schemas.openxmlformats.org/officeDocument/2006/relationships/hyperlink" Target="http://zakon4.rada.gov.ua/laws/show/996-14" TargetMode="External"/><Relationship Id="rId19" Type="http://schemas.openxmlformats.org/officeDocument/2006/relationships/hyperlink" Target="http://search.ligazakon.ua/l_doc2.nsf/link1/REG7821.htm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4.rada.gov.ua/laws/show/2456-17" TargetMode="External"/><Relationship Id="rId14" Type="http://schemas.openxmlformats.org/officeDocument/2006/relationships/hyperlink" Target="http://search.ligazakon.ua/l_doc2.nsf/link1/REG7821.html" TargetMode="External"/><Relationship Id="rId22" Type="http://schemas.openxmlformats.org/officeDocument/2006/relationships/hyperlink" Target="http://search.ligazakon.ua/l_doc2.nsf/link1/REG7821.html" TargetMode="External"/><Relationship Id="rId27" Type="http://schemas.openxmlformats.org/officeDocument/2006/relationships/hyperlink" Target="http://search.ligazakon.ua/l_doc2.nsf/link1/REG7821.html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A4849-D4A2-48DE-8D97-D2A2D4EF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22289</Words>
  <Characters>12705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34925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11</cp:revision>
  <cp:lastPrinted>2017-01-24T10:13:00Z</cp:lastPrinted>
  <dcterms:created xsi:type="dcterms:W3CDTF">2017-02-08T09:16:00Z</dcterms:created>
  <dcterms:modified xsi:type="dcterms:W3CDTF">2017-02-15T11:52:00Z</dcterms:modified>
</cp:coreProperties>
</file>