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4FC4E" w14:textId="77777777" w:rsidR="00931736" w:rsidRPr="00DA6984" w:rsidRDefault="00931736" w:rsidP="007D67A1">
      <w:pPr>
        <w:pStyle w:val="3"/>
        <w:widowControl w:val="0"/>
        <w:spacing w:before="0" w:beforeAutospacing="0" w:after="0" w:afterAutospacing="0"/>
        <w:contextualSpacing/>
        <w:jc w:val="center"/>
        <w:rPr>
          <w:sz w:val="28"/>
          <w:szCs w:val="28"/>
        </w:rPr>
      </w:pPr>
      <w:bookmarkStart w:id="0" w:name="_GoBack"/>
      <w:bookmarkEnd w:id="0"/>
      <w:r w:rsidRPr="00DA6984">
        <w:rPr>
          <w:sz w:val="28"/>
          <w:szCs w:val="28"/>
        </w:rPr>
        <w:t>АНАЛІЗ РЕГУЛЯТОРНОГО ВПЛИВУ</w:t>
      </w:r>
    </w:p>
    <w:p w14:paraId="42E024C9" w14:textId="77777777" w:rsidR="007D67A1" w:rsidRPr="00DA6984" w:rsidRDefault="007D67A1" w:rsidP="007D67A1">
      <w:pPr>
        <w:pStyle w:val="3"/>
        <w:widowControl w:val="0"/>
        <w:spacing w:before="0" w:beforeAutospacing="0" w:after="0" w:afterAutospacing="0"/>
        <w:contextualSpacing/>
        <w:jc w:val="center"/>
        <w:rPr>
          <w:sz w:val="20"/>
          <w:szCs w:val="20"/>
        </w:rPr>
      </w:pPr>
    </w:p>
    <w:p w14:paraId="2BF014CD" w14:textId="77777777" w:rsidR="007D67A1" w:rsidRPr="00DA6984" w:rsidRDefault="00931736" w:rsidP="007D67A1">
      <w:pPr>
        <w:pStyle w:val="3"/>
        <w:widowControl w:val="0"/>
        <w:spacing w:before="0" w:beforeAutospacing="0" w:after="0" w:afterAutospacing="0"/>
        <w:contextualSpacing/>
        <w:jc w:val="center"/>
        <w:rPr>
          <w:sz w:val="28"/>
          <w:szCs w:val="28"/>
        </w:rPr>
      </w:pPr>
      <w:r w:rsidRPr="00DA6984">
        <w:rPr>
          <w:sz w:val="28"/>
          <w:szCs w:val="28"/>
        </w:rPr>
        <w:t>до проєкту наказу Міністерства фінансів України</w:t>
      </w:r>
    </w:p>
    <w:p w14:paraId="345AD7E3" w14:textId="77777777" w:rsidR="00931736" w:rsidRPr="00DA6984" w:rsidRDefault="00931736" w:rsidP="007D67A1">
      <w:pPr>
        <w:pStyle w:val="3"/>
        <w:widowControl w:val="0"/>
        <w:spacing w:before="0" w:beforeAutospacing="0" w:after="0" w:afterAutospacing="0"/>
        <w:contextualSpacing/>
        <w:jc w:val="center"/>
        <w:rPr>
          <w:sz w:val="28"/>
          <w:szCs w:val="28"/>
        </w:rPr>
      </w:pPr>
      <w:r w:rsidRPr="00DA6984">
        <w:rPr>
          <w:sz w:val="28"/>
          <w:szCs w:val="28"/>
        </w:rPr>
        <w:t>«Про затвердження форми та Порядку складання звіту про платежі на</w:t>
      </w:r>
    </w:p>
    <w:p w14:paraId="1C18EA05" w14:textId="77777777" w:rsidR="009340B0" w:rsidRPr="00DA6984" w:rsidRDefault="00931736" w:rsidP="007D67A1">
      <w:pPr>
        <w:pStyle w:val="3"/>
        <w:widowControl w:val="0"/>
        <w:spacing w:before="0" w:beforeAutospacing="0" w:after="0" w:afterAutospacing="0"/>
        <w:ind w:firstLine="567"/>
        <w:contextualSpacing/>
        <w:jc w:val="center"/>
        <w:rPr>
          <w:sz w:val="28"/>
          <w:szCs w:val="28"/>
        </w:rPr>
      </w:pPr>
      <w:r w:rsidRPr="00DA6984">
        <w:rPr>
          <w:sz w:val="28"/>
          <w:szCs w:val="28"/>
        </w:rPr>
        <w:t>користь держави підприємств, що здійснюють заготівлю деревини»</w:t>
      </w:r>
    </w:p>
    <w:p w14:paraId="02D69165" w14:textId="77777777" w:rsidR="007D67A1" w:rsidRPr="00DA6984" w:rsidRDefault="007D67A1" w:rsidP="007D67A1">
      <w:pPr>
        <w:spacing w:after="0" w:line="240" w:lineRule="auto"/>
        <w:jc w:val="center"/>
        <w:rPr>
          <w:rFonts w:ascii="Times New Roman" w:hAnsi="Times New Roman" w:cs="Times New Roman"/>
          <w:b/>
          <w:sz w:val="20"/>
          <w:szCs w:val="20"/>
          <w:lang w:val="uk-UA"/>
        </w:rPr>
      </w:pPr>
    </w:p>
    <w:p w14:paraId="7C947F6B" w14:textId="77777777" w:rsidR="007D67A1" w:rsidRPr="00DA6984" w:rsidRDefault="007D67A1" w:rsidP="007D67A1">
      <w:pPr>
        <w:spacing w:after="0" w:line="240" w:lineRule="auto"/>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І. Визначення проблеми</w:t>
      </w:r>
    </w:p>
    <w:p w14:paraId="67E920C2" w14:textId="77777777" w:rsidR="007D67A1" w:rsidRPr="00DA6984" w:rsidRDefault="007D67A1" w:rsidP="007D67A1">
      <w:pPr>
        <w:spacing w:after="0" w:line="240" w:lineRule="auto"/>
        <w:jc w:val="center"/>
        <w:rPr>
          <w:rFonts w:ascii="Times New Roman" w:hAnsi="Times New Roman" w:cs="Times New Roman"/>
          <w:b/>
          <w:sz w:val="20"/>
          <w:szCs w:val="20"/>
          <w:lang w:val="uk-UA"/>
        </w:rPr>
      </w:pPr>
    </w:p>
    <w:p w14:paraId="759AB12D" w14:textId="77777777" w:rsidR="0045251B" w:rsidRPr="00DA6984" w:rsidRDefault="005006B9" w:rsidP="0045251B">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З метою реалізації заходів щодо імплементації положень Директиви Європейського Парламенту та Ради ЄС від 26.06.2013 № 2013/34/ЄС про річну фінансову звітність, консолідовану фінансову звітність та пов’язану звітність певних типів підприємств (далі – Директива ЄС № 2013/34/ЄС) внесено зміни до Закону України «Про бухгалтерський облік та фінансову звітність в Україні» (</w:t>
      </w:r>
      <w:r w:rsidR="0045251B" w:rsidRPr="00DA6984">
        <w:rPr>
          <w:rFonts w:ascii="Times New Roman" w:hAnsi="Times New Roman" w:cs="Times New Roman"/>
          <w:sz w:val="28"/>
          <w:szCs w:val="28"/>
          <w:lang w:val="uk-UA"/>
        </w:rPr>
        <w:t>далі – Закон), якими передбачено запровадження звіту про платежі на користь держави.</w:t>
      </w:r>
    </w:p>
    <w:p w14:paraId="4A8C1178" w14:textId="5D7BD99B" w:rsidR="0022146D" w:rsidRPr="00DA6984" w:rsidRDefault="0045251B" w:rsidP="0045251B">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Відповідно до статті 1 Закону звіт про платежі на користь держави </w:t>
      </w:r>
      <w:r w:rsidR="000910F4" w:rsidRPr="00DA6984">
        <w:rPr>
          <w:rFonts w:ascii="Times New Roman" w:hAnsi="Times New Roman" w:cs="Times New Roman"/>
          <w:sz w:val="28"/>
          <w:szCs w:val="28"/>
          <w:lang w:val="uk-UA"/>
        </w:rPr>
        <w:t xml:space="preserve">– </w:t>
      </w:r>
      <w:r w:rsidR="0022146D" w:rsidRPr="00DA6984">
        <w:rPr>
          <w:rFonts w:ascii="Times New Roman" w:hAnsi="Times New Roman" w:cs="Times New Roman"/>
          <w:sz w:val="28"/>
          <w:szCs w:val="28"/>
          <w:lang w:val="uk-UA"/>
        </w:rPr>
        <w:t>це</w:t>
      </w:r>
      <w:r w:rsidRPr="00DA6984">
        <w:rPr>
          <w:rFonts w:ascii="Times New Roman" w:hAnsi="Times New Roman" w:cs="Times New Roman"/>
          <w:sz w:val="28"/>
          <w:szCs w:val="28"/>
          <w:lang w:val="uk-UA"/>
        </w:rPr>
        <w:t xml:space="preserve"> документ, що містить узагальнену інформацію про діяльність суб’єктів господарювання, які здійснюють діяльність у видобувних галузях або заготівлю деревини, а також деталізовану інформацію про податки і збори, інші платежі, що були сплачені або належні до сплати на користь держави відповідно до закону. </w:t>
      </w:r>
    </w:p>
    <w:p w14:paraId="7A8707D3" w14:textId="618CB0D6" w:rsidR="0022146D" w:rsidRPr="00DA6984" w:rsidRDefault="0045251B" w:rsidP="005006B9">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Звіт про платежі на користь держави подається суб’єктами господарювання, які здійснюють діяльність у ви</w:t>
      </w:r>
      <w:r w:rsidR="00EB6DDD" w:rsidRPr="00DA6984">
        <w:rPr>
          <w:rFonts w:ascii="Times New Roman" w:hAnsi="Times New Roman" w:cs="Times New Roman"/>
          <w:sz w:val="28"/>
          <w:szCs w:val="28"/>
          <w:lang w:val="uk-UA"/>
        </w:rPr>
        <w:t xml:space="preserve">добувних галузях, відповідно до Закону України </w:t>
      </w:r>
      <w:r w:rsidR="0022146D" w:rsidRPr="00DA6984">
        <w:rPr>
          <w:rFonts w:ascii="Times New Roman" w:hAnsi="Times New Roman" w:cs="Times New Roman"/>
          <w:sz w:val="28"/>
          <w:szCs w:val="28"/>
          <w:lang w:val="uk-UA"/>
        </w:rPr>
        <w:t>«П</w:t>
      </w:r>
      <w:r w:rsidRPr="00DA6984">
        <w:rPr>
          <w:rFonts w:ascii="Times New Roman" w:hAnsi="Times New Roman" w:cs="Times New Roman"/>
          <w:sz w:val="28"/>
          <w:szCs w:val="28"/>
          <w:lang w:val="uk-UA"/>
        </w:rPr>
        <w:t>ро забезпечення прозорості у видобувних галузях</w:t>
      </w:r>
      <w:r w:rsidR="0022146D" w:rsidRPr="00DA6984">
        <w:rPr>
          <w:rFonts w:ascii="Times New Roman" w:hAnsi="Times New Roman" w:cs="Times New Roman"/>
          <w:sz w:val="28"/>
          <w:szCs w:val="28"/>
          <w:lang w:val="uk-UA"/>
        </w:rPr>
        <w:t>»</w:t>
      </w:r>
      <w:r w:rsidRPr="00DA6984">
        <w:rPr>
          <w:rFonts w:ascii="Times New Roman" w:hAnsi="Times New Roman" w:cs="Times New Roman"/>
          <w:sz w:val="28"/>
          <w:szCs w:val="28"/>
          <w:lang w:val="uk-UA"/>
        </w:rPr>
        <w:t>, а також підприємствами, що здійснюють заготівлю деревини і при цьому становлять суспільний інтерес</w:t>
      </w:r>
      <w:r w:rsidR="009119DA" w:rsidRPr="00DA6984">
        <w:rPr>
          <w:rFonts w:ascii="Times New Roman" w:hAnsi="Times New Roman" w:cs="Times New Roman"/>
          <w:sz w:val="28"/>
          <w:szCs w:val="28"/>
          <w:lang w:val="uk-UA"/>
        </w:rPr>
        <w:t xml:space="preserve"> (підприємства – емітенти цінних паперів, цінні папери яких допущені до торгів на фондових біржах або щодо цінних паперів яких здійснено публічну пропозицію, банки, страховики, недержавні пенсійні фонди, інші фінансові установи (крім інших фінансових установ та недержавних пенсійних фондів, що належать до мікропідприємств та малих підприємств)</w:t>
      </w:r>
      <w:r w:rsidR="008F5348" w:rsidRPr="00DA6984">
        <w:rPr>
          <w:shd w:val="clear" w:color="auto" w:fill="FFFFFF"/>
          <w:lang w:val="uk-UA"/>
        </w:rPr>
        <w:t xml:space="preserve"> </w:t>
      </w:r>
      <w:r w:rsidR="008F5348" w:rsidRPr="00DA6984">
        <w:rPr>
          <w:rFonts w:ascii="Times New Roman" w:hAnsi="Times New Roman" w:cs="Times New Roman"/>
          <w:sz w:val="28"/>
          <w:szCs w:val="28"/>
          <w:lang w:val="uk-UA"/>
        </w:rPr>
        <w:t>та підприємства, які відповідно до цього Закону належать до великих підприємств)</w:t>
      </w:r>
      <w:r w:rsidR="009119DA" w:rsidRPr="00DA6984">
        <w:rPr>
          <w:rFonts w:ascii="Times New Roman" w:hAnsi="Times New Roman" w:cs="Times New Roman"/>
          <w:sz w:val="28"/>
          <w:szCs w:val="28"/>
          <w:lang w:val="uk-UA"/>
        </w:rPr>
        <w:t>.</w:t>
      </w:r>
    </w:p>
    <w:p w14:paraId="294424B0" w14:textId="77777777" w:rsidR="006E7BFD" w:rsidRPr="00DA6984" w:rsidRDefault="006E7BFD" w:rsidP="00853C45">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Підприємства, що здійснюють заготівлю деревини – це підприємства, які займаються лісозаготівлею щодо здійснення спеціального використання лісових ресурсів, зокрема заготівлею круглого лісоматеріалу для деревообробної промисловості; заготівлею круглого лісоматеріалу, який використовують в необробленому вигляді, такого як рейки, огорожі, стовпи та жердини; збиранням та заготівлею паливної деревини; збиранням та заготівлею відходів паливної деревини, які залишилися після її заготівлі; заготівлею деревного вугілля в лісі (традиційним методом) (</w:t>
      </w:r>
      <w:r w:rsidR="007727FB" w:rsidRPr="00DA6984">
        <w:rPr>
          <w:rFonts w:ascii="Times New Roman" w:hAnsi="Times New Roman" w:cs="Times New Roman"/>
          <w:sz w:val="28"/>
          <w:szCs w:val="28"/>
          <w:lang w:val="uk-UA"/>
        </w:rPr>
        <w:t>Секція A «Сільське господарство, лісове господарство та рибне господарство» розділ 02 «Лісове господарство та лісозаготівлі» група 02.2 «Лісозаготівлі» клас 02.20 «Лісозаготівлі» за національним класифікатором України ДК 009:2010 «Класифікація видів економічної діяльності», затвердженим наказом Держспоживстандарту від 11</w:t>
      </w:r>
      <w:r w:rsidR="005E36E7" w:rsidRPr="00DA6984">
        <w:rPr>
          <w:rFonts w:ascii="Times New Roman" w:hAnsi="Times New Roman" w:cs="Times New Roman"/>
          <w:sz w:val="28"/>
          <w:szCs w:val="28"/>
          <w:lang w:val="uk-UA"/>
        </w:rPr>
        <w:t>.10.</w:t>
      </w:r>
      <w:r w:rsidR="007727FB" w:rsidRPr="00DA6984">
        <w:rPr>
          <w:rFonts w:ascii="Times New Roman" w:hAnsi="Times New Roman" w:cs="Times New Roman"/>
          <w:sz w:val="28"/>
          <w:szCs w:val="28"/>
          <w:lang w:val="uk-UA"/>
        </w:rPr>
        <w:t xml:space="preserve">2010 № 457 (зі змінами), який розміщено на офіційному вебсайті Державної служби статистики України (www.ukrstat.gov.ua) у розділі «Методологія та </w:t>
      </w:r>
      <w:r w:rsidR="007727FB" w:rsidRPr="00DA6984">
        <w:rPr>
          <w:rFonts w:ascii="Times New Roman" w:hAnsi="Times New Roman" w:cs="Times New Roman"/>
          <w:sz w:val="28"/>
          <w:szCs w:val="28"/>
          <w:lang w:val="uk-UA"/>
        </w:rPr>
        <w:lastRenderedPageBreak/>
        <w:t>класифікатори»/ «Класифікатори»/«Класифікація видів економічної діяльності (КВЕД)»).</w:t>
      </w:r>
    </w:p>
    <w:p w14:paraId="3640314E" w14:textId="77777777" w:rsidR="0022146D" w:rsidRPr="00DA6984" w:rsidRDefault="0022146D" w:rsidP="0022146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Згідно із </w:t>
      </w:r>
      <w:r w:rsidR="00486BD4" w:rsidRPr="00DA6984">
        <w:rPr>
          <w:rFonts w:ascii="Times New Roman" w:hAnsi="Times New Roman" w:cs="Times New Roman"/>
          <w:sz w:val="28"/>
          <w:szCs w:val="28"/>
          <w:lang w:val="uk-UA"/>
        </w:rPr>
        <w:t xml:space="preserve">статтею 11 </w:t>
      </w:r>
      <w:r w:rsidRPr="00DA6984">
        <w:rPr>
          <w:rFonts w:ascii="Times New Roman" w:hAnsi="Times New Roman" w:cs="Times New Roman"/>
          <w:sz w:val="28"/>
          <w:szCs w:val="28"/>
          <w:lang w:val="uk-UA"/>
        </w:rPr>
        <w:t>Закон</w:t>
      </w:r>
      <w:r w:rsidR="00486BD4" w:rsidRPr="00DA6984">
        <w:rPr>
          <w:rFonts w:ascii="Times New Roman" w:hAnsi="Times New Roman" w:cs="Times New Roman"/>
          <w:sz w:val="28"/>
          <w:szCs w:val="28"/>
          <w:lang w:val="uk-UA"/>
        </w:rPr>
        <w:t>у</w:t>
      </w:r>
      <w:r w:rsidRPr="00DA6984">
        <w:rPr>
          <w:rFonts w:ascii="Times New Roman" w:hAnsi="Times New Roman" w:cs="Times New Roman"/>
          <w:sz w:val="28"/>
          <w:szCs w:val="28"/>
          <w:lang w:val="uk-UA"/>
        </w:rPr>
        <w:t xml:space="preserve"> склад та форма звіту про платежі на користь держави підприємств (крім </w:t>
      </w:r>
      <w:r w:rsidR="00486BD4" w:rsidRPr="00DA6984">
        <w:rPr>
          <w:rFonts w:ascii="Times New Roman" w:hAnsi="Times New Roman" w:cs="Times New Roman"/>
          <w:sz w:val="28"/>
          <w:szCs w:val="28"/>
          <w:lang w:val="uk-UA"/>
        </w:rPr>
        <w:t>суб’єктів господарювання, які здійснюють діяльність у видобувних галузях</w:t>
      </w:r>
      <w:r w:rsidRPr="00DA6984">
        <w:rPr>
          <w:rFonts w:ascii="Times New Roman" w:hAnsi="Times New Roman" w:cs="Times New Roman"/>
          <w:sz w:val="28"/>
          <w:szCs w:val="28"/>
          <w:lang w:val="uk-UA"/>
        </w:rPr>
        <w:t>) установлюються центральним органом виконавчої влади, що забезпечує формування та реалізує державну політику у сфері бухгалтерського обліку, за погодженням із центральним органом виконавчої влади, що реалізує державну політику у сфері статистики.</w:t>
      </w:r>
    </w:p>
    <w:p w14:paraId="57B04E1C" w14:textId="0251BBFD" w:rsidR="0022146D" w:rsidRPr="00DA6984" w:rsidRDefault="00EB6DDD" w:rsidP="005006B9">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Порядок </w:t>
      </w:r>
      <w:r w:rsidR="00602C82" w:rsidRPr="00DA6984">
        <w:rPr>
          <w:rFonts w:ascii="Times New Roman" w:hAnsi="Times New Roman" w:cs="Times New Roman"/>
          <w:sz w:val="28"/>
          <w:szCs w:val="28"/>
          <w:lang w:val="uk-UA"/>
        </w:rPr>
        <w:t>та строки подання звіту про платежі на користь держави до органів державної влади, крім суб’єктів господарювання, які здійснюють діяльність у видобувних галузях, визначаються Кабінетом Міністрів України</w:t>
      </w:r>
      <w:r w:rsidR="006E7BFD" w:rsidRPr="00DA6984">
        <w:rPr>
          <w:rFonts w:ascii="Times New Roman" w:hAnsi="Times New Roman" w:cs="Times New Roman"/>
          <w:sz w:val="28"/>
          <w:szCs w:val="28"/>
          <w:lang w:val="uk-UA"/>
        </w:rPr>
        <w:t>.</w:t>
      </w:r>
    </w:p>
    <w:p w14:paraId="21B15AAC" w14:textId="4E334FA3" w:rsidR="00FA6591" w:rsidRPr="00DA6984" w:rsidRDefault="009119DA" w:rsidP="00FA6591">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Відповідно до Порядку подання фінансової звітності, затвердженого постановою Кабінету Міністрів України від 28.02.2000 № 419</w:t>
      </w:r>
      <w:r w:rsidR="00DA5755" w:rsidRPr="00DA6984">
        <w:rPr>
          <w:rFonts w:ascii="Times New Roman" w:hAnsi="Times New Roman" w:cs="Times New Roman"/>
          <w:sz w:val="28"/>
          <w:szCs w:val="28"/>
          <w:lang w:val="uk-UA"/>
        </w:rPr>
        <w:t xml:space="preserve"> (далі – Порядок)</w:t>
      </w:r>
      <w:r w:rsidRPr="00DA6984">
        <w:rPr>
          <w:rFonts w:ascii="Times New Roman" w:hAnsi="Times New Roman" w:cs="Times New Roman"/>
          <w:sz w:val="28"/>
          <w:szCs w:val="28"/>
          <w:lang w:val="uk-UA"/>
        </w:rPr>
        <w:t>, п</w:t>
      </w:r>
      <w:r w:rsidR="00FA6591" w:rsidRPr="00DA6984">
        <w:rPr>
          <w:rFonts w:ascii="Times New Roman" w:hAnsi="Times New Roman" w:cs="Times New Roman"/>
          <w:sz w:val="28"/>
          <w:szCs w:val="28"/>
          <w:lang w:val="uk-UA"/>
        </w:rPr>
        <w:t xml:space="preserve">ідприємства, що здійснюють заготівлю деревини і при цьому становлять суспільний інтерес, подають разом з річною фінансовою звітністю звіт про платежі на користь держави </w:t>
      </w:r>
      <w:r w:rsidRPr="00DA6984">
        <w:rPr>
          <w:rFonts w:ascii="Times New Roman" w:hAnsi="Times New Roman" w:cs="Times New Roman"/>
          <w:sz w:val="28"/>
          <w:szCs w:val="28"/>
          <w:lang w:val="uk-UA"/>
        </w:rPr>
        <w:t xml:space="preserve">та </w:t>
      </w:r>
      <w:r w:rsidR="00C24E2A" w:rsidRPr="00DA6984">
        <w:rPr>
          <w:rFonts w:ascii="Times New Roman" w:hAnsi="Times New Roman" w:cs="Times New Roman"/>
          <w:sz w:val="28"/>
          <w:szCs w:val="28"/>
          <w:lang w:val="uk-UA"/>
        </w:rPr>
        <w:t xml:space="preserve">оприлюднюють його </w:t>
      </w:r>
      <w:r w:rsidRPr="00DA6984">
        <w:rPr>
          <w:rFonts w:ascii="Times New Roman" w:hAnsi="Times New Roman" w:cs="Times New Roman"/>
          <w:sz w:val="28"/>
          <w:szCs w:val="28"/>
          <w:lang w:val="uk-UA"/>
        </w:rPr>
        <w:t>на вебсторінці або вебсайті підприємства разом з річною фінансовою звітністю та аудиторським звітом</w:t>
      </w:r>
      <w:r w:rsidR="00FA6591" w:rsidRPr="00DA6984">
        <w:rPr>
          <w:rFonts w:ascii="Times New Roman" w:hAnsi="Times New Roman" w:cs="Times New Roman"/>
          <w:sz w:val="28"/>
          <w:szCs w:val="28"/>
          <w:lang w:val="uk-UA"/>
        </w:rPr>
        <w:t>.</w:t>
      </w:r>
    </w:p>
    <w:p w14:paraId="21830333" w14:textId="303E3E19" w:rsidR="00A92275" w:rsidRPr="00DA6984" w:rsidRDefault="00A92275" w:rsidP="00C53AE6">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Оприлюднення звіту про платежі на користь держави забезпечить </w:t>
      </w:r>
      <w:r w:rsidR="00C53AE6" w:rsidRPr="00DA6984">
        <w:rPr>
          <w:rFonts w:ascii="Times New Roman" w:hAnsi="Times New Roman" w:cs="Times New Roman"/>
          <w:sz w:val="28"/>
          <w:szCs w:val="28"/>
          <w:lang w:val="uk-UA"/>
        </w:rPr>
        <w:t xml:space="preserve">підвищення </w:t>
      </w:r>
      <w:r w:rsidR="00630D38" w:rsidRPr="00DA6984">
        <w:rPr>
          <w:rFonts w:ascii="Times New Roman" w:hAnsi="Times New Roman" w:cs="Times New Roman"/>
          <w:sz w:val="28"/>
          <w:szCs w:val="28"/>
          <w:lang w:val="uk-UA"/>
        </w:rPr>
        <w:t>рівня</w:t>
      </w:r>
      <w:r w:rsidR="004502A9" w:rsidRPr="00DA6984">
        <w:rPr>
          <w:rFonts w:ascii="Times New Roman" w:hAnsi="Times New Roman" w:cs="Times New Roman"/>
          <w:sz w:val="28"/>
          <w:szCs w:val="28"/>
          <w:lang w:val="uk-UA"/>
        </w:rPr>
        <w:t xml:space="preserve"> доступності та</w:t>
      </w:r>
      <w:r w:rsidR="00630D38" w:rsidRPr="00DA6984">
        <w:rPr>
          <w:rFonts w:ascii="Times New Roman" w:hAnsi="Times New Roman" w:cs="Times New Roman"/>
          <w:sz w:val="28"/>
          <w:szCs w:val="28"/>
          <w:lang w:val="uk-UA"/>
        </w:rPr>
        <w:t xml:space="preserve"> </w:t>
      </w:r>
      <w:r w:rsidR="00C53AE6" w:rsidRPr="00DA6984">
        <w:rPr>
          <w:rFonts w:ascii="Times New Roman" w:hAnsi="Times New Roman" w:cs="Times New Roman"/>
          <w:sz w:val="28"/>
          <w:szCs w:val="28"/>
          <w:lang w:val="uk-UA"/>
        </w:rPr>
        <w:t>прозорості</w:t>
      </w:r>
      <w:r w:rsidR="000B3EC4" w:rsidRPr="00DA6984">
        <w:rPr>
          <w:rFonts w:ascii="Times New Roman" w:hAnsi="Times New Roman" w:cs="Times New Roman"/>
          <w:sz w:val="28"/>
          <w:szCs w:val="28"/>
          <w:lang w:val="uk-UA"/>
        </w:rPr>
        <w:t xml:space="preserve"> інформації</w:t>
      </w:r>
      <w:r w:rsidR="00C53AE6" w:rsidRPr="00DA6984">
        <w:rPr>
          <w:rFonts w:ascii="Times New Roman" w:hAnsi="Times New Roman" w:cs="Times New Roman"/>
          <w:sz w:val="28"/>
          <w:szCs w:val="28"/>
          <w:lang w:val="uk-UA"/>
        </w:rPr>
        <w:t xml:space="preserve"> </w:t>
      </w:r>
      <w:r w:rsidR="000B3EC4" w:rsidRPr="00DA6984">
        <w:rPr>
          <w:rFonts w:ascii="Times New Roman" w:hAnsi="Times New Roman" w:cs="Times New Roman"/>
          <w:sz w:val="28"/>
          <w:szCs w:val="28"/>
          <w:lang w:val="uk-UA"/>
        </w:rPr>
        <w:t xml:space="preserve">про діяльність </w:t>
      </w:r>
      <w:r w:rsidR="00C53AE6" w:rsidRPr="00DA6984">
        <w:rPr>
          <w:rFonts w:ascii="Times New Roman" w:hAnsi="Times New Roman" w:cs="Times New Roman"/>
          <w:sz w:val="28"/>
          <w:szCs w:val="28"/>
          <w:lang w:val="uk-UA"/>
        </w:rPr>
        <w:t xml:space="preserve">підприємств, що здійснюють заготівлю деревини і при цьому становлять суспільний інтерес, </w:t>
      </w:r>
      <w:r w:rsidR="000B3EC4" w:rsidRPr="00DA6984">
        <w:rPr>
          <w:rFonts w:ascii="Times New Roman" w:hAnsi="Times New Roman" w:cs="Times New Roman"/>
          <w:sz w:val="28"/>
          <w:szCs w:val="28"/>
          <w:lang w:val="uk-UA"/>
        </w:rPr>
        <w:t xml:space="preserve">та сприятиме </w:t>
      </w:r>
      <w:r w:rsidR="004502A9" w:rsidRPr="00DA6984">
        <w:rPr>
          <w:rFonts w:ascii="Times New Roman" w:hAnsi="Times New Roman" w:cs="Times New Roman"/>
          <w:sz w:val="28"/>
          <w:szCs w:val="28"/>
          <w:lang w:val="uk-UA"/>
        </w:rPr>
        <w:t xml:space="preserve">можливості </w:t>
      </w:r>
      <w:r w:rsidR="000B3EC4" w:rsidRPr="00DA6984">
        <w:rPr>
          <w:rFonts w:ascii="Times New Roman" w:hAnsi="Times New Roman" w:cs="Times New Roman"/>
          <w:sz w:val="28"/>
          <w:szCs w:val="28"/>
          <w:lang w:val="uk-UA"/>
        </w:rPr>
        <w:t>отриманн</w:t>
      </w:r>
      <w:r w:rsidR="004502A9" w:rsidRPr="00DA6984">
        <w:rPr>
          <w:rFonts w:ascii="Times New Roman" w:hAnsi="Times New Roman" w:cs="Times New Roman"/>
          <w:sz w:val="28"/>
          <w:szCs w:val="28"/>
          <w:lang w:val="uk-UA"/>
        </w:rPr>
        <w:t>я</w:t>
      </w:r>
      <w:r w:rsidR="000B3EC4" w:rsidRPr="00DA6984">
        <w:rPr>
          <w:rFonts w:ascii="Times New Roman" w:hAnsi="Times New Roman" w:cs="Times New Roman"/>
          <w:sz w:val="28"/>
          <w:szCs w:val="28"/>
          <w:lang w:val="uk-UA"/>
        </w:rPr>
        <w:t xml:space="preserve"> користувачами, зокрема </w:t>
      </w:r>
      <w:r w:rsidR="004502A9" w:rsidRPr="00DA6984">
        <w:rPr>
          <w:rFonts w:ascii="Times New Roman" w:hAnsi="Times New Roman" w:cs="Times New Roman"/>
          <w:sz w:val="28"/>
          <w:szCs w:val="28"/>
          <w:lang w:val="uk-UA"/>
        </w:rPr>
        <w:t xml:space="preserve">громадськістю, а також </w:t>
      </w:r>
      <w:r w:rsidR="000B3EC4" w:rsidRPr="00DA6984">
        <w:rPr>
          <w:rFonts w:ascii="Times New Roman" w:hAnsi="Times New Roman" w:cs="Times New Roman"/>
          <w:sz w:val="28"/>
          <w:szCs w:val="28"/>
          <w:lang w:val="uk-UA"/>
        </w:rPr>
        <w:t xml:space="preserve">органами місцевого самоврядування, на території яких здійснюється заготівля деревини, вільного доступу до інформації </w:t>
      </w:r>
      <w:r w:rsidR="00C53AE6" w:rsidRPr="00DA6984">
        <w:rPr>
          <w:rFonts w:ascii="Times New Roman" w:hAnsi="Times New Roman" w:cs="Times New Roman"/>
          <w:sz w:val="28"/>
          <w:szCs w:val="28"/>
          <w:lang w:val="uk-UA"/>
        </w:rPr>
        <w:t xml:space="preserve"> </w:t>
      </w:r>
      <w:r w:rsidR="000B3EC4" w:rsidRPr="00DA6984">
        <w:rPr>
          <w:rFonts w:ascii="Times New Roman" w:hAnsi="Times New Roman" w:cs="Times New Roman"/>
          <w:sz w:val="28"/>
          <w:szCs w:val="28"/>
          <w:lang w:val="uk-UA"/>
        </w:rPr>
        <w:t>про нараховані та сплачені платежі на користь держави цими підприємствами.</w:t>
      </w:r>
    </w:p>
    <w:p w14:paraId="2BF02B70" w14:textId="69497BBE" w:rsidR="00324630" w:rsidRPr="00DA6984" w:rsidRDefault="00324630" w:rsidP="00251BCA">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З метою реалізації норм Закону та на виконання підпункту 4 пункту 832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 членами, з іншої сторони, затвердженого постановою Кабінету Міністрів України від 25.10.2017 № 1106</w:t>
      </w:r>
      <w:r w:rsidR="00017F48" w:rsidRPr="00DA6984">
        <w:rPr>
          <w:rFonts w:ascii="Times New Roman" w:hAnsi="Times New Roman" w:cs="Times New Roman"/>
          <w:sz w:val="28"/>
          <w:szCs w:val="28"/>
          <w:lang w:val="uk-UA"/>
        </w:rPr>
        <w:t xml:space="preserve"> (далі – План заходів)</w:t>
      </w:r>
      <w:r w:rsidR="00251BCA" w:rsidRPr="00DA6984">
        <w:rPr>
          <w:rFonts w:ascii="Times New Roman" w:hAnsi="Times New Roman" w:cs="Times New Roman"/>
          <w:sz w:val="28"/>
          <w:szCs w:val="28"/>
          <w:lang w:val="uk-UA"/>
        </w:rPr>
        <w:t>, розроблено проєкт наказу Міністерства фінансів України «Про затвердження форми та Порядку складання звіту про платежі на користь держави підприємств, що здійснюють заготівлю деревини» (далі – проєкт наказу), який поширюватиметься на підприємства, що здійснюють заготівлю деревини і при цьому становлять суспільний інтерес.</w:t>
      </w:r>
    </w:p>
    <w:p w14:paraId="37BF2EF2" w14:textId="7B1AB1CC" w:rsidR="00251BCA" w:rsidRPr="00DA6984" w:rsidRDefault="00251BCA" w:rsidP="00251BCA">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Положеннями проєкту наказу запроваджується </w:t>
      </w:r>
      <w:r w:rsidR="00CD6557" w:rsidRPr="00DA6984">
        <w:rPr>
          <w:rFonts w:ascii="Times New Roman" w:hAnsi="Times New Roman" w:cs="Times New Roman"/>
          <w:sz w:val="28"/>
          <w:szCs w:val="28"/>
          <w:lang w:val="uk-UA"/>
        </w:rPr>
        <w:t xml:space="preserve">форма </w:t>
      </w:r>
      <w:r w:rsidR="00CD6557" w:rsidRPr="00DA6984">
        <w:rPr>
          <w:rFonts w:ascii="Times New Roman" w:hAnsi="Times New Roman"/>
          <w:sz w:val="28"/>
          <w:szCs w:val="28"/>
          <w:lang w:val="uk-UA"/>
        </w:rPr>
        <w:t>звіту про платежі на користь держави</w:t>
      </w:r>
      <w:r w:rsidR="00256D32" w:rsidRPr="00DA6984">
        <w:rPr>
          <w:rFonts w:ascii="Times New Roman" w:hAnsi="Times New Roman"/>
          <w:sz w:val="28"/>
          <w:szCs w:val="28"/>
          <w:lang w:val="uk-UA"/>
        </w:rPr>
        <w:t xml:space="preserve"> </w:t>
      </w:r>
      <w:r w:rsidR="00CD6557" w:rsidRPr="00DA6984">
        <w:rPr>
          <w:rFonts w:ascii="Times New Roman" w:hAnsi="Times New Roman"/>
          <w:sz w:val="28"/>
          <w:szCs w:val="28"/>
          <w:lang w:val="uk-UA"/>
        </w:rPr>
        <w:t>підприємств, що здійснюють заготівлю деревини</w:t>
      </w:r>
      <w:r w:rsidR="00FA34E1" w:rsidRPr="00DA6984">
        <w:rPr>
          <w:rFonts w:ascii="Times New Roman" w:hAnsi="Times New Roman"/>
          <w:sz w:val="28"/>
          <w:szCs w:val="28"/>
          <w:lang w:val="uk-UA"/>
        </w:rPr>
        <w:t xml:space="preserve"> </w:t>
      </w:r>
      <w:r w:rsidR="00CD6557" w:rsidRPr="00DA6984">
        <w:rPr>
          <w:rFonts w:ascii="Times New Roman" w:hAnsi="Times New Roman" w:cs="Times New Roman"/>
          <w:sz w:val="28"/>
          <w:szCs w:val="28"/>
          <w:lang w:val="uk-UA"/>
        </w:rPr>
        <w:t>і при цьому становлять суспільний інтерес</w:t>
      </w:r>
      <w:r w:rsidRPr="00DA6984">
        <w:rPr>
          <w:rFonts w:ascii="Times New Roman" w:hAnsi="Times New Roman" w:cs="Times New Roman"/>
          <w:sz w:val="28"/>
          <w:szCs w:val="28"/>
          <w:lang w:val="uk-UA"/>
        </w:rPr>
        <w:t xml:space="preserve">, </w:t>
      </w:r>
      <w:r w:rsidR="00CD6557" w:rsidRPr="00DA6984">
        <w:rPr>
          <w:rFonts w:ascii="Times New Roman" w:hAnsi="Times New Roman" w:cs="Times New Roman"/>
          <w:sz w:val="28"/>
          <w:szCs w:val="28"/>
          <w:lang w:val="uk-UA"/>
        </w:rPr>
        <w:t xml:space="preserve">та порядок </w:t>
      </w:r>
      <w:r w:rsidR="003F3192" w:rsidRPr="00DA6984">
        <w:rPr>
          <w:rFonts w:ascii="Times New Roman" w:hAnsi="Times New Roman" w:cs="Times New Roman"/>
          <w:sz w:val="28"/>
          <w:szCs w:val="28"/>
          <w:lang w:val="uk-UA"/>
        </w:rPr>
        <w:t xml:space="preserve">складання </w:t>
      </w:r>
      <w:r w:rsidR="000D4817" w:rsidRPr="00DA6984">
        <w:rPr>
          <w:rFonts w:ascii="Times New Roman" w:hAnsi="Times New Roman" w:cs="Times New Roman"/>
          <w:sz w:val="28"/>
          <w:szCs w:val="28"/>
          <w:lang w:val="uk-UA"/>
        </w:rPr>
        <w:t>з</w:t>
      </w:r>
      <w:r w:rsidR="003F3192" w:rsidRPr="00DA6984">
        <w:rPr>
          <w:rFonts w:ascii="Times New Roman" w:hAnsi="Times New Roman" w:cs="Times New Roman"/>
          <w:sz w:val="28"/>
          <w:szCs w:val="28"/>
          <w:lang w:val="uk-UA"/>
        </w:rPr>
        <w:t>віту</w:t>
      </w:r>
      <w:r w:rsidR="00CD6557" w:rsidRPr="00DA6984">
        <w:rPr>
          <w:rFonts w:ascii="Times New Roman" w:hAnsi="Times New Roman" w:cs="Times New Roman"/>
          <w:sz w:val="28"/>
          <w:szCs w:val="28"/>
          <w:lang w:val="uk-UA"/>
        </w:rPr>
        <w:t>.</w:t>
      </w:r>
    </w:p>
    <w:p w14:paraId="37452763" w14:textId="371731F7" w:rsidR="007A369D" w:rsidRPr="00DA6984" w:rsidRDefault="00CD6557" w:rsidP="00CC1720">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У </w:t>
      </w:r>
      <w:r w:rsidR="000D4817" w:rsidRPr="00DA6984">
        <w:rPr>
          <w:rFonts w:ascii="Times New Roman" w:hAnsi="Times New Roman"/>
          <w:sz w:val="28"/>
          <w:szCs w:val="28"/>
          <w:lang w:val="uk-UA"/>
        </w:rPr>
        <w:t>звіті про платежі на користь держави</w:t>
      </w:r>
      <w:r w:rsidRPr="00DA6984">
        <w:rPr>
          <w:rFonts w:ascii="Times New Roman" w:hAnsi="Times New Roman" w:cs="Times New Roman"/>
          <w:sz w:val="28"/>
          <w:szCs w:val="28"/>
          <w:lang w:val="uk-UA"/>
        </w:rPr>
        <w:t xml:space="preserve"> розкриватиметься інформація про належні до сплати та сплачені </w:t>
      </w:r>
      <w:r w:rsidR="006B498D" w:rsidRPr="00DA6984">
        <w:rPr>
          <w:rFonts w:ascii="Times New Roman" w:hAnsi="Times New Roman" w:cs="Times New Roman"/>
          <w:sz w:val="28"/>
          <w:szCs w:val="28"/>
          <w:lang w:val="uk-UA"/>
        </w:rPr>
        <w:t xml:space="preserve">до державного та місцевих бюджетів </w:t>
      </w:r>
      <w:r w:rsidRPr="00DA6984">
        <w:rPr>
          <w:rFonts w:ascii="Times New Roman" w:hAnsi="Times New Roman" w:cs="Times New Roman"/>
          <w:sz w:val="28"/>
          <w:szCs w:val="28"/>
          <w:lang w:val="uk-UA"/>
        </w:rPr>
        <w:t>платежі</w:t>
      </w:r>
      <w:r w:rsidR="00D675D2" w:rsidRPr="00DA6984">
        <w:rPr>
          <w:rFonts w:ascii="Times New Roman" w:hAnsi="Times New Roman" w:cs="Times New Roman"/>
          <w:sz w:val="28"/>
          <w:szCs w:val="28"/>
          <w:lang w:val="uk-UA"/>
        </w:rPr>
        <w:t>,</w:t>
      </w:r>
      <w:r w:rsidRPr="00DA6984">
        <w:rPr>
          <w:rFonts w:ascii="Times New Roman" w:hAnsi="Times New Roman" w:cs="Times New Roman"/>
          <w:sz w:val="28"/>
          <w:szCs w:val="28"/>
          <w:lang w:val="uk-UA"/>
        </w:rPr>
        <w:t xml:space="preserve"> </w:t>
      </w:r>
      <w:r w:rsidR="00D675D2" w:rsidRPr="00DA6984">
        <w:rPr>
          <w:rFonts w:ascii="Times New Roman" w:hAnsi="Times New Roman" w:cs="Times New Roman"/>
          <w:sz w:val="28"/>
          <w:szCs w:val="28"/>
          <w:lang w:val="uk-UA"/>
        </w:rPr>
        <w:t>пов’язані зі сплатою податків і зборів (крім податку на додану вартість, податку на доходи фізичних осіб, військового збору та єдиного внеску на</w:t>
      </w:r>
      <w:r w:rsidR="00CC1720" w:rsidRPr="00DA6984">
        <w:rPr>
          <w:rFonts w:ascii="Times New Roman" w:hAnsi="Times New Roman" w:cs="Times New Roman"/>
          <w:sz w:val="28"/>
          <w:szCs w:val="28"/>
          <w:lang w:val="uk-UA"/>
        </w:rPr>
        <w:t xml:space="preserve"> </w:t>
      </w:r>
      <w:r w:rsidR="00D675D2" w:rsidRPr="00DA6984">
        <w:rPr>
          <w:rFonts w:ascii="Times New Roman" w:hAnsi="Times New Roman" w:cs="Times New Roman"/>
          <w:sz w:val="28"/>
          <w:szCs w:val="28"/>
          <w:lang w:val="uk-UA"/>
        </w:rPr>
        <w:t>загальнообов’язкове державне соціальне страхування)</w:t>
      </w:r>
      <w:r w:rsidR="006B498D" w:rsidRPr="00DA6984">
        <w:rPr>
          <w:rFonts w:ascii="Times New Roman" w:hAnsi="Times New Roman" w:cs="Times New Roman"/>
          <w:sz w:val="28"/>
          <w:szCs w:val="28"/>
          <w:lang w:val="uk-UA"/>
        </w:rPr>
        <w:t>.</w:t>
      </w:r>
      <w:r w:rsidR="00D675D2" w:rsidRPr="00DA6984">
        <w:rPr>
          <w:rFonts w:ascii="Times New Roman" w:hAnsi="Times New Roman" w:cs="Times New Roman"/>
          <w:sz w:val="28"/>
          <w:szCs w:val="28"/>
          <w:lang w:val="uk-UA"/>
        </w:rPr>
        <w:t xml:space="preserve"> Звітним періодом для складання </w:t>
      </w:r>
      <w:r w:rsidR="000D4817" w:rsidRPr="00DA6984">
        <w:rPr>
          <w:rFonts w:ascii="Times New Roman" w:hAnsi="Times New Roman"/>
          <w:sz w:val="28"/>
          <w:szCs w:val="28"/>
          <w:lang w:val="uk-UA"/>
        </w:rPr>
        <w:t>звіту про платежі на користь держави</w:t>
      </w:r>
      <w:r w:rsidR="00D675D2" w:rsidRPr="00DA6984">
        <w:rPr>
          <w:rFonts w:ascii="Times New Roman" w:hAnsi="Times New Roman" w:cs="Times New Roman"/>
          <w:sz w:val="28"/>
          <w:szCs w:val="28"/>
          <w:lang w:val="uk-UA"/>
        </w:rPr>
        <w:t xml:space="preserve"> є календарний рік.</w:t>
      </w:r>
    </w:p>
    <w:p w14:paraId="5AAC92AE" w14:textId="570FDBD5"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lastRenderedPageBreak/>
        <w:t xml:space="preserve">У </w:t>
      </w:r>
      <w:r w:rsidR="000D4817" w:rsidRPr="00DA6984">
        <w:rPr>
          <w:rFonts w:ascii="Times New Roman" w:hAnsi="Times New Roman"/>
          <w:sz w:val="28"/>
          <w:szCs w:val="28"/>
          <w:lang w:val="uk-UA"/>
        </w:rPr>
        <w:t>звіті про платежі на користь держави</w:t>
      </w:r>
      <w:r w:rsidRPr="00DA6984">
        <w:rPr>
          <w:rFonts w:ascii="Times New Roman" w:hAnsi="Times New Roman" w:cs="Times New Roman"/>
          <w:sz w:val="28"/>
          <w:szCs w:val="28"/>
          <w:lang w:val="uk-UA"/>
        </w:rPr>
        <w:t xml:space="preserve">, з урахуванням положень Директиви ЄС № 2013/34/ЄС, відображається інформація про такі платежі: </w:t>
      </w:r>
    </w:p>
    <w:p w14:paraId="27EA86D2" w14:textId="3FF9540E"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1) податок на прибуток підприємств;</w:t>
      </w:r>
    </w:p>
    <w:p w14:paraId="6B42DF02" w14:textId="77777777"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2) частину чистого прибутку, що вилучається до бюджету;</w:t>
      </w:r>
    </w:p>
    <w:p w14:paraId="7F723CD2" w14:textId="77777777"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3) дивіденди;</w:t>
      </w:r>
    </w:p>
    <w:p w14:paraId="5C94301C" w14:textId="77777777"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4) рентну плату, зокрема за:</w:t>
      </w:r>
    </w:p>
    <w:p w14:paraId="3C068AB3" w14:textId="77777777"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спеціальне використання лісових ресурсів;</w:t>
      </w:r>
    </w:p>
    <w:p w14:paraId="6203B769" w14:textId="77777777"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спеціальне використання води;</w:t>
      </w:r>
    </w:p>
    <w:p w14:paraId="43A034CD" w14:textId="77777777"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користування надрами в цілях, не пов’язаних з видобуванням корисних копалин;</w:t>
      </w:r>
    </w:p>
    <w:p w14:paraId="74166766" w14:textId="77777777"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користування радіочастотним ресурсом України тощо;</w:t>
      </w:r>
    </w:p>
    <w:p w14:paraId="1A89A679" w14:textId="77777777"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5) екологічний податок;</w:t>
      </w:r>
    </w:p>
    <w:p w14:paraId="63779C03" w14:textId="2DC43185" w:rsidR="007A369D" w:rsidRPr="00DA6984" w:rsidRDefault="007A369D"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6) збори та інші платежі, зокрема податок на майно (земельний податок) тощо.</w:t>
      </w:r>
    </w:p>
    <w:p w14:paraId="5B1A7739" w14:textId="21105DA6" w:rsidR="007A369D" w:rsidRPr="00DA6984" w:rsidRDefault="008D0D10" w:rsidP="007A369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Т</w:t>
      </w:r>
      <w:r w:rsidR="007A369D" w:rsidRPr="00DA6984">
        <w:rPr>
          <w:rFonts w:ascii="Times New Roman" w:hAnsi="Times New Roman" w:cs="Times New Roman"/>
          <w:sz w:val="28"/>
          <w:szCs w:val="28"/>
          <w:lang w:val="uk-UA"/>
        </w:rPr>
        <w:t>акож</w:t>
      </w:r>
      <w:r w:rsidR="006C0E28" w:rsidRPr="00DA6984">
        <w:rPr>
          <w:rFonts w:ascii="Times New Roman" w:hAnsi="Times New Roman" w:cs="Times New Roman"/>
          <w:sz w:val="28"/>
          <w:szCs w:val="28"/>
          <w:lang w:val="uk-UA"/>
        </w:rPr>
        <w:t>, якщо сума платежів підприємства за звітний період становить понад 2500 тис. гривень,</w:t>
      </w:r>
      <w:r w:rsidR="007A369D" w:rsidRPr="00DA6984">
        <w:rPr>
          <w:rFonts w:ascii="Times New Roman" w:hAnsi="Times New Roman" w:cs="Times New Roman"/>
          <w:sz w:val="28"/>
          <w:szCs w:val="28"/>
          <w:lang w:val="uk-UA"/>
        </w:rPr>
        <w:t xml:space="preserve"> у </w:t>
      </w:r>
      <w:r w:rsidR="000D4817" w:rsidRPr="00DA6984">
        <w:rPr>
          <w:rFonts w:ascii="Times New Roman" w:hAnsi="Times New Roman"/>
          <w:sz w:val="28"/>
          <w:szCs w:val="28"/>
          <w:lang w:val="uk-UA"/>
        </w:rPr>
        <w:t>звіті про платежі на користь держави</w:t>
      </w:r>
      <w:r w:rsidR="007A369D" w:rsidRPr="00DA6984">
        <w:rPr>
          <w:rFonts w:ascii="Times New Roman" w:hAnsi="Times New Roman" w:cs="Times New Roman"/>
          <w:sz w:val="28"/>
          <w:szCs w:val="28"/>
          <w:lang w:val="uk-UA"/>
        </w:rPr>
        <w:t xml:space="preserve"> відображається інформація про сплачені платежі за кожним відповідним органом місцевого самоврядування</w:t>
      </w:r>
      <w:r w:rsidR="006C0E28" w:rsidRPr="00DA6984">
        <w:rPr>
          <w:rFonts w:ascii="Times New Roman" w:hAnsi="Times New Roman" w:cs="Times New Roman"/>
          <w:sz w:val="28"/>
          <w:szCs w:val="28"/>
          <w:lang w:val="uk-UA"/>
        </w:rPr>
        <w:t>.</w:t>
      </w:r>
    </w:p>
    <w:p w14:paraId="0DB73B77" w14:textId="57B692D5" w:rsidR="005E6AF1" w:rsidRPr="00DA6984" w:rsidRDefault="00FB1C00" w:rsidP="005E6AF1">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Водночас, </w:t>
      </w:r>
      <w:r w:rsidR="00DF631A" w:rsidRPr="00DA6984">
        <w:rPr>
          <w:rFonts w:ascii="Times New Roman" w:hAnsi="Times New Roman" w:cs="Times New Roman"/>
          <w:sz w:val="28"/>
          <w:szCs w:val="28"/>
          <w:lang w:val="uk-UA"/>
        </w:rPr>
        <w:t>за інформацією Державного агентства лісових ресурсів України</w:t>
      </w:r>
      <w:r w:rsidR="008D0D10" w:rsidRPr="00DA6984">
        <w:rPr>
          <w:rFonts w:ascii="Times New Roman" w:hAnsi="Times New Roman" w:cs="Times New Roman"/>
          <w:sz w:val="28"/>
          <w:szCs w:val="28"/>
          <w:lang w:val="uk-UA"/>
        </w:rPr>
        <w:t>,</w:t>
      </w:r>
      <w:r w:rsidR="005E6AF1" w:rsidRPr="00DA6984">
        <w:rPr>
          <w:rFonts w:ascii="Times New Roman" w:hAnsi="Times New Roman" w:cs="Times New Roman"/>
          <w:sz w:val="28"/>
          <w:szCs w:val="28"/>
          <w:lang w:val="uk-UA"/>
        </w:rPr>
        <w:t xml:space="preserve"> </w:t>
      </w:r>
      <w:r w:rsidR="004961FD" w:rsidRPr="00DA6984">
        <w:rPr>
          <w:rFonts w:ascii="Times New Roman" w:hAnsi="Times New Roman" w:cs="Times New Roman"/>
          <w:sz w:val="28"/>
          <w:szCs w:val="28"/>
          <w:lang w:val="uk-UA"/>
        </w:rPr>
        <w:t xml:space="preserve">за підсумками 2019 року в Україні є 337 підприємств, що здійснюють заготівлю деревини, </w:t>
      </w:r>
      <w:r w:rsidR="00594CDB" w:rsidRPr="00DA6984">
        <w:rPr>
          <w:rFonts w:ascii="Times New Roman" w:hAnsi="Times New Roman" w:cs="Times New Roman"/>
          <w:sz w:val="28"/>
          <w:szCs w:val="28"/>
          <w:lang w:val="uk-UA"/>
        </w:rPr>
        <w:t xml:space="preserve">серед </w:t>
      </w:r>
      <w:r w:rsidR="00CC1720" w:rsidRPr="00DA6984">
        <w:rPr>
          <w:rFonts w:ascii="Times New Roman" w:hAnsi="Times New Roman" w:cs="Times New Roman"/>
          <w:sz w:val="28"/>
          <w:szCs w:val="28"/>
          <w:lang w:val="uk-UA"/>
        </w:rPr>
        <w:t>яких</w:t>
      </w:r>
      <w:r w:rsidR="00594CDB" w:rsidRPr="00DA6984">
        <w:rPr>
          <w:rFonts w:ascii="Times New Roman" w:hAnsi="Times New Roman" w:cs="Times New Roman"/>
          <w:sz w:val="28"/>
          <w:szCs w:val="28"/>
          <w:lang w:val="uk-UA"/>
        </w:rPr>
        <w:t xml:space="preserve"> 11</w:t>
      </w:r>
      <w:r w:rsidR="004961FD" w:rsidRPr="00DA6984">
        <w:rPr>
          <w:rFonts w:ascii="Times New Roman" w:hAnsi="Times New Roman" w:cs="Times New Roman"/>
          <w:sz w:val="28"/>
          <w:szCs w:val="28"/>
          <w:lang w:val="uk-UA"/>
        </w:rPr>
        <w:t xml:space="preserve"> </w:t>
      </w:r>
      <w:r w:rsidR="00E1323D" w:rsidRPr="00DA6984">
        <w:rPr>
          <w:rFonts w:ascii="Times New Roman" w:hAnsi="Times New Roman" w:cs="Times New Roman"/>
          <w:sz w:val="28"/>
          <w:szCs w:val="28"/>
          <w:lang w:val="uk-UA"/>
        </w:rPr>
        <w:t>підприємств</w:t>
      </w:r>
      <w:r w:rsidR="00594CDB" w:rsidRPr="00DA6984">
        <w:rPr>
          <w:rFonts w:ascii="Times New Roman" w:hAnsi="Times New Roman" w:cs="Times New Roman"/>
          <w:sz w:val="28"/>
          <w:szCs w:val="28"/>
          <w:lang w:val="uk-UA"/>
        </w:rPr>
        <w:t xml:space="preserve"> мають </w:t>
      </w:r>
      <w:r w:rsidR="00CC1720" w:rsidRPr="00DA6984">
        <w:rPr>
          <w:rFonts w:ascii="Times New Roman" w:hAnsi="Times New Roman" w:cs="Times New Roman"/>
          <w:sz w:val="28"/>
          <w:szCs w:val="28"/>
          <w:lang w:val="uk-UA"/>
        </w:rPr>
        <w:t xml:space="preserve">порівняно </w:t>
      </w:r>
      <w:r w:rsidR="00594CDB" w:rsidRPr="00DA6984">
        <w:rPr>
          <w:rFonts w:ascii="Times New Roman" w:hAnsi="Times New Roman" w:cs="Times New Roman"/>
          <w:sz w:val="28"/>
          <w:szCs w:val="28"/>
          <w:lang w:val="uk-UA"/>
        </w:rPr>
        <w:t>найбільший обсяг</w:t>
      </w:r>
      <w:r w:rsidR="00B84434" w:rsidRPr="00DA6984">
        <w:rPr>
          <w:rFonts w:ascii="Times New Roman" w:hAnsi="Times New Roman" w:cs="Times New Roman"/>
          <w:sz w:val="28"/>
          <w:szCs w:val="28"/>
          <w:lang w:val="uk-UA"/>
        </w:rPr>
        <w:t xml:space="preserve"> річної реалізованої</w:t>
      </w:r>
      <w:r w:rsidR="00CC1720" w:rsidRPr="00DA6984">
        <w:rPr>
          <w:rFonts w:ascii="Times New Roman" w:hAnsi="Times New Roman" w:cs="Times New Roman"/>
          <w:sz w:val="28"/>
          <w:szCs w:val="28"/>
          <w:lang w:val="uk-UA"/>
        </w:rPr>
        <w:t xml:space="preserve"> продукції, що становить </w:t>
      </w:r>
      <w:r w:rsidR="00594CDB" w:rsidRPr="00DA6984">
        <w:rPr>
          <w:rFonts w:ascii="Times New Roman" w:hAnsi="Times New Roman" w:cs="Times New Roman"/>
          <w:sz w:val="28"/>
          <w:szCs w:val="28"/>
          <w:lang w:val="uk-UA"/>
        </w:rPr>
        <w:t>понад 140 млн</w:t>
      </w:r>
      <w:r w:rsidR="00435B01" w:rsidRPr="00DA6984">
        <w:rPr>
          <w:rFonts w:ascii="Times New Roman" w:hAnsi="Times New Roman" w:cs="Times New Roman"/>
          <w:sz w:val="28"/>
          <w:szCs w:val="28"/>
          <w:lang w:val="uk-UA"/>
        </w:rPr>
        <w:t>.</w:t>
      </w:r>
      <w:r w:rsidR="00594CDB" w:rsidRPr="00DA6984">
        <w:rPr>
          <w:rFonts w:ascii="Times New Roman" w:hAnsi="Times New Roman" w:cs="Times New Roman"/>
          <w:sz w:val="28"/>
          <w:szCs w:val="28"/>
          <w:lang w:val="uk-UA"/>
        </w:rPr>
        <w:t xml:space="preserve"> гр</w:t>
      </w:r>
      <w:r w:rsidR="008D0D10" w:rsidRPr="00DA6984">
        <w:rPr>
          <w:rFonts w:ascii="Times New Roman" w:hAnsi="Times New Roman" w:cs="Times New Roman"/>
          <w:sz w:val="28"/>
          <w:szCs w:val="28"/>
          <w:lang w:val="uk-UA"/>
        </w:rPr>
        <w:t>ивень.</w:t>
      </w:r>
      <w:r w:rsidR="00594CDB" w:rsidRPr="00DA6984">
        <w:rPr>
          <w:rFonts w:ascii="Times New Roman" w:hAnsi="Times New Roman" w:cs="Times New Roman"/>
          <w:sz w:val="28"/>
          <w:szCs w:val="28"/>
          <w:lang w:val="uk-UA"/>
        </w:rPr>
        <w:t xml:space="preserve"> При цьому</w:t>
      </w:r>
      <w:r w:rsidR="00B84434" w:rsidRPr="00DA6984">
        <w:rPr>
          <w:rFonts w:ascii="Times New Roman" w:hAnsi="Times New Roman" w:cs="Times New Roman"/>
          <w:sz w:val="28"/>
          <w:szCs w:val="28"/>
          <w:lang w:val="uk-UA"/>
        </w:rPr>
        <w:t xml:space="preserve"> підприємств, </w:t>
      </w:r>
      <w:r w:rsidR="00E1323D" w:rsidRPr="00DA6984">
        <w:rPr>
          <w:rFonts w:ascii="Times New Roman" w:hAnsi="Times New Roman" w:cs="Times New Roman"/>
          <w:sz w:val="28"/>
          <w:szCs w:val="28"/>
          <w:lang w:val="uk-UA"/>
        </w:rPr>
        <w:t xml:space="preserve">які належать до категорії великого підприємства, згідно </w:t>
      </w:r>
      <w:r w:rsidR="008D0D10" w:rsidRPr="00DA6984">
        <w:rPr>
          <w:rFonts w:ascii="Times New Roman" w:hAnsi="Times New Roman" w:cs="Times New Roman"/>
          <w:sz w:val="28"/>
          <w:szCs w:val="28"/>
          <w:lang w:val="uk-UA"/>
        </w:rPr>
        <w:t xml:space="preserve">з </w:t>
      </w:r>
      <w:r w:rsidR="00E1323D" w:rsidRPr="00DA6984">
        <w:rPr>
          <w:rFonts w:ascii="Times New Roman" w:hAnsi="Times New Roman" w:cs="Times New Roman"/>
          <w:sz w:val="28"/>
          <w:szCs w:val="28"/>
          <w:lang w:val="uk-UA"/>
        </w:rPr>
        <w:t>критері</w:t>
      </w:r>
      <w:r w:rsidR="008D0D10" w:rsidRPr="00DA6984">
        <w:rPr>
          <w:rFonts w:ascii="Times New Roman" w:hAnsi="Times New Roman" w:cs="Times New Roman"/>
          <w:sz w:val="28"/>
          <w:szCs w:val="28"/>
          <w:lang w:val="uk-UA"/>
        </w:rPr>
        <w:t>ями</w:t>
      </w:r>
      <w:r w:rsidR="00E1323D" w:rsidRPr="00DA6984">
        <w:rPr>
          <w:rFonts w:ascii="Times New Roman" w:hAnsi="Times New Roman" w:cs="Times New Roman"/>
          <w:sz w:val="28"/>
          <w:szCs w:val="28"/>
          <w:lang w:val="uk-UA"/>
        </w:rPr>
        <w:t>, наведени</w:t>
      </w:r>
      <w:r w:rsidR="008D0D10" w:rsidRPr="00DA6984">
        <w:rPr>
          <w:rFonts w:ascii="Times New Roman" w:hAnsi="Times New Roman" w:cs="Times New Roman"/>
          <w:sz w:val="28"/>
          <w:szCs w:val="28"/>
          <w:lang w:val="uk-UA"/>
        </w:rPr>
        <w:t>ми</w:t>
      </w:r>
      <w:r w:rsidR="00E1323D" w:rsidRPr="00DA6984">
        <w:rPr>
          <w:rFonts w:ascii="Times New Roman" w:hAnsi="Times New Roman" w:cs="Times New Roman"/>
          <w:sz w:val="28"/>
          <w:szCs w:val="28"/>
          <w:lang w:val="uk-UA"/>
        </w:rPr>
        <w:t xml:space="preserve"> у Законі, </w:t>
      </w:r>
      <w:r w:rsidR="005E6AF1" w:rsidRPr="00DA6984">
        <w:rPr>
          <w:rFonts w:ascii="Times New Roman" w:hAnsi="Times New Roman" w:cs="Times New Roman"/>
          <w:sz w:val="28"/>
          <w:szCs w:val="28"/>
          <w:lang w:val="uk-UA"/>
        </w:rPr>
        <w:t xml:space="preserve">серед них </w:t>
      </w:r>
      <w:r w:rsidR="00E1323D" w:rsidRPr="00DA6984">
        <w:rPr>
          <w:rFonts w:ascii="Times New Roman" w:hAnsi="Times New Roman" w:cs="Times New Roman"/>
          <w:sz w:val="28"/>
          <w:szCs w:val="28"/>
          <w:lang w:val="uk-UA"/>
        </w:rPr>
        <w:t>немає.</w:t>
      </w:r>
    </w:p>
    <w:p w14:paraId="1DAEF332" w14:textId="53C0B18C" w:rsidR="00DA5755" w:rsidRPr="00DA6984" w:rsidRDefault="00DA5755" w:rsidP="00A10816">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Затвердження наказу та його реалізація здійснюється відповідно до статей 1, 11 Закону</w:t>
      </w:r>
      <w:r w:rsidR="00017F48" w:rsidRPr="00DA6984">
        <w:rPr>
          <w:rFonts w:ascii="Times New Roman" w:hAnsi="Times New Roman" w:cs="Times New Roman"/>
          <w:sz w:val="28"/>
          <w:szCs w:val="28"/>
          <w:lang w:val="uk-UA"/>
        </w:rPr>
        <w:t>, пункту 2 Порядку та пункту 832 Плану заходів.</w:t>
      </w:r>
    </w:p>
    <w:p w14:paraId="50745944" w14:textId="51B0C06B" w:rsidR="00EC6E53" w:rsidRPr="00DA6984" w:rsidRDefault="00A10816" w:rsidP="00CC1720">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Відсутність </w:t>
      </w:r>
      <w:r w:rsidR="009403FA" w:rsidRPr="00DA6984">
        <w:rPr>
          <w:rFonts w:ascii="Times New Roman" w:hAnsi="Times New Roman" w:cs="Times New Roman"/>
          <w:sz w:val="28"/>
          <w:szCs w:val="28"/>
          <w:lang w:val="uk-UA"/>
        </w:rPr>
        <w:t xml:space="preserve">єдиних вимог до складання </w:t>
      </w:r>
      <w:r w:rsidR="00CE096A" w:rsidRPr="00DA6984">
        <w:rPr>
          <w:rFonts w:ascii="Times New Roman" w:hAnsi="Times New Roman"/>
          <w:sz w:val="28"/>
          <w:szCs w:val="28"/>
          <w:lang w:val="uk-UA"/>
        </w:rPr>
        <w:t>звіту про платежі на користь держави</w:t>
      </w:r>
      <w:r w:rsidRPr="00DA6984">
        <w:rPr>
          <w:rFonts w:ascii="Times New Roman" w:hAnsi="Times New Roman" w:cs="Times New Roman"/>
          <w:sz w:val="28"/>
          <w:szCs w:val="28"/>
          <w:lang w:val="uk-UA"/>
        </w:rPr>
        <w:t xml:space="preserve"> </w:t>
      </w:r>
      <w:r w:rsidR="009403FA" w:rsidRPr="00DA6984">
        <w:rPr>
          <w:rFonts w:ascii="Times New Roman" w:hAnsi="Times New Roman" w:cs="Times New Roman"/>
          <w:sz w:val="28"/>
          <w:szCs w:val="28"/>
          <w:lang w:val="uk-UA"/>
        </w:rPr>
        <w:t>унеможливить подання та оприлюднення підприємствами, що здійснюють заготівлю деревини і при цьому становлять суспільний інтерес, уніфікованої інформації, передбаченої проєктом наказу</w:t>
      </w:r>
      <w:r w:rsidR="009E2DD9" w:rsidRPr="00DA6984">
        <w:rPr>
          <w:rFonts w:ascii="Times New Roman" w:hAnsi="Times New Roman" w:cs="Times New Roman"/>
          <w:sz w:val="28"/>
          <w:szCs w:val="28"/>
          <w:lang w:val="uk-UA"/>
        </w:rPr>
        <w:t>,</w:t>
      </w:r>
      <w:r w:rsidR="00DF631A" w:rsidRPr="00DA6984">
        <w:rPr>
          <w:rFonts w:ascii="Times New Roman" w:hAnsi="Times New Roman" w:cs="Times New Roman"/>
          <w:sz w:val="28"/>
          <w:szCs w:val="28"/>
          <w:lang w:val="uk-UA"/>
        </w:rPr>
        <w:t xml:space="preserve"> </w:t>
      </w:r>
      <w:r w:rsidR="009E2DD9" w:rsidRPr="00DA6984">
        <w:rPr>
          <w:rFonts w:ascii="Times New Roman" w:hAnsi="Times New Roman" w:cs="Times New Roman"/>
          <w:sz w:val="28"/>
          <w:szCs w:val="28"/>
          <w:lang w:val="uk-UA"/>
        </w:rPr>
        <w:t xml:space="preserve">що в свою чергу </w:t>
      </w:r>
      <w:r w:rsidR="00DA5755" w:rsidRPr="00DA6984">
        <w:rPr>
          <w:rFonts w:ascii="Times New Roman" w:hAnsi="Times New Roman" w:cs="Times New Roman"/>
          <w:sz w:val="28"/>
          <w:szCs w:val="28"/>
          <w:lang w:val="uk-UA"/>
        </w:rPr>
        <w:t>призведе до</w:t>
      </w:r>
      <w:r w:rsidR="00017F48" w:rsidRPr="00DA6984">
        <w:rPr>
          <w:rFonts w:ascii="Times New Roman" w:hAnsi="Times New Roman" w:cs="Times New Roman"/>
          <w:sz w:val="28"/>
          <w:szCs w:val="28"/>
          <w:lang w:val="uk-UA"/>
        </w:rPr>
        <w:t xml:space="preserve"> невиконання підприємствами положень Закону та</w:t>
      </w:r>
      <w:r w:rsidR="00DA5755" w:rsidRPr="00DA6984">
        <w:rPr>
          <w:rFonts w:ascii="Times New Roman" w:hAnsi="Times New Roman" w:cs="Times New Roman"/>
          <w:sz w:val="28"/>
          <w:szCs w:val="28"/>
          <w:lang w:val="uk-UA"/>
        </w:rPr>
        <w:t xml:space="preserve"> порушення законодавства</w:t>
      </w:r>
      <w:r w:rsidR="00017F48" w:rsidRPr="00DA6984">
        <w:rPr>
          <w:rFonts w:ascii="Times New Roman" w:hAnsi="Times New Roman" w:cs="Times New Roman"/>
          <w:sz w:val="28"/>
          <w:szCs w:val="28"/>
          <w:lang w:val="uk-UA"/>
        </w:rPr>
        <w:t xml:space="preserve"> у сфері бухгалтерського обліку, за що </w:t>
      </w:r>
      <w:r w:rsidR="00162882" w:rsidRPr="00DA6984">
        <w:rPr>
          <w:rFonts w:ascii="Times New Roman" w:hAnsi="Times New Roman" w:cs="Times New Roman"/>
          <w:sz w:val="28"/>
          <w:szCs w:val="28"/>
          <w:lang w:val="uk-UA"/>
        </w:rPr>
        <w:t>передбачено адміністративну</w:t>
      </w:r>
      <w:r w:rsidR="004961FD" w:rsidRPr="00DA6984">
        <w:rPr>
          <w:rFonts w:ascii="Times New Roman" w:hAnsi="Times New Roman" w:cs="Times New Roman"/>
          <w:sz w:val="28"/>
          <w:szCs w:val="28"/>
          <w:lang w:val="uk-UA"/>
        </w:rPr>
        <w:t xml:space="preserve"> </w:t>
      </w:r>
      <w:r w:rsidR="00017F48" w:rsidRPr="00DA6984">
        <w:rPr>
          <w:rFonts w:ascii="Times New Roman" w:hAnsi="Times New Roman" w:cs="Times New Roman"/>
          <w:sz w:val="28"/>
          <w:szCs w:val="28"/>
          <w:lang w:val="uk-UA"/>
        </w:rPr>
        <w:t>відповідальність.</w:t>
      </w:r>
    </w:p>
    <w:p w14:paraId="04D2BB97" w14:textId="77777777" w:rsidR="00CC1720" w:rsidRPr="00DA6984" w:rsidRDefault="00CC1720" w:rsidP="00CC1720">
      <w:pPr>
        <w:spacing w:after="0" w:line="240" w:lineRule="auto"/>
        <w:ind w:firstLine="567"/>
        <w:jc w:val="both"/>
        <w:rPr>
          <w:rFonts w:ascii="Times New Roman" w:hAnsi="Times New Roman" w:cs="Times New Roman"/>
          <w:sz w:val="18"/>
          <w:szCs w:val="18"/>
          <w:lang w:val="uk-UA"/>
        </w:rPr>
      </w:pPr>
    </w:p>
    <w:p w14:paraId="5EED5E3B" w14:textId="7215FC13" w:rsidR="007D67A1" w:rsidRPr="00DA6984" w:rsidRDefault="007D67A1" w:rsidP="00EC6E53">
      <w:pPr>
        <w:spacing w:after="0" w:line="240" w:lineRule="auto"/>
        <w:jc w:val="center"/>
        <w:rPr>
          <w:rFonts w:ascii="Times New Roman" w:hAnsi="Times New Roman" w:cs="Times New Roman"/>
          <w:sz w:val="28"/>
          <w:szCs w:val="28"/>
          <w:lang w:val="uk-UA"/>
        </w:rPr>
      </w:pPr>
      <w:r w:rsidRPr="00DA6984">
        <w:rPr>
          <w:rFonts w:ascii="Times New Roman" w:hAnsi="Times New Roman" w:cs="Times New Roman"/>
          <w:sz w:val="28"/>
          <w:szCs w:val="28"/>
          <w:lang w:val="uk-UA"/>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714"/>
        <w:gridCol w:w="1552"/>
        <w:gridCol w:w="1356"/>
      </w:tblGrid>
      <w:tr w:rsidR="00DA6984" w:rsidRPr="00DA6984" w14:paraId="66874700" w14:textId="77777777" w:rsidTr="00CC1720">
        <w:trPr>
          <w:trHeight w:val="103"/>
          <w:tblCellSpacing w:w="22" w:type="dxa"/>
        </w:trPr>
        <w:tc>
          <w:tcPr>
            <w:tcW w:w="3455" w:type="pct"/>
            <w:tcBorders>
              <w:top w:val="outset" w:sz="6" w:space="0" w:color="auto"/>
              <w:left w:val="outset" w:sz="6" w:space="0" w:color="auto"/>
              <w:bottom w:val="outset" w:sz="6" w:space="0" w:color="auto"/>
              <w:right w:val="outset" w:sz="6" w:space="0" w:color="auto"/>
            </w:tcBorders>
            <w:shd w:val="clear" w:color="auto" w:fill="auto"/>
          </w:tcPr>
          <w:p w14:paraId="5344F3EA"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Групи (підгрупи)</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174E30A7"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Так</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2DAD2593"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Ні</w:t>
            </w:r>
          </w:p>
        </w:tc>
      </w:tr>
      <w:tr w:rsidR="00DA6984" w:rsidRPr="00DA6984" w14:paraId="1B6A13D7" w14:textId="77777777" w:rsidTr="00CC1720">
        <w:trPr>
          <w:trHeight w:val="259"/>
          <w:tblCellSpacing w:w="22" w:type="dxa"/>
        </w:trPr>
        <w:tc>
          <w:tcPr>
            <w:tcW w:w="3455" w:type="pct"/>
            <w:tcBorders>
              <w:top w:val="outset" w:sz="6" w:space="0" w:color="auto"/>
              <w:left w:val="outset" w:sz="6" w:space="0" w:color="auto"/>
              <w:bottom w:val="outset" w:sz="6" w:space="0" w:color="auto"/>
              <w:right w:val="outset" w:sz="6" w:space="0" w:color="auto"/>
            </w:tcBorders>
            <w:shd w:val="clear" w:color="auto" w:fill="auto"/>
          </w:tcPr>
          <w:p w14:paraId="6EBBB997" w14:textId="77777777" w:rsidR="007D67A1" w:rsidRPr="00DA6984" w:rsidRDefault="007D67A1" w:rsidP="002400E3">
            <w:pPr>
              <w:widowControl w:val="0"/>
              <w:contextualSpacing/>
              <w:rPr>
                <w:rFonts w:ascii="Times New Roman" w:hAnsi="Times New Roman" w:cs="Times New Roman"/>
                <w:sz w:val="24"/>
                <w:szCs w:val="24"/>
                <w:lang w:val="uk-UA"/>
              </w:rPr>
            </w:pPr>
            <w:r w:rsidRPr="00DA6984">
              <w:rPr>
                <w:rFonts w:ascii="Times New Roman" w:hAnsi="Times New Roman" w:cs="Times New Roman"/>
                <w:sz w:val="24"/>
                <w:szCs w:val="24"/>
                <w:lang w:val="uk-UA"/>
              </w:rPr>
              <w:t>Громадяни</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2CBD9F5"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51754878"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w:t>
            </w:r>
          </w:p>
        </w:tc>
      </w:tr>
      <w:tr w:rsidR="00DA6984" w:rsidRPr="00DA6984" w14:paraId="320F6AA6" w14:textId="77777777" w:rsidTr="00CC1720">
        <w:trPr>
          <w:trHeight w:val="136"/>
          <w:tblCellSpacing w:w="22" w:type="dxa"/>
        </w:trPr>
        <w:tc>
          <w:tcPr>
            <w:tcW w:w="3455" w:type="pct"/>
            <w:tcBorders>
              <w:top w:val="outset" w:sz="6" w:space="0" w:color="auto"/>
              <w:left w:val="outset" w:sz="6" w:space="0" w:color="auto"/>
              <w:bottom w:val="outset" w:sz="6" w:space="0" w:color="auto"/>
              <w:right w:val="outset" w:sz="6" w:space="0" w:color="auto"/>
            </w:tcBorders>
            <w:shd w:val="clear" w:color="auto" w:fill="auto"/>
          </w:tcPr>
          <w:p w14:paraId="4F87D654" w14:textId="77777777" w:rsidR="007D67A1" w:rsidRPr="00DA6984" w:rsidRDefault="007D67A1" w:rsidP="002400E3">
            <w:pPr>
              <w:widowControl w:val="0"/>
              <w:contextualSpacing/>
              <w:rPr>
                <w:rFonts w:ascii="Times New Roman" w:hAnsi="Times New Roman" w:cs="Times New Roman"/>
                <w:sz w:val="24"/>
                <w:szCs w:val="24"/>
                <w:lang w:val="uk-UA"/>
              </w:rPr>
            </w:pPr>
            <w:r w:rsidRPr="00DA6984">
              <w:rPr>
                <w:rFonts w:ascii="Times New Roman" w:hAnsi="Times New Roman" w:cs="Times New Roman"/>
                <w:sz w:val="24"/>
                <w:szCs w:val="24"/>
                <w:lang w:val="uk-UA"/>
              </w:rPr>
              <w:t>Держава</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29362956"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1DDC9366"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w:t>
            </w:r>
          </w:p>
        </w:tc>
      </w:tr>
      <w:tr w:rsidR="00DA6984" w:rsidRPr="00DA6984" w14:paraId="1AA034C9" w14:textId="77777777" w:rsidTr="00CC1720">
        <w:trPr>
          <w:tblCellSpacing w:w="22" w:type="dxa"/>
        </w:trPr>
        <w:tc>
          <w:tcPr>
            <w:tcW w:w="3455" w:type="pct"/>
            <w:tcBorders>
              <w:top w:val="outset" w:sz="6" w:space="0" w:color="auto"/>
              <w:left w:val="outset" w:sz="6" w:space="0" w:color="auto"/>
              <w:bottom w:val="outset" w:sz="6" w:space="0" w:color="auto"/>
              <w:right w:val="outset" w:sz="6" w:space="0" w:color="auto"/>
            </w:tcBorders>
            <w:shd w:val="clear" w:color="auto" w:fill="auto"/>
          </w:tcPr>
          <w:p w14:paraId="147B3DCC" w14:textId="77777777" w:rsidR="007D67A1" w:rsidRPr="00DA6984" w:rsidRDefault="007D67A1" w:rsidP="002400E3">
            <w:pPr>
              <w:widowControl w:val="0"/>
              <w:contextualSpacing/>
              <w:rPr>
                <w:rFonts w:ascii="Times New Roman" w:hAnsi="Times New Roman" w:cs="Times New Roman"/>
                <w:sz w:val="24"/>
                <w:szCs w:val="24"/>
                <w:lang w:val="uk-UA"/>
              </w:rPr>
            </w:pPr>
            <w:r w:rsidRPr="00DA6984">
              <w:rPr>
                <w:rFonts w:ascii="Times New Roman" w:hAnsi="Times New Roman" w:cs="Times New Roman"/>
                <w:sz w:val="24"/>
                <w:szCs w:val="24"/>
                <w:lang w:val="uk-UA"/>
              </w:rPr>
              <w:t>Суб’єкти господарювання</w:t>
            </w:r>
            <w:r w:rsidR="00816F85" w:rsidRPr="00DA6984">
              <w:rPr>
                <w:rFonts w:ascii="Times New Roman" w:hAnsi="Times New Roman" w:cs="Times New Roman"/>
                <w:sz w:val="24"/>
                <w:szCs w:val="24"/>
                <w:lang w:val="uk-UA"/>
              </w:rPr>
              <w:t xml:space="preserve"> (підприємства, що здійснюють заготівлю деревини і при цьому становлять суспільний інтерес)</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56FE6644"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78A63084"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w:t>
            </w:r>
          </w:p>
        </w:tc>
      </w:tr>
      <w:tr w:rsidR="00CC1720" w:rsidRPr="00DA6984" w14:paraId="090D0429" w14:textId="77777777" w:rsidTr="00CC1720">
        <w:trPr>
          <w:trHeight w:val="149"/>
          <w:tblCellSpacing w:w="22" w:type="dxa"/>
        </w:trPr>
        <w:tc>
          <w:tcPr>
            <w:tcW w:w="3455" w:type="pct"/>
            <w:tcBorders>
              <w:top w:val="outset" w:sz="6" w:space="0" w:color="auto"/>
              <w:left w:val="outset" w:sz="6" w:space="0" w:color="auto"/>
              <w:bottom w:val="outset" w:sz="6" w:space="0" w:color="auto"/>
              <w:right w:val="outset" w:sz="6" w:space="0" w:color="auto"/>
            </w:tcBorders>
            <w:shd w:val="clear" w:color="auto" w:fill="auto"/>
          </w:tcPr>
          <w:p w14:paraId="0F15CE2D" w14:textId="77777777" w:rsidR="007D67A1" w:rsidRPr="00DA6984" w:rsidRDefault="007D67A1" w:rsidP="002400E3">
            <w:pPr>
              <w:widowControl w:val="0"/>
              <w:contextualSpacing/>
              <w:rPr>
                <w:rFonts w:ascii="Times New Roman" w:hAnsi="Times New Roman" w:cs="Times New Roman"/>
                <w:sz w:val="24"/>
                <w:szCs w:val="24"/>
                <w:lang w:val="uk-UA"/>
              </w:rPr>
            </w:pPr>
            <w:r w:rsidRPr="00DA6984">
              <w:rPr>
                <w:rFonts w:ascii="Times New Roman" w:hAnsi="Times New Roman" w:cs="Times New Roman"/>
                <w:sz w:val="24"/>
                <w:szCs w:val="24"/>
                <w:lang w:val="uk-UA"/>
              </w:rPr>
              <w:t>У тому числі суб’єкти малого підприємництва</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52934EF1"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78484F09" w14:textId="77777777" w:rsidR="007D67A1" w:rsidRPr="00DA6984" w:rsidRDefault="007D67A1"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w:t>
            </w:r>
          </w:p>
        </w:tc>
      </w:tr>
    </w:tbl>
    <w:p w14:paraId="1F29C6D9" w14:textId="77777777" w:rsidR="00837926" w:rsidRPr="00DA6984" w:rsidRDefault="00837926" w:rsidP="00EC6E53">
      <w:pPr>
        <w:spacing w:after="0" w:line="240" w:lineRule="auto"/>
        <w:ind w:firstLine="567"/>
        <w:jc w:val="both"/>
        <w:rPr>
          <w:rFonts w:ascii="Times New Roman" w:hAnsi="Times New Roman" w:cs="Times New Roman"/>
          <w:sz w:val="28"/>
          <w:szCs w:val="28"/>
          <w:lang w:val="uk-UA"/>
        </w:rPr>
      </w:pPr>
    </w:p>
    <w:p w14:paraId="6E07C303" w14:textId="3D0C6274" w:rsidR="00A32413" w:rsidRPr="00DA6984" w:rsidRDefault="00A32413" w:rsidP="00EC6E53">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Врегулювання зазначеного питання не може бути здійснено за допомогою:</w:t>
      </w:r>
    </w:p>
    <w:p w14:paraId="3AD13B75" w14:textId="77777777" w:rsidR="00A32413" w:rsidRPr="00DA6984" w:rsidRDefault="00A32413" w:rsidP="00A32413">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lastRenderedPageBreak/>
        <w:t>ринкових механізмів, оскільки такі питання регулюються виключно нормативно-правовими актами;</w:t>
      </w:r>
    </w:p>
    <w:p w14:paraId="643DAECC" w14:textId="3733B41B" w:rsidR="00F32431" w:rsidRPr="00DA6984" w:rsidRDefault="00A32413" w:rsidP="00F32431">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діючих регуляторних актів, оскільки </w:t>
      </w:r>
      <w:r w:rsidR="006C0E28" w:rsidRPr="00DA6984">
        <w:rPr>
          <w:rFonts w:ascii="Times New Roman" w:hAnsi="Times New Roman" w:cs="Times New Roman"/>
          <w:sz w:val="28"/>
          <w:szCs w:val="28"/>
          <w:lang w:val="uk-UA"/>
        </w:rPr>
        <w:t>таких</w:t>
      </w:r>
      <w:r w:rsidR="00256D32" w:rsidRPr="00DA6984">
        <w:rPr>
          <w:rFonts w:ascii="Times New Roman" w:hAnsi="Times New Roman" w:cs="Times New Roman"/>
          <w:sz w:val="28"/>
          <w:szCs w:val="28"/>
          <w:lang w:val="uk-UA"/>
        </w:rPr>
        <w:t xml:space="preserve"> </w:t>
      </w:r>
      <w:r w:rsidR="00CD01BF" w:rsidRPr="00DA6984">
        <w:rPr>
          <w:rFonts w:ascii="Times New Roman" w:hAnsi="Times New Roman" w:cs="Times New Roman"/>
          <w:sz w:val="28"/>
          <w:szCs w:val="28"/>
          <w:lang w:val="uk-UA"/>
        </w:rPr>
        <w:t xml:space="preserve">у даній сфері </w:t>
      </w:r>
      <w:r w:rsidR="006C0E28" w:rsidRPr="00DA6984">
        <w:rPr>
          <w:rFonts w:ascii="Times New Roman" w:hAnsi="Times New Roman" w:cs="Times New Roman"/>
          <w:sz w:val="28"/>
          <w:szCs w:val="28"/>
          <w:lang w:val="uk-UA"/>
        </w:rPr>
        <w:t>немає</w:t>
      </w:r>
      <w:r w:rsidR="00256D32" w:rsidRPr="00DA6984">
        <w:rPr>
          <w:rFonts w:ascii="Times New Roman" w:hAnsi="Times New Roman" w:cs="Times New Roman"/>
          <w:sz w:val="28"/>
          <w:szCs w:val="28"/>
          <w:lang w:val="uk-UA"/>
        </w:rPr>
        <w:t>.</w:t>
      </w:r>
    </w:p>
    <w:p w14:paraId="55914933" w14:textId="77777777" w:rsidR="00F32431" w:rsidRPr="00DA6984" w:rsidRDefault="00F32431" w:rsidP="00F32431">
      <w:pPr>
        <w:spacing w:after="0" w:line="240" w:lineRule="auto"/>
        <w:ind w:firstLine="567"/>
        <w:jc w:val="both"/>
        <w:rPr>
          <w:rFonts w:ascii="Times New Roman" w:hAnsi="Times New Roman" w:cs="Times New Roman"/>
          <w:sz w:val="28"/>
          <w:szCs w:val="28"/>
          <w:lang w:val="uk-UA"/>
        </w:rPr>
      </w:pPr>
    </w:p>
    <w:p w14:paraId="1F5FA8CF" w14:textId="3C426581" w:rsidR="00816F85" w:rsidRPr="00DA6984" w:rsidRDefault="00816F85" w:rsidP="00816F85">
      <w:pPr>
        <w:spacing w:after="0" w:line="240" w:lineRule="auto"/>
        <w:ind w:firstLine="567"/>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II. Цілі державного регулювання</w:t>
      </w:r>
    </w:p>
    <w:p w14:paraId="33F2F1B0" w14:textId="3A9C164D" w:rsidR="000B429C" w:rsidRPr="00DA6984" w:rsidRDefault="000B429C" w:rsidP="001B5B36">
      <w:pPr>
        <w:spacing w:after="0" w:line="240" w:lineRule="auto"/>
        <w:jc w:val="both"/>
        <w:rPr>
          <w:rFonts w:ascii="Times New Roman" w:hAnsi="Times New Roman" w:cs="Times New Roman"/>
          <w:sz w:val="28"/>
          <w:szCs w:val="28"/>
          <w:lang w:val="uk-UA"/>
        </w:rPr>
      </w:pPr>
    </w:p>
    <w:p w14:paraId="2488D6DB" w14:textId="002C4118" w:rsidR="00435B01" w:rsidRPr="00DA6984" w:rsidRDefault="00435B01" w:rsidP="005E6AF1">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Ціллю державного регулювання є</w:t>
      </w:r>
      <w:r w:rsidR="005E6AF1" w:rsidRPr="00DA6984">
        <w:rPr>
          <w:rFonts w:ascii="Times New Roman" w:hAnsi="Times New Roman" w:cs="Times New Roman"/>
          <w:sz w:val="28"/>
          <w:szCs w:val="28"/>
          <w:lang w:val="uk-UA"/>
        </w:rPr>
        <w:t xml:space="preserve"> </w:t>
      </w:r>
      <w:r w:rsidRPr="00DA6984">
        <w:rPr>
          <w:rFonts w:ascii="Times New Roman" w:hAnsi="Times New Roman" w:cs="Times New Roman"/>
          <w:sz w:val="28"/>
          <w:szCs w:val="28"/>
          <w:lang w:val="uk-UA"/>
        </w:rPr>
        <w:t xml:space="preserve">встановлення єдиних вимог для складання звіту про платежі на користь держави підприємствами, що здійснюють заготівлю деревини і при цьому становлять суспільний інтерес, що сприятиме </w:t>
      </w:r>
      <w:r w:rsidR="00762212" w:rsidRPr="00DA6984">
        <w:rPr>
          <w:rFonts w:ascii="Times New Roman" w:hAnsi="Times New Roman" w:cs="Times New Roman"/>
          <w:sz w:val="28"/>
          <w:szCs w:val="28"/>
          <w:lang w:val="uk-UA"/>
        </w:rPr>
        <w:t>створенню належних умов звітув</w:t>
      </w:r>
      <w:r w:rsidRPr="00DA6984">
        <w:rPr>
          <w:rFonts w:ascii="Times New Roman" w:hAnsi="Times New Roman" w:cs="Times New Roman"/>
          <w:sz w:val="28"/>
          <w:szCs w:val="28"/>
          <w:lang w:val="uk-UA"/>
        </w:rPr>
        <w:t>ання для суб</w:t>
      </w:r>
      <w:r w:rsidR="005E6AF1" w:rsidRPr="00DA6984">
        <w:rPr>
          <w:rFonts w:ascii="Times New Roman" w:hAnsi="Times New Roman" w:cs="Times New Roman"/>
          <w:sz w:val="28"/>
          <w:szCs w:val="28"/>
          <w:lang w:val="uk-UA"/>
        </w:rPr>
        <w:t>’</w:t>
      </w:r>
      <w:r w:rsidRPr="00DA6984">
        <w:rPr>
          <w:rFonts w:ascii="Times New Roman" w:hAnsi="Times New Roman" w:cs="Times New Roman"/>
          <w:sz w:val="28"/>
          <w:szCs w:val="28"/>
          <w:lang w:val="uk-UA"/>
        </w:rPr>
        <w:t>єктів господарювання.</w:t>
      </w:r>
    </w:p>
    <w:p w14:paraId="2AE071F7" w14:textId="5D972E12" w:rsidR="001B5B36" w:rsidRPr="00DA6984" w:rsidRDefault="001B5B36" w:rsidP="001F2AA6">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Цей </w:t>
      </w:r>
      <w:r w:rsidR="00E958A0" w:rsidRPr="00DA6984">
        <w:rPr>
          <w:rFonts w:ascii="Times New Roman" w:hAnsi="Times New Roman" w:cs="Times New Roman"/>
          <w:sz w:val="28"/>
          <w:szCs w:val="28"/>
          <w:lang w:val="uk-UA"/>
        </w:rPr>
        <w:t>проє</w:t>
      </w:r>
      <w:r w:rsidRPr="00DA6984">
        <w:rPr>
          <w:rFonts w:ascii="Times New Roman" w:hAnsi="Times New Roman" w:cs="Times New Roman"/>
          <w:sz w:val="28"/>
          <w:szCs w:val="28"/>
          <w:lang w:val="uk-UA"/>
        </w:rPr>
        <w:t>кт регуляторного акта має сприяти розв</w:t>
      </w:r>
      <w:r w:rsidRPr="00DA6984">
        <w:rPr>
          <w:rFonts w:ascii="Times New Roman" w:hAnsi="Times New Roman" w:cs="Times New Roman"/>
          <w:sz w:val="28"/>
          <w:szCs w:val="28"/>
        </w:rPr>
        <w:t>’</w:t>
      </w:r>
      <w:r w:rsidRPr="00DA6984">
        <w:rPr>
          <w:rFonts w:ascii="Times New Roman" w:hAnsi="Times New Roman" w:cs="Times New Roman"/>
          <w:sz w:val="28"/>
          <w:szCs w:val="28"/>
          <w:lang w:val="uk-UA"/>
        </w:rPr>
        <w:t>язанню проблеми, зазначеної у розділі І АРВ.</w:t>
      </w:r>
    </w:p>
    <w:p w14:paraId="0F667EB3" w14:textId="6906F98D" w:rsidR="00F32431" w:rsidRPr="00DA6984" w:rsidRDefault="00F32431" w:rsidP="00F32431">
      <w:pPr>
        <w:spacing w:after="0" w:line="240" w:lineRule="auto"/>
        <w:rPr>
          <w:rFonts w:ascii="Times New Roman" w:hAnsi="Times New Roman" w:cs="Times New Roman"/>
          <w:b/>
          <w:sz w:val="28"/>
          <w:szCs w:val="28"/>
          <w:lang w:val="uk-UA"/>
        </w:rPr>
      </w:pPr>
    </w:p>
    <w:p w14:paraId="746C365D" w14:textId="3D3BCF02" w:rsidR="00FB7344" w:rsidRPr="00DA6984" w:rsidRDefault="00FB7344" w:rsidP="000B429C">
      <w:pPr>
        <w:spacing w:after="0" w:line="240" w:lineRule="auto"/>
        <w:ind w:firstLine="567"/>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III. Визначення та оцінка альтернативних способів досягнення цілей</w:t>
      </w:r>
    </w:p>
    <w:p w14:paraId="3C7E00B6" w14:textId="77777777" w:rsidR="000B429C" w:rsidRPr="00DA6984" w:rsidRDefault="000B429C" w:rsidP="00FB7344">
      <w:pPr>
        <w:spacing w:after="0" w:line="240" w:lineRule="auto"/>
        <w:ind w:firstLine="567"/>
        <w:jc w:val="center"/>
        <w:rPr>
          <w:rFonts w:ascii="Times New Roman" w:hAnsi="Times New Roman" w:cs="Times New Roman"/>
          <w:b/>
          <w:sz w:val="28"/>
          <w:szCs w:val="28"/>
          <w:lang w:val="uk-UA"/>
        </w:rPr>
      </w:pPr>
    </w:p>
    <w:p w14:paraId="766E8B49" w14:textId="77777777" w:rsidR="00FB7344" w:rsidRPr="00DA6984" w:rsidRDefault="00FB7344" w:rsidP="00747CFE">
      <w:pPr>
        <w:spacing w:after="0" w:line="240" w:lineRule="auto"/>
        <w:ind w:firstLine="567"/>
        <w:rPr>
          <w:rFonts w:ascii="Times New Roman" w:hAnsi="Times New Roman" w:cs="Times New Roman"/>
          <w:sz w:val="28"/>
          <w:szCs w:val="28"/>
          <w:lang w:val="uk-UA"/>
        </w:rPr>
      </w:pPr>
      <w:r w:rsidRPr="00DA6984">
        <w:rPr>
          <w:rFonts w:ascii="Times New Roman" w:hAnsi="Times New Roman" w:cs="Times New Roman"/>
          <w:sz w:val="28"/>
          <w:szCs w:val="28"/>
          <w:lang w:val="uk-UA"/>
        </w:rPr>
        <w:t>1. Альтернативні способи досягнення цілей державного регулювання:</w:t>
      </w:r>
    </w:p>
    <w:p w14:paraId="09E27951" w14:textId="77777777" w:rsidR="00FB7344" w:rsidRPr="00DA6984" w:rsidRDefault="00FB7344" w:rsidP="00FB7344">
      <w:pPr>
        <w:spacing w:after="0" w:line="240" w:lineRule="auto"/>
        <w:ind w:firstLine="567"/>
        <w:jc w:val="both"/>
        <w:rPr>
          <w:rFonts w:ascii="Times New Roman" w:hAnsi="Times New Roman" w:cs="Times New Roman"/>
          <w:sz w:val="28"/>
          <w:szCs w:val="28"/>
          <w:lang w:val="uk-UA"/>
        </w:rPr>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20"/>
        <w:gridCol w:w="7502"/>
      </w:tblGrid>
      <w:tr w:rsidR="00DA6984" w:rsidRPr="00DA6984" w14:paraId="44CB760F" w14:textId="77777777" w:rsidTr="00F32431">
        <w:trPr>
          <w:trHeight w:val="724"/>
          <w:tblCellSpacing w:w="22" w:type="dxa"/>
          <w:jc w:val="center"/>
        </w:trPr>
        <w:tc>
          <w:tcPr>
            <w:tcW w:w="1067" w:type="pct"/>
            <w:tcBorders>
              <w:top w:val="outset" w:sz="6" w:space="0" w:color="auto"/>
              <w:left w:val="outset" w:sz="6" w:space="0" w:color="auto"/>
              <w:bottom w:val="outset" w:sz="6" w:space="0" w:color="auto"/>
              <w:right w:val="outset" w:sz="6" w:space="0" w:color="auto"/>
            </w:tcBorders>
            <w:shd w:val="clear" w:color="auto" w:fill="auto"/>
            <w:vAlign w:val="center"/>
          </w:tcPr>
          <w:p w14:paraId="5054CD66" w14:textId="77777777" w:rsidR="00FB7344" w:rsidRPr="00DA6984" w:rsidRDefault="00FB7344"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Вид альтернативи</w:t>
            </w:r>
          </w:p>
        </w:tc>
        <w:tc>
          <w:tcPr>
            <w:tcW w:w="3864" w:type="pct"/>
            <w:tcBorders>
              <w:top w:val="outset" w:sz="6" w:space="0" w:color="auto"/>
              <w:left w:val="outset" w:sz="6" w:space="0" w:color="auto"/>
              <w:bottom w:val="outset" w:sz="6" w:space="0" w:color="auto"/>
              <w:right w:val="outset" w:sz="6" w:space="0" w:color="auto"/>
            </w:tcBorders>
            <w:shd w:val="clear" w:color="auto" w:fill="auto"/>
            <w:vAlign w:val="center"/>
          </w:tcPr>
          <w:p w14:paraId="6058AC00" w14:textId="77777777" w:rsidR="00FB7344" w:rsidRPr="00DA6984" w:rsidRDefault="00FB7344" w:rsidP="002400E3">
            <w:pPr>
              <w:widowControl w:val="0"/>
              <w:contextualSpacing/>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Опис альтернативи</w:t>
            </w:r>
          </w:p>
        </w:tc>
      </w:tr>
      <w:tr w:rsidR="00DA6984" w:rsidRPr="00B263D4" w14:paraId="0A68A50C" w14:textId="77777777" w:rsidTr="00F32431">
        <w:trPr>
          <w:trHeight w:val="3930"/>
          <w:tblCellSpacing w:w="22" w:type="dxa"/>
          <w:jc w:val="center"/>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0BCF53C4" w14:textId="7AC03EAA" w:rsidR="00FB7344" w:rsidRPr="00DA6984" w:rsidRDefault="00FB7344" w:rsidP="002400E3">
            <w:pPr>
              <w:widowControl w:val="0"/>
              <w:contextualSpacing/>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Альтернатива 1</w:t>
            </w:r>
            <w:r w:rsidR="00E958A0" w:rsidRPr="00DA6984">
              <w:rPr>
                <w:rFonts w:ascii="Times New Roman" w:hAnsi="Times New Roman" w:cs="Times New Roman"/>
                <w:sz w:val="24"/>
                <w:szCs w:val="24"/>
                <w:lang w:val="uk-UA"/>
              </w:rPr>
              <w:t>:</w:t>
            </w:r>
          </w:p>
          <w:p w14:paraId="4C7CF32B" w14:textId="3C30FE89" w:rsidR="00E958A0" w:rsidRPr="00DA6984" w:rsidRDefault="00E958A0" w:rsidP="002400E3">
            <w:pPr>
              <w:widowControl w:val="0"/>
              <w:contextualSpacing/>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Залишити без змін</w:t>
            </w:r>
          </w:p>
        </w:tc>
        <w:tc>
          <w:tcPr>
            <w:tcW w:w="3864" w:type="pct"/>
            <w:tcBorders>
              <w:top w:val="outset" w:sz="6" w:space="0" w:color="auto"/>
              <w:left w:val="outset" w:sz="6" w:space="0" w:color="auto"/>
              <w:bottom w:val="outset" w:sz="6" w:space="0" w:color="auto"/>
              <w:right w:val="outset" w:sz="6" w:space="0" w:color="auto"/>
            </w:tcBorders>
            <w:shd w:val="clear" w:color="auto" w:fill="auto"/>
          </w:tcPr>
          <w:p w14:paraId="679997FD" w14:textId="21C6418E" w:rsidR="00FB7344" w:rsidRPr="00DA6984" w:rsidRDefault="00E958A0" w:rsidP="00B263D4">
            <w:pPr>
              <w:widowControl w:val="0"/>
              <w:contextualSpacing/>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Залишення ситуації без змін характеризується збереженням діючого нормативно-правового механізму, що є неприйнятним, оскільки</w:t>
            </w:r>
            <w:r w:rsidR="002B4EF8" w:rsidRPr="00DA6984">
              <w:rPr>
                <w:rFonts w:ascii="Times New Roman" w:hAnsi="Times New Roman" w:cs="Times New Roman"/>
                <w:sz w:val="24"/>
                <w:szCs w:val="24"/>
                <w:lang w:val="uk-UA"/>
              </w:rPr>
              <w:t xml:space="preserve"> відсутність форми звіту про платежі на користь держави суперечитиме Закону, </w:t>
            </w:r>
            <w:r w:rsidR="00B263D4">
              <w:rPr>
                <w:rFonts w:ascii="Times New Roman" w:hAnsi="Times New Roman" w:cs="Times New Roman"/>
                <w:sz w:val="24"/>
                <w:szCs w:val="24"/>
                <w:lang w:val="uk-UA"/>
              </w:rPr>
              <w:t xml:space="preserve">не будуть створені умови </w:t>
            </w:r>
            <w:r w:rsidR="00CC1720" w:rsidRPr="00DA6984">
              <w:rPr>
                <w:rFonts w:ascii="Times New Roman" w:hAnsi="Times New Roman" w:cs="Times New Roman"/>
                <w:sz w:val="24"/>
                <w:szCs w:val="24"/>
                <w:lang w:val="uk-UA"/>
              </w:rPr>
              <w:t xml:space="preserve">для складання та подання цього звіту </w:t>
            </w:r>
            <w:r w:rsidR="002B4EF8" w:rsidRPr="00DA6984">
              <w:rPr>
                <w:rFonts w:ascii="Times New Roman" w:hAnsi="Times New Roman" w:cs="Times New Roman"/>
                <w:sz w:val="24"/>
                <w:szCs w:val="24"/>
                <w:lang w:val="uk-UA"/>
              </w:rPr>
              <w:t>підприємствами, що здійснюють заготівлю деревини і при цьом</w:t>
            </w:r>
            <w:r w:rsidR="00EC6E53" w:rsidRPr="00DA6984">
              <w:rPr>
                <w:rFonts w:ascii="Times New Roman" w:hAnsi="Times New Roman" w:cs="Times New Roman"/>
                <w:sz w:val="24"/>
                <w:szCs w:val="24"/>
                <w:lang w:val="uk-UA"/>
              </w:rPr>
              <w:t>у</w:t>
            </w:r>
            <w:r w:rsidR="00CC1720" w:rsidRPr="00DA6984">
              <w:rPr>
                <w:rFonts w:ascii="Times New Roman" w:hAnsi="Times New Roman" w:cs="Times New Roman"/>
                <w:sz w:val="24"/>
                <w:szCs w:val="24"/>
                <w:lang w:val="uk-UA"/>
              </w:rPr>
              <w:t xml:space="preserve"> становлять суспільний інтерес</w:t>
            </w:r>
            <w:r w:rsidR="00EC6E53" w:rsidRPr="00DA6984">
              <w:rPr>
                <w:rFonts w:ascii="Times New Roman" w:hAnsi="Times New Roman" w:cs="Times New Roman"/>
                <w:sz w:val="24"/>
                <w:szCs w:val="24"/>
                <w:lang w:val="uk-UA"/>
              </w:rPr>
              <w:t>, зумовить невиконання Плану заходів</w:t>
            </w:r>
            <w:r w:rsidR="00426CE3" w:rsidRPr="00DA6984">
              <w:rPr>
                <w:rFonts w:ascii="Times New Roman" w:hAnsi="Times New Roman" w:cs="Times New Roman"/>
                <w:sz w:val="24"/>
                <w:szCs w:val="24"/>
                <w:lang w:val="uk-UA"/>
              </w:rPr>
              <w:t xml:space="preserve">, </w:t>
            </w:r>
            <w:r w:rsidR="004502A9" w:rsidRPr="00DA6984">
              <w:rPr>
                <w:rFonts w:ascii="Times New Roman" w:hAnsi="Times New Roman" w:cs="Times New Roman"/>
                <w:sz w:val="24"/>
                <w:szCs w:val="24"/>
                <w:lang w:val="uk-UA"/>
              </w:rPr>
              <w:t xml:space="preserve">залишить рівень </w:t>
            </w:r>
            <w:r w:rsidR="00426CE3" w:rsidRPr="00DA6984">
              <w:rPr>
                <w:rFonts w:ascii="Times New Roman" w:hAnsi="Times New Roman" w:cs="Times New Roman"/>
                <w:sz w:val="24"/>
                <w:szCs w:val="24"/>
                <w:lang w:val="uk-UA"/>
              </w:rPr>
              <w:t xml:space="preserve">прозорості інформації про </w:t>
            </w:r>
            <w:r w:rsidR="00936878" w:rsidRPr="00DA6984">
              <w:rPr>
                <w:rFonts w:ascii="Times New Roman" w:hAnsi="Times New Roman" w:cs="Times New Roman"/>
                <w:sz w:val="24"/>
                <w:szCs w:val="24"/>
                <w:lang w:val="uk-UA"/>
              </w:rPr>
              <w:t>платежі на користь держави, пов’язані з</w:t>
            </w:r>
            <w:r w:rsidR="00426CE3" w:rsidRPr="00DA6984">
              <w:rPr>
                <w:rFonts w:ascii="Times New Roman" w:hAnsi="Times New Roman" w:cs="Times New Roman"/>
                <w:sz w:val="24"/>
                <w:szCs w:val="24"/>
                <w:lang w:val="uk-UA"/>
              </w:rPr>
              <w:t xml:space="preserve"> використання</w:t>
            </w:r>
            <w:r w:rsidR="00936878" w:rsidRPr="00DA6984">
              <w:rPr>
                <w:rFonts w:ascii="Times New Roman" w:hAnsi="Times New Roman" w:cs="Times New Roman"/>
                <w:sz w:val="24"/>
                <w:szCs w:val="24"/>
                <w:lang w:val="uk-UA"/>
              </w:rPr>
              <w:t>м</w:t>
            </w:r>
            <w:r w:rsidR="00426CE3" w:rsidRPr="00DA6984">
              <w:rPr>
                <w:rFonts w:ascii="Times New Roman" w:hAnsi="Times New Roman" w:cs="Times New Roman"/>
                <w:sz w:val="24"/>
                <w:szCs w:val="24"/>
                <w:lang w:val="uk-UA"/>
              </w:rPr>
              <w:t xml:space="preserve"> лісових ресурсів держави</w:t>
            </w:r>
            <w:r w:rsidR="00D64302" w:rsidRPr="00DA6984">
              <w:rPr>
                <w:rFonts w:ascii="Times New Roman" w:hAnsi="Times New Roman" w:cs="Times New Roman"/>
                <w:sz w:val="24"/>
                <w:szCs w:val="24"/>
                <w:lang w:val="uk-UA"/>
              </w:rPr>
              <w:t>,</w:t>
            </w:r>
            <w:r w:rsidR="004502A9" w:rsidRPr="00DA6984">
              <w:rPr>
                <w:rFonts w:ascii="Times New Roman" w:hAnsi="Times New Roman" w:cs="Times New Roman"/>
                <w:sz w:val="24"/>
                <w:szCs w:val="24"/>
                <w:lang w:val="uk-UA"/>
              </w:rPr>
              <w:t xml:space="preserve"> на неймовірно низькому рівні</w:t>
            </w:r>
            <w:r w:rsidR="00426CE3" w:rsidRPr="00DA6984">
              <w:rPr>
                <w:rFonts w:ascii="Times New Roman" w:hAnsi="Times New Roman" w:cs="Times New Roman"/>
                <w:sz w:val="28"/>
                <w:szCs w:val="28"/>
                <w:lang w:val="uk-UA"/>
              </w:rPr>
              <w:t>,</w:t>
            </w:r>
            <w:r w:rsidR="004502A9" w:rsidRPr="00DA6984">
              <w:rPr>
                <w:rFonts w:ascii="Times New Roman" w:hAnsi="Times New Roman" w:cs="Times New Roman"/>
                <w:sz w:val="28"/>
                <w:szCs w:val="28"/>
                <w:lang w:val="uk-UA"/>
              </w:rPr>
              <w:t xml:space="preserve"> </w:t>
            </w:r>
            <w:r w:rsidR="000F658E" w:rsidRPr="00DA6984">
              <w:rPr>
                <w:rFonts w:ascii="Times New Roman" w:hAnsi="Times New Roman" w:cs="Times New Roman"/>
                <w:sz w:val="24"/>
                <w:szCs w:val="24"/>
                <w:lang w:val="uk-UA"/>
              </w:rPr>
              <w:t>унеможливить вільний доступ</w:t>
            </w:r>
            <w:r w:rsidR="00426CE3" w:rsidRPr="00DA6984">
              <w:rPr>
                <w:rFonts w:ascii="Times New Roman" w:hAnsi="Times New Roman" w:cs="Times New Roman"/>
                <w:sz w:val="24"/>
                <w:szCs w:val="24"/>
                <w:lang w:val="uk-UA"/>
              </w:rPr>
              <w:t xml:space="preserve"> користувачів до інформації про нараховані та сплачені платежі на користь держави</w:t>
            </w:r>
            <w:r w:rsidR="004502A9" w:rsidRPr="00DA6984">
              <w:rPr>
                <w:rFonts w:ascii="Times New Roman" w:hAnsi="Times New Roman" w:cs="Times New Roman"/>
                <w:sz w:val="24"/>
                <w:szCs w:val="24"/>
                <w:lang w:val="uk-UA"/>
              </w:rPr>
              <w:t>.</w:t>
            </w:r>
          </w:p>
        </w:tc>
      </w:tr>
      <w:tr w:rsidR="00FB7344" w:rsidRPr="00DA6984" w14:paraId="3388A675" w14:textId="77777777" w:rsidTr="00F32431">
        <w:trPr>
          <w:trHeight w:val="1706"/>
          <w:tblCellSpacing w:w="22" w:type="dxa"/>
          <w:jc w:val="center"/>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224E9C87" w14:textId="77777777" w:rsidR="00FB7344" w:rsidRPr="00DA6984" w:rsidRDefault="00FB7344" w:rsidP="002400E3">
            <w:pPr>
              <w:widowControl w:val="0"/>
              <w:contextualSpacing/>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Альтернатива 2</w:t>
            </w:r>
            <w:r w:rsidR="00E958A0" w:rsidRPr="00DA6984">
              <w:rPr>
                <w:rFonts w:ascii="Times New Roman" w:hAnsi="Times New Roman" w:cs="Times New Roman"/>
                <w:sz w:val="24"/>
                <w:szCs w:val="24"/>
                <w:lang w:val="uk-UA"/>
              </w:rPr>
              <w:t>:</w:t>
            </w:r>
          </w:p>
          <w:p w14:paraId="6B90728E" w14:textId="675C5BC4" w:rsidR="00E958A0" w:rsidRPr="00DA6984" w:rsidRDefault="00E958A0" w:rsidP="00E958A0">
            <w:pPr>
              <w:widowControl w:val="0"/>
              <w:contextualSpacing/>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Затвердження запропонованого проєкту наказу</w:t>
            </w:r>
          </w:p>
        </w:tc>
        <w:tc>
          <w:tcPr>
            <w:tcW w:w="3864" w:type="pct"/>
            <w:tcBorders>
              <w:top w:val="outset" w:sz="6" w:space="0" w:color="auto"/>
              <w:left w:val="outset" w:sz="6" w:space="0" w:color="auto"/>
              <w:bottom w:val="outset" w:sz="6" w:space="0" w:color="auto"/>
              <w:right w:val="outset" w:sz="6" w:space="0" w:color="auto"/>
            </w:tcBorders>
            <w:shd w:val="clear" w:color="auto" w:fill="auto"/>
          </w:tcPr>
          <w:p w14:paraId="1F87B071" w14:textId="05B6C926" w:rsidR="00FB7344" w:rsidRPr="00DA6984" w:rsidRDefault="00EC6E53" w:rsidP="00EC6E53">
            <w:pPr>
              <w:widowControl w:val="0"/>
              <w:contextualSpacing/>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Затвердження проєкту наказу забезпечить досягнення встановлених цілей, визначених розділом ІІ АРВ.</w:t>
            </w:r>
          </w:p>
        </w:tc>
      </w:tr>
    </w:tbl>
    <w:p w14:paraId="54783F82" w14:textId="6013E666" w:rsidR="00837926" w:rsidRPr="00DA6984" w:rsidRDefault="00837926" w:rsidP="00F32431">
      <w:pPr>
        <w:spacing w:after="0" w:line="240" w:lineRule="auto"/>
        <w:rPr>
          <w:rFonts w:ascii="Times New Roman" w:eastAsia="Times New Roman" w:hAnsi="Times New Roman" w:cs="Times New Roman"/>
          <w:sz w:val="28"/>
          <w:szCs w:val="28"/>
          <w:lang w:val="uk-UA" w:eastAsia="ru-RU"/>
        </w:rPr>
      </w:pPr>
    </w:p>
    <w:p w14:paraId="144E74F0" w14:textId="77777777" w:rsidR="00F32431" w:rsidRPr="00DA6984" w:rsidRDefault="00F32431" w:rsidP="00F32431">
      <w:pPr>
        <w:spacing w:after="0" w:line="240" w:lineRule="auto"/>
        <w:rPr>
          <w:rFonts w:ascii="Times New Roman" w:eastAsia="Times New Roman" w:hAnsi="Times New Roman" w:cs="Times New Roman"/>
          <w:sz w:val="28"/>
          <w:szCs w:val="28"/>
          <w:lang w:val="uk-UA" w:eastAsia="ru-RU"/>
        </w:rPr>
      </w:pPr>
    </w:p>
    <w:p w14:paraId="10E1E62D" w14:textId="7E496D1C" w:rsidR="00747CFE" w:rsidRPr="00DA6984" w:rsidRDefault="00747CFE" w:rsidP="00F32431">
      <w:pPr>
        <w:spacing w:after="0" w:line="240" w:lineRule="auto"/>
        <w:ind w:firstLine="567"/>
        <w:rPr>
          <w:rFonts w:ascii="Times New Roman" w:eastAsia="Times New Roman" w:hAnsi="Times New Roman" w:cs="Times New Roman"/>
          <w:sz w:val="28"/>
          <w:szCs w:val="28"/>
          <w:lang w:val="uk-UA" w:eastAsia="ru-RU"/>
        </w:rPr>
      </w:pPr>
      <w:r w:rsidRPr="00DA6984">
        <w:rPr>
          <w:rFonts w:ascii="Times New Roman" w:eastAsia="Times New Roman" w:hAnsi="Times New Roman" w:cs="Times New Roman"/>
          <w:sz w:val="28"/>
          <w:szCs w:val="28"/>
          <w:lang w:val="uk-UA" w:eastAsia="ru-RU"/>
        </w:rPr>
        <w:t>2. Оцінка вибраних альтернативних способів досягнення цілей</w:t>
      </w:r>
    </w:p>
    <w:p w14:paraId="61EBC394" w14:textId="77777777" w:rsidR="00F32431" w:rsidRPr="00DA6984" w:rsidRDefault="00F32431" w:rsidP="00F32431">
      <w:pPr>
        <w:spacing w:after="0" w:line="240" w:lineRule="auto"/>
        <w:ind w:firstLine="567"/>
        <w:rPr>
          <w:rFonts w:ascii="Times New Roman" w:eastAsia="Times New Roman" w:hAnsi="Times New Roman" w:cs="Times New Roman"/>
          <w:sz w:val="28"/>
          <w:szCs w:val="28"/>
          <w:lang w:val="uk-UA" w:eastAsia="ru-RU"/>
        </w:rPr>
      </w:pPr>
    </w:p>
    <w:p w14:paraId="45480811" w14:textId="77777777" w:rsidR="00D64373" w:rsidRPr="00DA6984" w:rsidRDefault="00747CFE" w:rsidP="00D64373">
      <w:pPr>
        <w:spacing w:after="0" w:line="240" w:lineRule="auto"/>
        <w:jc w:val="center"/>
        <w:rPr>
          <w:rFonts w:ascii="Times New Roman" w:eastAsia="Times New Roman" w:hAnsi="Times New Roman" w:cs="Times New Roman"/>
          <w:sz w:val="28"/>
          <w:szCs w:val="28"/>
          <w:lang w:val="uk-UA" w:eastAsia="ru-RU"/>
        </w:rPr>
      </w:pPr>
      <w:r w:rsidRPr="00DA6984">
        <w:rPr>
          <w:rFonts w:ascii="Times New Roman" w:eastAsia="Times New Roman" w:hAnsi="Times New Roman" w:cs="Times New Roman"/>
          <w:sz w:val="28"/>
          <w:szCs w:val="28"/>
          <w:lang w:val="uk-UA" w:eastAsia="ru-RU"/>
        </w:rPr>
        <w:t>Оцінка впливу на сферу інтересів держави</w:t>
      </w:r>
    </w:p>
    <w:p w14:paraId="776A4518" w14:textId="77777777" w:rsidR="00D64373" w:rsidRPr="00DA6984" w:rsidRDefault="00D64373" w:rsidP="00D64373">
      <w:pPr>
        <w:spacing w:after="0" w:line="240" w:lineRule="auto"/>
        <w:jc w:val="center"/>
        <w:rPr>
          <w:rFonts w:ascii="Times New Roman" w:eastAsia="Times New Roman" w:hAnsi="Times New Roman" w:cs="Times New Roman"/>
          <w:sz w:val="28"/>
          <w:szCs w:val="28"/>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20"/>
        <w:gridCol w:w="3979"/>
        <w:gridCol w:w="3523"/>
      </w:tblGrid>
      <w:tr w:rsidR="00DA6984" w:rsidRPr="00DA6984" w14:paraId="5F83E8F1" w14:textId="77777777" w:rsidTr="002400E3">
        <w:trPr>
          <w:trHeight w:val="387"/>
          <w:tblCellSpacing w:w="22" w:type="dxa"/>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42E9B084" w14:textId="77777777" w:rsidR="00747CFE" w:rsidRPr="00DA6984" w:rsidRDefault="00747CFE" w:rsidP="00747CFE">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lastRenderedPageBreak/>
              <w:t>Вид альтернативи</w:t>
            </w:r>
          </w:p>
        </w:tc>
        <w:tc>
          <w:tcPr>
            <w:tcW w:w="2044" w:type="pct"/>
            <w:tcBorders>
              <w:top w:val="outset" w:sz="6" w:space="0" w:color="auto"/>
              <w:left w:val="outset" w:sz="6" w:space="0" w:color="auto"/>
              <w:bottom w:val="outset" w:sz="6" w:space="0" w:color="auto"/>
              <w:right w:val="outset" w:sz="6" w:space="0" w:color="auto"/>
            </w:tcBorders>
            <w:shd w:val="clear" w:color="auto" w:fill="auto"/>
          </w:tcPr>
          <w:p w14:paraId="1A25891A" w14:textId="77777777" w:rsidR="00747CFE" w:rsidRPr="00DA6984" w:rsidRDefault="00747CFE" w:rsidP="00747CFE">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Вигоди</w:t>
            </w:r>
          </w:p>
        </w:tc>
        <w:tc>
          <w:tcPr>
            <w:tcW w:w="1796" w:type="pct"/>
            <w:tcBorders>
              <w:top w:val="outset" w:sz="6" w:space="0" w:color="auto"/>
              <w:left w:val="outset" w:sz="6" w:space="0" w:color="auto"/>
              <w:bottom w:val="outset" w:sz="6" w:space="0" w:color="auto"/>
              <w:right w:val="outset" w:sz="6" w:space="0" w:color="auto"/>
            </w:tcBorders>
            <w:shd w:val="clear" w:color="auto" w:fill="auto"/>
          </w:tcPr>
          <w:p w14:paraId="2D09796C" w14:textId="77777777" w:rsidR="00747CFE" w:rsidRPr="00DA6984" w:rsidRDefault="00747CFE" w:rsidP="00747CFE">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Витрати</w:t>
            </w:r>
          </w:p>
        </w:tc>
      </w:tr>
      <w:tr w:rsidR="00DA6984" w:rsidRPr="00DA6984" w14:paraId="3EB0AF7C" w14:textId="77777777" w:rsidTr="007A7AE1">
        <w:trPr>
          <w:trHeight w:val="5062"/>
          <w:tblCellSpacing w:w="22" w:type="dxa"/>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78D2466B" w14:textId="77777777" w:rsidR="00747CFE" w:rsidRPr="00DA6984" w:rsidRDefault="00747CFE" w:rsidP="00747CFE">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Альтернатива 1</w:t>
            </w:r>
            <w:r w:rsidR="007A7AE1" w:rsidRPr="00DA6984">
              <w:rPr>
                <w:rFonts w:ascii="Times New Roman" w:hAnsi="Times New Roman" w:cs="Times New Roman"/>
                <w:sz w:val="24"/>
                <w:szCs w:val="24"/>
                <w:lang w:val="uk-UA"/>
              </w:rPr>
              <w:t>:</w:t>
            </w:r>
          </w:p>
          <w:p w14:paraId="628C550B" w14:textId="082CF4B0" w:rsidR="007A7AE1" w:rsidRPr="00DA6984" w:rsidRDefault="007A7AE1" w:rsidP="00747CFE">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Залишити без змін</w:t>
            </w:r>
          </w:p>
        </w:tc>
        <w:tc>
          <w:tcPr>
            <w:tcW w:w="2044" w:type="pct"/>
            <w:tcBorders>
              <w:top w:val="outset" w:sz="6" w:space="0" w:color="auto"/>
              <w:left w:val="outset" w:sz="6" w:space="0" w:color="auto"/>
              <w:bottom w:val="outset" w:sz="6" w:space="0" w:color="auto"/>
              <w:right w:val="outset" w:sz="6" w:space="0" w:color="auto"/>
            </w:tcBorders>
            <w:shd w:val="clear" w:color="auto" w:fill="auto"/>
          </w:tcPr>
          <w:p w14:paraId="6E78D931" w14:textId="2D312284" w:rsidR="007A7AE1" w:rsidRPr="00DA6984" w:rsidRDefault="007A7AE1" w:rsidP="002400E3">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Відсутні</w:t>
            </w:r>
          </w:p>
          <w:p w14:paraId="7C686D0D" w14:textId="35CF9699" w:rsidR="00747CFE" w:rsidRPr="00DA6984" w:rsidRDefault="00747CFE" w:rsidP="009F7338">
            <w:pPr>
              <w:spacing w:after="0" w:line="240" w:lineRule="auto"/>
              <w:jc w:val="both"/>
              <w:rPr>
                <w:rFonts w:ascii="Times New Roman" w:hAnsi="Times New Roman" w:cs="Times New Roman"/>
                <w:sz w:val="24"/>
                <w:szCs w:val="24"/>
                <w:lang w:val="uk-UA"/>
              </w:rPr>
            </w:pPr>
          </w:p>
        </w:tc>
        <w:tc>
          <w:tcPr>
            <w:tcW w:w="1796" w:type="pct"/>
            <w:tcBorders>
              <w:top w:val="outset" w:sz="6" w:space="0" w:color="auto"/>
              <w:left w:val="outset" w:sz="6" w:space="0" w:color="auto"/>
              <w:bottom w:val="outset" w:sz="6" w:space="0" w:color="auto"/>
              <w:right w:val="outset" w:sz="6" w:space="0" w:color="auto"/>
            </w:tcBorders>
            <w:shd w:val="clear" w:color="auto" w:fill="auto"/>
          </w:tcPr>
          <w:p w14:paraId="66473E3A" w14:textId="77777777" w:rsidR="007A7AE1" w:rsidRPr="00DA6984" w:rsidRDefault="007A7AE1" w:rsidP="007A7AE1">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Залишити нормативно-правову базу без змін є недоцільним, оскільки це призведе до: </w:t>
            </w:r>
          </w:p>
          <w:p w14:paraId="562B3792" w14:textId="77777777" w:rsidR="007A7AE1" w:rsidRPr="00DA6984" w:rsidRDefault="007A7AE1" w:rsidP="007A7AE1">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Відсутності єдиних вимог для складання звіту про платежі на користь держави підприємствами, що здійснюють заготівлю деревини і при цьому становлять суспільний інтерес;</w:t>
            </w:r>
          </w:p>
          <w:p w14:paraId="52FFC995" w14:textId="77777777" w:rsidR="007A7AE1" w:rsidRPr="00DA6984" w:rsidRDefault="007A7AE1" w:rsidP="007A7AE1">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підвищення недовіри іноземних інвесторів, що негативно вплине на обсяг іноземних інвестицій;</w:t>
            </w:r>
          </w:p>
          <w:p w14:paraId="559B9E70" w14:textId="77777777" w:rsidR="00426CE3" w:rsidRPr="00DA6984" w:rsidRDefault="007A7AE1" w:rsidP="007A7AE1">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не виконання Україною зобов’язань в частині імплементації положень Директиви 2013/34/ЄС</w:t>
            </w:r>
            <w:r w:rsidR="00426CE3" w:rsidRPr="00DA6984">
              <w:rPr>
                <w:rFonts w:ascii="Times New Roman" w:hAnsi="Times New Roman" w:cs="Times New Roman"/>
                <w:sz w:val="24"/>
                <w:szCs w:val="24"/>
                <w:lang w:val="uk-UA"/>
              </w:rPr>
              <w:t>;</w:t>
            </w:r>
          </w:p>
          <w:p w14:paraId="60CAA247" w14:textId="07C9047E" w:rsidR="00426CE3" w:rsidRPr="00DA6984" w:rsidRDefault="00936878" w:rsidP="007A7AE1">
            <w:pPr>
              <w:spacing w:after="0" w:line="240" w:lineRule="auto"/>
              <w:jc w:val="both"/>
              <w:rPr>
                <w:rFonts w:ascii="Times New Roman" w:hAnsi="Times New Roman" w:cs="Times New Roman"/>
                <w:sz w:val="28"/>
                <w:szCs w:val="28"/>
                <w:lang w:val="uk-UA"/>
              </w:rPr>
            </w:pPr>
            <w:r w:rsidRPr="00DA6984">
              <w:rPr>
                <w:rFonts w:ascii="Times New Roman" w:hAnsi="Times New Roman" w:cs="Times New Roman"/>
                <w:sz w:val="24"/>
                <w:szCs w:val="24"/>
                <w:lang w:val="uk-UA"/>
              </w:rPr>
              <w:t xml:space="preserve">неймовірно </w:t>
            </w:r>
            <w:r w:rsidR="00C92444" w:rsidRPr="00DA6984">
              <w:rPr>
                <w:rFonts w:ascii="Times New Roman" w:hAnsi="Times New Roman" w:cs="Times New Roman"/>
                <w:sz w:val="24"/>
                <w:szCs w:val="24"/>
                <w:lang w:val="uk-UA"/>
              </w:rPr>
              <w:t xml:space="preserve">низького рівня </w:t>
            </w:r>
            <w:r w:rsidR="00426CE3" w:rsidRPr="00DA6984">
              <w:rPr>
                <w:rFonts w:ascii="Times New Roman" w:hAnsi="Times New Roman" w:cs="Times New Roman"/>
                <w:sz w:val="24"/>
                <w:szCs w:val="24"/>
                <w:lang w:val="uk-UA"/>
              </w:rPr>
              <w:t xml:space="preserve">прозорості інформації про </w:t>
            </w:r>
            <w:r w:rsidR="00D64302" w:rsidRPr="00DA6984">
              <w:rPr>
                <w:rFonts w:ascii="Times New Roman" w:hAnsi="Times New Roman" w:cs="Times New Roman"/>
                <w:sz w:val="24"/>
                <w:szCs w:val="24"/>
                <w:lang w:val="uk-UA"/>
              </w:rPr>
              <w:t>платежі на користь держави, пов</w:t>
            </w:r>
            <w:r w:rsidR="00D64302" w:rsidRPr="00DA6984">
              <w:rPr>
                <w:rFonts w:ascii="Times New Roman" w:hAnsi="Times New Roman" w:cs="Times New Roman"/>
                <w:sz w:val="24"/>
                <w:szCs w:val="24"/>
              </w:rPr>
              <w:t>’</w:t>
            </w:r>
            <w:r w:rsidR="00D64302" w:rsidRPr="00DA6984">
              <w:rPr>
                <w:rFonts w:ascii="Times New Roman" w:hAnsi="Times New Roman" w:cs="Times New Roman"/>
                <w:sz w:val="24"/>
                <w:szCs w:val="24"/>
                <w:lang w:val="uk-UA"/>
              </w:rPr>
              <w:t>язані з</w:t>
            </w:r>
            <w:r w:rsidR="00426CE3" w:rsidRPr="00DA6984">
              <w:rPr>
                <w:rFonts w:ascii="Times New Roman" w:hAnsi="Times New Roman" w:cs="Times New Roman"/>
                <w:sz w:val="24"/>
                <w:szCs w:val="24"/>
                <w:lang w:val="uk-UA"/>
              </w:rPr>
              <w:t xml:space="preserve"> використання</w:t>
            </w:r>
            <w:r w:rsidR="00D64302" w:rsidRPr="00DA6984">
              <w:rPr>
                <w:rFonts w:ascii="Times New Roman" w:hAnsi="Times New Roman" w:cs="Times New Roman"/>
                <w:sz w:val="24"/>
                <w:szCs w:val="24"/>
                <w:lang w:val="uk-UA"/>
              </w:rPr>
              <w:t>м</w:t>
            </w:r>
            <w:r w:rsidR="00426CE3" w:rsidRPr="00DA6984">
              <w:rPr>
                <w:rFonts w:ascii="Times New Roman" w:hAnsi="Times New Roman" w:cs="Times New Roman"/>
                <w:sz w:val="24"/>
                <w:szCs w:val="24"/>
                <w:lang w:val="uk-UA"/>
              </w:rPr>
              <w:t xml:space="preserve"> лісових ресурсів держави</w:t>
            </w:r>
            <w:r w:rsidR="00426CE3" w:rsidRPr="00DA6984">
              <w:rPr>
                <w:rFonts w:ascii="Times New Roman" w:hAnsi="Times New Roman" w:cs="Times New Roman"/>
                <w:sz w:val="28"/>
                <w:szCs w:val="28"/>
                <w:lang w:val="uk-UA"/>
              </w:rPr>
              <w:t>;</w:t>
            </w:r>
          </w:p>
          <w:p w14:paraId="4D2C7C7D" w14:textId="45BE1623" w:rsidR="00747CFE" w:rsidRPr="00DA6984" w:rsidRDefault="00C92444" w:rsidP="00F1211E">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відсутності </w:t>
            </w:r>
            <w:r w:rsidR="00426CE3" w:rsidRPr="00DA6984">
              <w:rPr>
                <w:rFonts w:ascii="Times New Roman" w:hAnsi="Times New Roman" w:cs="Times New Roman"/>
                <w:sz w:val="24"/>
                <w:szCs w:val="24"/>
                <w:lang w:val="uk-UA"/>
              </w:rPr>
              <w:t>вільного доступу користувачів до інформації про нараховані та сплачені платежі на користь держави</w:t>
            </w:r>
            <w:r w:rsidR="0057690D" w:rsidRPr="00DA6984">
              <w:rPr>
                <w:rFonts w:ascii="Times New Roman" w:hAnsi="Times New Roman" w:cs="Times New Roman"/>
                <w:sz w:val="24"/>
                <w:szCs w:val="24"/>
                <w:lang w:val="uk-UA"/>
              </w:rPr>
              <w:t>.</w:t>
            </w:r>
          </w:p>
        </w:tc>
      </w:tr>
      <w:tr w:rsidR="002400E3" w:rsidRPr="00DA6984" w14:paraId="15D27F0C" w14:textId="77777777" w:rsidTr="007C5F23">
        <w:trPr>
          <w:trHeight w:val="813"/>
          <w:tblCellSpacing w:w="22" w:type="dxa"/>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58ADAAA6" w14:textId="7AB611A3" w:rsidR="00747CFE" w:rsidRPr="00DA6984" w:rsidRDefault="00747CFE" w:rsidP="00747CFE">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Альтернатива 2</w:t>
            </w:r>
            <w:r w:rsidR="007A7AE1" w:rsidRPr="00DA6984">
              <w:rPr>
                <w:rFonts w:ascii="Times New Roman" w:hAnsi="Times New Roman" w:cs="Times New Roman"/>
                <w:sz w:val="24"/>
                <w:szCs w:val="24"/>
                <w:lang w:val="uk-UA"/>
              </w:rPr>
              <w:t>:</w:t>
            </w:r>
          </w:p>
          <w:p w14:paraId="1B490D5A" w14:textId="1BCBF656" w:rsidR="007A7AE1" w:rsidRPr="00DA6984" w:rsidRDefault="007A7AE1" w:rsidP="00747CFE">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Затвердження запропонованого проєкту наказу</w:t>
            </w:r>
          </w:p>
        </w:tc>
        <w:tc>
          <w:tcPr>
            <w:tcW w:w="2044" w:type="pct"/>
            <w:tcBorders>
              <w:top w:val="outset" w:sz="6" w:space="0" w:color="auto"/>
              <w:left w:val="outset" w:sz="6" w:space="0" w:color="auto"/>
              <w:bottom w:val="outset" w:sz="6" w:space="0" w:color="auto"/>
              <w:right w:val="outset" w:sz="6" w:space="0" w:color="auto"/>
            </w:tcBorders>
            <w:shd w:val="clear" w:color="auto" w:fill="auto"/>
          </w:tcPr>
          <w:p w14:paraId="56CDF967" w14:textId="46C903D7" w:rsidR="007A7AE1" w:rsidRPr="00DA6984" w:rsidRDefault="007A7AE1" w:rsidP="007A7AE1">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Встановлення єдиних вимог для складання звіту про платежі на користь держави підприємствами, що здійснюють заготівлю деревини і при цьому становлять суспільний інтерес;</w:t>
            </w:r>
          </w:p>
          <w:p w14:paraId="36E5D2DD" w14:textId="13243593" w:rsidR="007A7AE1" w:rsidRPr="00DA6984" w:rsidRDefault="007A7AE1" w:rsidP="007A7AE1">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підвищенн</w:t>
            </w:r>
            <w:r w:rsidR="0057690D" w:rsidRPr="00DA6984">
              <w:rPr>
                <w:rFonts w:ascii="Times New Roman" w:hAnsi="Times New Roman" w:cs="Times New Roman"/>
                <w:sz w:val="24"/>
                <w:szCs w:val="24"/>
                <w:lang w:val="uk-UA"/>
              </w:rPr>
              <w:t>я рівня</w:t>
            </w:r>
            <w:r w:rsidRPr="00DA6984">
              <w:rPr>
                <w:rFonts w:ascii="Times New Roman" w:hAnsi="Times New Roman" w:cs="Times New Roman"/>
                <w:sz w:val="24"/>
                <w:szCs w:val="24"/>
                <w:lang w:val="uk-UA"/>
              </w:rPr>
              <w:t xml:space="preserve"> підзвітності підприємств, що здійснюють заготівлю деревини і при цьому становлять суспільний інтерес; </w:t>
            </w:r>
          </w:p>
          <w:p w14:paraId="6F2EF62A" w14:textId="73006953" w:rsidR="009F0F52" w:rsidRPr="00DA6984" w:rsidRDefault="009F0F52" w:rsidP="007A7AE1">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підвищенн</w:t>
            </w:r>
            <w:r w:rsidR="0057690D" w:rsidRPr="00DA6984">
              <w:rPr>
                <w:rFonts w:ascii="Times New Roman" w:hAnsi="Times New Roman" w:cs="Times New Roman"/>
                <w:sz w:val="24"/>
                <w:szCs w:val="24"/>
                <w:lang w:val="uk-UA"/>
              </w:rPr>
              <w:t>я</w:t>
            </w:r>
            <w:r w:rsidR="005C1362" w:rsidRPr="00DA6984">
              <w:rPr>
                <w:rFonts w:ascii="Times New Roman" w:hAnsi="Times New Roman" w:cs="Times New Roman"/>
                <w:sz w:val="24"/>
                <w:szCs w:val="24"/>
                <w:lang w:val="uk-UA"/>
              </w:rPr>
              <w:t xml:space="preserve"> рівня доступності та </w:t>
            </w:r>
            <w:r w:rsidRPr="00DA6984">
              <w:rPr>
                <w:rFonts w:ascii="Times New Roman" w:hAnsi="Times New Roman" w:cs="Times New Roman"/>
                <w:sz w:val="24"/>
                <w:szCs w:val="24"/>
                <w:lang w:val="uk-UA"/>
              </w:rPr>
              <w:t>прозорості інформації про діяльність підприємств, що здійснюють заготівлю деревини і при цьому становлять суспільний інтерес, та сприятиме</w:t>
            </w:r>
            <w:r w:rsidR="005C1362" w:rsidRPr="00DA6984">
              <w:rPr>
                <w:rFonts w:ascii="Times New Roman" w:hAnsi="Times New Roman" w:cs="Times New Roman"/>
                <w:sz w:val="24"/>
                <w:szCs w:val="24"/>
                <w:lang w:val="uk-UA"/>
              </w:rPr>
              <w:t xml:space="preserve"> можливості</w:t>
            </w:r>
            <w:r w:rsidRPr="00DA6984">
              <w:rPr>
                <w:rFonts w:ascii="Times New Roman" w:hAnsi="Times New Roman" w:cs="Times New Roman"/>
                <w:sz w:val="24"/>
                <w:szCs w:val="24"/>
                <w:lang w:val="uk-UA"/>
              </w:rPr>
              <w:t xml:space="preserve"> отриманн</w:t>
            </w:r>
            <w:r w:rsidR="005C1362" w:rsidRPr="00DA6984">
              <w:rPr>
                <w:rFonts w:ascii="Times New Roman" w:hAnsi="Times New Roman" w:cs="Times New Roman"/>
                <w:sz w:val="24"/>
                <w:szCs w:val="24"/>
                <w:lang w:val="uk-UA"/>
              </w:rPr>
              <w:t>я</w:t>
            </w:r>
            <w:r w:rsidRPr="00DA6984">
              <w:rPr>
                <w:rFonts w:ascii="Times New Roman" w:hAnsi="Times New Roman" w:cs="Times New Roman"/>
                <w:sz w:val="24"/>
                <w:szCs w:val="24"/>
                <w:lang w:val="uk-UA"/>
              </w:rPr>
              <w:t xml:space="preserve"> користувачами, зокрема</w:t>
            </w:r>
            <w:r w:rsidR="005C1362" w:rsidRPr="00DA6984">
              <w:rPr>
                <w:rFonts w:ascii="Times New Roman" w:hAnsi="Times New Roman" w:cs="Times New Roman"/>
                <w:sz w:val="24"/>
                <w:szCs w:val="24"/>
                <w:lang w:val="uk-UA"/>
              </w:rPr>
              <w:t xml:space="preserve"> громадськістю, а також</w:t>
            </w:r>
            <w:r w:rsidRPr="00DA6984">
              <w:rPr>
                <w:rFonts w:ascii="Times New Roman" w:hAnsi="Times New Roman" w:cs="Times New Roman"/>
                <w:sz w:val="24"/>
                <w:szCs w:val="24"/>
                <w:lang w:val="uk-UA"/>
              </w:rPr>
              <w:t xml:space="preserve"> органами місцевого самоврядування, на території яких здійснюється заготівля деревини, вільного доступу до інформації  про нараховані та сплачені платежі на кори</w:t>
            </w:r>
            <w:r w:rsidR="000B429C" w:rsidRPr="00DA6984">
              <w:rPr>
                <w:rFonts w:ascii="Times New Roman" w:hAnsi="Times New Roman" w:cs="Times New Roman"/>
                <w:sz w:val="24"/>
                <w:szCs w:val="24"/>
                <w:lang w:val="uk-UA"/>
              </w:rPr>
              <w:t>сть держави цими підприємствами;</w:t>
            </w:r>
          </w:p>
          <w:p w14:paraId="29D73816" w14:textId="77777777" w:rsidR="007A7AE1" w:rsidRPr="00DA6984" w:rsidRDefault="007A7AE1" w:rsidP="007A7AE1">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lastRenderedPageBreak/>
              <w:t>виконанню Україною зобов’язань в частині імплементації положень Директиви 2013/34/ЄС;</w:t>
            </w:r>
          </w:p>
          <w:p w14:paraId="5C91FF59" w14:textId="408F68A0" w:rsidR="00747CFE" w:rsidRPr="00DA6984" w:rsidRDefault="007A7AE1" w:rsidP="007A7AE1">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підвищенню довіри іноземних інвесторів.</w:t>
            </w:r>
          </w:p>
        </w:tc>
        <w:tc>
          <w:tcPr>
            <w:tcW w:w="1796" w:type="pct"/>
            <w:tcBorders>
              <w:top w:val="outset" w:sz="6" w:space="0" w:color="auto"/>
              <w:left w:val="outset" w:sz="6" w:space="0" w:color="auto"/>
              <w:bottom w:val="outset" w:sz="6" w:space="0" w:color="auto"/>
              <w:right w:val="outset" w:sz="6" w:space="0" w:color="auto"/>
            </w:tcBorders>
            <w:shd w:val="clear" w:color="auto" w:fill="auto"/>
          </w:tcPr>
          <w:p w14:paraId="1AF351D7" w14:textId="77777777" w:rsidR="007A7AE1" w:rsidRPr="00DA6984" w:rsidRDefault="007A7AE1" w:rsidP="00530502">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lastRenderedPageBreak/>
              <w:t>Відсутні,  оскільки  розробка  та прийняття проєкту наказу забезпечується в межах кошторисних витрат на утримання органів виконавчої влади.</w:t>
            </w:r>
          </w:p>
          <w:p w14:paraId="6DBD64D7" w14:textId="4ECD44FA" w:rsidR="00B84B65" w:rsidRPr="00DA6984" w:rsidRDefault="00B84B65" w:rsidP="00530502">
            <w:pPr>
              <w:spacing w:after="0" w:line="240" w:lineRule="auto"/>
              <w:jc w:val="both"/>
              <w:rPr>
                <w:rFonts w:ascii="Times New Roman" w:hAnsi="Times New Roman" w:cs="Times New Roman"/>
                <w:sz w:val="24"/>
                <w:szCs w:val="24"/>
                <w:lang w:val="uk-UA"/>
              </w:rPr>
            </w:pPr>
          </w:p>
        </w:tc>
      </w:tr>
    </w:tbl>
    <w:p w14:paraId="4760BB69" w14:textId="77777777" w:rsidR="002400E3" w:rsidRPr="00DA6984" w:rsidRDefault="002400E3" w:rsidP="002400E3">
      <w:pPr>
        <w:spacing w:after="0" w:line="240" w:lineRule="auto"/>
        <w:ind w:firstLine="567"/>
        <w:rPr>
          <w:rFonts w:ascii="Times New Roman" w:hAnsi="Times New Roman" w:cs="Times New Roman"/>
          <w:sz w:val="28"/>
          <w:szCs w:val="28"/>
          <w:lang w:val="uk-UA"/>
        </w:rPr>
      </w:pPr>
    </w:p>
    <w:p w14:paraId="2E90E41C" w14:textId="3332059B" w:rsidR="00B84B65" w:rsidRPr="00DA6984" w:rsidRDefault="00530502" w:rsidP="000B429C">
      <w:pPr>
        <w:spacing w:after="0" w:line="240" w:lineRule="auto"/>
        <w:ind w:firstLine="567"/>
        <w:rPr>
          <w:rFonts w:ascii="Times New Roman" w:hAnsi="Times New Roman" w:cs="Times New Roman"/>
          <w:strike/>
          <w:sz w:val="28"/>
          <w:szCs w:val="28"/>
          <w:lang w:val="uk-UA"/>
        </w:rPr>
      </w:pPr>
      <w:r w:rsidRPr="00DA6984">
        <w:rPr>
          <w:rFonts w:ascii="Times New Roman" w:hAnsi="Times New Roman" w:cs="Times New Roman"/>
          <w:sz w:val="28"/>
          <w:szCs w:val="28"/>
          <w:lang w:val="uk-UA"/>
        </w:rPr>
        <w:t>Проєкт наказу</w:t>
      </w:r>
      <w:r w:rsidR="00C85397" w:rsidRPr="00DA6984">
        <w:rPr>
          <w:rFonts w:ascii="Times New Roman" w:hAnsi="Times New Roman" w:cs="Times New Roman"/>
          <w:sz w:val="28"/>
          <w:szCs w:val="28"/>
          <w:lang w:val="uk-UA"/>
        </w:rPr>
        <w:t xml:space="preserve"> не належить до сфери регулювання цивільних відносин та не розповсюджується на сферу інтересів громадян.</w:t>
      </w:r>
      <w:r w:rsidR="006C0E28" w:rsidRPr="00DA6984">
        <w:rPr>
          <w:rFonts w:ascii="Times New Roman" w:hAnsi="Times New Roman" w:cs="Times New Roman"/>
          <w:sz w:val="28"/>
          <w:szCs w:val="28"/>
          <w:lang w:val="uk-UA"/>
        </w:rPr>
        <w:t xml:space="preserve"> </w:t>
      </w:r>
    </w:p>
    <w:p w14:paraId="078BC3D7" w14:textId="77777777" w:rsidR="00B84B65" w:rsidRPr="00DA6984" w:rsidRDefault="00B84B65" w:rsidP="002400E3">
      <w:pPr>
        <w:spacing w:after="0" w:line="240" w:lineRule="auto"/>
        <w:ind w:firstLine="567"/>
        <w:rPr>
          <w:rFonts w:ascii="Times New Roman" w:hAnsi="Times New Roman" w:cs="Times New Roman"/>
          <w:strike/>
          <w:sz w:val="28"/>
          <w:szCs w:val="28"/>
          <w:lang w:val="uk-UA"/>
        </w:rPr>
      </w:pPr>
    </w:p>
    <w:p w14:paraId="32705C4A" w14:textId="77777777" w:rsidR="00747CFE" w:rsidRPr="00DA6984" w:rsidRDefault="002400E3" w:rsidP="002400E3">
      <w:pPr>
        <w:spacing w:after="0" w:line="240" w:lineRule="auto"/>
        <w:jc w:val="center"/>
        <w:rPr>
          <w:rFonts w:ascii="Times New Roman" w:hAnsi="Times New Roman" w:cs="Times New Roman"/>
          <w:sz w:val="28"/>
          <w:szCs w:val="28"/>
          <w:lang w:val="uk-UA"/>
        </w:rPr>
      </w:pPr>
      <w:r w:rsidRPr="00DA6984">
        <w:rPr>
          <w:rFonts w:ascii="Times New Roman" w:hAnsi="Times New Roman" w:cs="Times New Roman"/>
          <w:sz w:val="28"/>
          <w:szCs w:val="28"/>
          <w:lang w:val="uk-UA"/>
        </w:rPr>
        <w:t>Оцінка впливу на сферу інтересів суб’єктів господарювання</w:t>
      </w:r>
    </w:p>
    <w:p w14:paraId="1B914A71" w14:textId="77777777" w:rsidR="002400E3" w:rsidRPr="00DA6984" w:rsidRDefault="002400E3" w:rsidP="002400E3">
      <w:pPr>
        <w:spacing w:after="0" w:line="240" w:lineRule="auto"/>
        <w:jc w:val="center"/>
        <w:rPr>
          <w:rFonts w:ascii="Times New Roman" w:hAnsi="Times New Roman" w:cs="Times New Roman"/>
          <w:sz w:val="28"/>
          <w:szCs w:val="28"/>
          <w:lang w:val="uk-UA"/>
        </w:rPr>
      </w:pPr>
    </w:p>
    <w:tbl>
      <w:tblPr>
        <w:tblpPr w:leftFromText="180" w:rightFromText="180" w:vertAnchor="text" w:horzAnchor="margin" w:tblpY="28"/>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667"/>
        <w:gridCol w:w="1278"/>
        <w:gridCol w:w="2552"/>
        <w:gridCol w:w="1125"/>
      </w:tblGrid>
      <w:tr w:rsidR="00DA6984" w:rsidRPr="00DA6984" w14:paraId="204CE31B" w14:textId="77777777" w:rsidTr="002400E3">
        <w:trPr>
          <w:trHeight w:val="179"/>
          <w:tblCellSpacing w:w="22" w:type="dxa"/>
        </w:trPr>
        <w:tc>
          <w:tcPr>
            <w:tcW w:w="2391" w:type="pct"/>
            <w:tcBorders>
              <w:top w:val="outset" w:sz="6" w:space="0" w:color="auto"/>
              <w:bottom w:val="outset" w:sz="6" w:space="0" w:color="auto"/>
              <w:right w:val="outset" w:sz="6" w:space="0" w:color="auto"/>
            </w:tcBorders>
          </w:tcPr>
          <w:p w14:paraId="2FE19670" w14:textId="77777777" w:rsidR="002400E3" w:rsidRPr="00DA6984" w:rsidRDefault="002400E3" w:rsidP="002400E3">
            <w:pPr>
              <w:pStyle w:val="a4"/>
              <w:widowControl w:val="0"/>
              <w:spacing w:before="60" w:beforeAutospacing="0" w:after="0" w:afterAutospacing="0"/>
              <w:jc w:val="center"/>
            </w:pPr>
            <w:r w:rsidRPr="00DA6984">
              <w:t>Показник</w:t>
            </w:r>
          </w:p>
        </w:tc>
        <w:tc>
          <w:tcPr>
            <w:tcW w:w="641" w:type="pct"/>
            <w:tcBorders>
              <w:top w:val="outset" w:sz="6" w:space="0" w:color="auto"/>
              <w:left w:val="outset" w:sz="6" w:space="0" w:color="auto"/>
              <w:bottom w:val="outset" w:sz="6" w:space="0" w:color="auto"/>
              <w:right w:val="outset" w:sz="6" w:space="0" w:color="auto"/>
            </w:tcBorders>
          </w:tcPr>
          <w:p w14:paraId="7C5501CD" w14:textId="77777777" w:rsidR="002400E3" w:rsidRPr="00DA6984" w:rsidRDefault="002400E3" w:rsidP="002400E3">
            <w:pPr>
              <w:pStyle w:val="a4"/>
              <w:widowControl w:val="0"/>
              <w:spacing w:before="60" w:beforeAutospacing="0" w:after="0" w:afterAutospacing="0"/>
              <w:jc w:val="center"/>
            </w:pPr>
            <w:r w:rsidRPr="00DA6984">
              <w:t>Великі</w:t>
            </w:r>
          </w:p>
        </w:tc>
        <w:tc>
          <w:tcPr>
            <w:tcW w:w="1303" w:type="pct"/>
            <w:tcBorders>
              <w:top w:val="outset" w:sz="6" w:space="0" w:color="auto"/>
              <w:left w:val="outset" w:sz="6" w:space="0" w:color="auto"/>
              <w:bottom w:val="outset" w:sz="6" w:space="0" w:color="auto"/>
              <w:right w:val="outset" w:sz="6" w:space="0" w:color="auto"/>
            </w:tcBorders>
          </w:tcPr>
          <w:p w14:paraId="643321BD" w14:textId="77777777" w:rsidR="002400E3" w:rsidRPr="00DA6984" w:rsidRDefault="002400E3" w:rsidP="002400E3">
            <w:pPr>
              <w:pStyle w:val="a4"/>
              <w:widowControl w:val="0"/>
              <w:spacing w:before="60" w:beforeAutospacing="0" w:after="0" w:afterAutospacing="0"/>
              <w:jc w:val="center"/>
            </w:pPr>
            <w:r w:rsidRPr="00DA6984">
              <w:t>Середні / Малі / Мікро</w:t>
            </w:r>
          </w:p>
        </w:tc>
        <w:tc>
          <w:tcPr>
            <w:tcW w:w="550" w:type="pct"/>
            <w:tcBorders>
              <w:top w:val="outset" w:sz="6" w:space="0" w:color="auto"/>
              <w:left w:val="outset" w:sz="6" w:space="0" w:color="auto"/>
              <w:bottom w:val="outset" w:sz="6" w:space="0" w:color="auto"/>
            </w:tcBorders>
          </w:tcPr>
          <w:p w14:paraId="18A22AB3" w14:textId="77777777" w:rsidR="002400E3" w:rsidRPr="00DA6984" w:rsidRDefault="002400E3" w:rsidP="002400E3">
            <w:pPr>
              <w:pStyle w:val="a4"/>
              <w:widowControl w:val="0"/>
              <w:spacing w:before="60" w:beforeAutospacing="0" w:after="0" w:afterAutospacing="0"/>
              <w:jc w:val="center"/>
            </w:pPr>
            <w:r w:rsidRPr="00DA6984">
              <w:t>Разом</w:t>
            </w:r>
          </w:p>
        </w:tc>
      </w:tr>
      <w:tr w:rsidR="00DA6984" w:rsidRPr="00DA6984" w14:paraId="162FF817" w14:textId="77777777" w:rsidTr="002400E3">
        <w:trPr>
          <w:trHeight w:val="422"/>
          <w:tblCellSpacing w:w="22" w:type="dxa"/>
        </w:trPr>
        <w:tc>
          <w:tcPr>
            <w:tcW w:w="2391" w:type="pct"/>
            <w:tcBorders>
              <w:top w:val="outset" w:sz="6" w:space="0" w:color="auto"/>
              <w:bottom w:val="outset" w:sz="6" w:space="0" w:color="auto"/>
              <w:right w:val="outset" w:sz="6" w:space="0" w:color="auto"/>
            </w:tcBorders>
          </w:tcPr>
          <w:p w14:paraId="40B140A0" w14:textId="77777777" w:rsidR="002400E3" w:rsidRPr="00DA6984" w:rsidRDefault="002400E3" w:rsidP="002400E3">
            <w:pPr>
              <w:pStyle w:val="a4"/>
              <w:widowControl w:val="0"/>
              <w:spacing w:before="60" w:beforeAutospacing="0" w:after="0" w:afterAutospacing="0"/>
              <w:jc w:val="both"/>
            </w:pPr>
            <w:r w:rsidRPr="00DA6984">
              <w:t>Кількість суб’єктів господарювання, що підпадають під дію регулювання, одиниць</w:t>
            </w:r>
          </w:p>
        </w:tc>
        <w:tc>
          <w:tcPr>
            <w:tcW w:w="641" w:type="pct"/>
            <w:tcBorders>
              <w:top w:val="outset" w:sz="6" w:space="0" w:color="auto"/>
              <w:left w:val="outset" w:sz="6" w:space="0" w:color="auto"/>
              <w:bottom w:val="outset" w:sz="6" w:space="0" w:color="auto"/>
              <w:right w:val="outset" w:sz="6" w:space="0" w:color="auto"/>
            </w:tcBorders>
            <w:vAlign w:val="center"/>
          </w:tcPr>
          <w:p w14:paraId="6B090E58" w14:textId="68BE18F3" w:rsidR="002400E3" w:rsidRPr="00DA6984" w:rsidRDefault="00B84B65" w:rsidP="002400E3">
            <w:pPr>
              <w:pStyle w:val="a4"/>
              <w:widowControl w:val="0"/>
              <w:spacing w:before="60" w:beforeAutospacing="0" w:after="0" w:afterAutospacing="0"/>
              <w:jc w:val="center"/>
            </w:pPr>
            <w:r w:rsidRPr="00DA6984">
              <w:t>11</w:t>
            </w:r>
            <w:r w:rsidRPr="00DA6984">
              <w:rPr>
                <w:vertAlign w:val="superscript"/>
              </w:rPr>
              <w:t>1</w:t>
            </w:r>
          </w:p>
        </w:tc>
        <w:tc>
          <w:tcPr>
            <w:tcW w:w="1303" w:type="pct"/>
            <w:tcBorders>
              <w:top w:val="outset" w:sz="6" w:space="0" w:color="auto"/>
              <w:left w:val="outset" w:sz="6" w:space="0" w:color="auto"/>
              <w:bottom w:val="outset" w:sz="6" w:space="0" w:color="auto"/>
              <w:right w:val="outset" w:sz="6" w:space="0" w:color="auto"/>
            </w:tcBorders>
            <w:vAlign w:val="center"/>
          </w:tcPr>
          <w:p w14:paraId="5578261A" w14:textId="77777777" w:rsidR="002400E3" w:rsidRPr="00DA6984" w:rsidRDefault="002400E3" w:rsidP="002400E3">
            <w:pPr>
              <w:pStyle w:val="a4"/>
              <w:widowControl w:val="0"/>
              <w:spacing w:before="60" w:beforeAutospacing="0" w:after="0" w:afterAutospacing="0"/>
              <w:jc w:val="center"/>
            </w:pPr>
            <w:r w:rsidRPr="00DA6984">
              <w:t>0</w:t>
            </w:r>
          </w:p>
        </w:tc>
        <w:tc>
          <w:tcPr>
            <w:tcW w:w="550" w:type="pct"/>
            <w:tcBorders>
              <w:top w:val="outset" w:sz="6" w:space="0" w:color="auto"/>
              <w:left w:val="outset" w:sz="6" w:space="0" w:color="auto"/>
              <w:bottom w:val="outset" w:sz="6" w:space="0" w:color="auto"/>
            </w:tcBorders>
            <w:vAlign w:val="center"/>
          </w:tcPr>
          <w:p w14:paraId="7D5A8F14" w14:textId="137ACAAD" w:rsidR="002400E3" w:rsidRPr="00DA6984" w:rsidRDefault="00B84B65" w:rsidP="002400E3">
            <w:pPr>
              <w:pStyle w:val="a4"/>
              <w:widowControl w:val="0"/>
              <w:spacing w:before="60" w:beforeAutospacing="0" w:after="0" w:afterAutospacing="0"/>
              <w:jc w:val="center"/>
            </w:pPr>
            <w:r w:rsidRPr="00DA6984">
              <w:t>11</w:t>
            </w:r>
          </w:p>
        </w:tc>
      </w:tr>
      <w:tr w:rsidR="00DA6984" w:rsidRPr="00DA6984" w14:paraId="2696D6D2" w14:textId="77777777" w:rsidTr="002400E3">
        <w:trPr>
          <w:trHeight w:val="376"/>
          <w:tblCellSpacing w:w="22" w:type="dxa"/>
        </w:trPr>
        <w:tc>
          <w:tcPr>
            <w:tcW w:w="2391" w:type="pct"/>
            <w:tcBorders>
              <w:top w:val="outset" w:sz="6" w:space="0" w:color="auto"/>
              <w:bottom w:val="outset" w:sz="6" w:space="0" w:color="auto"/>
              <w:right w:val="outset" w:sz="6" w:space="0" w:color="auto"/>
            </w:tcBorders>
          </w:tcPr>
          <w:p w14:paraId="494D4DB7" w14:textId="77777777" w:rsidR="002400E3" w:rsidRPr="00DA6984" w:rsidRDefault="002400E3" w:rsidP="002400E3">
            <w:pPr>
              <w:pStyle w:val="a4"/>
              <w:widowControl w:val="0"/>
              <w:spacing w:before="60" w:beforeAutospacing="0" w:after="0" w:afterAutospacing="0"/>
              <w:jc w:val="both"/>
            </w:pPr>
            <w:r w:rsidRPr="00DA6984">
              <w:t>Питома вага групи у загальній кількості, відсотків</w:t>
            </w:r>
          </w:p>
        </w:tc>
        <w:tc>
          <w:tcPr>
            <w:tcW w:w="641" w:type="pct"/>
            <w:tcBorders>
              <w:top w:val="outset" w:sz="6" w:space="0" w:color="auto"/>
              <w:left w:val="outset" w:sz="6" w:space="0" w:color="auto"/>
              <w:bottom w:val="outset" w:sz="6" w:space="0" w:color="auto"/>
              <w:right w:val="outset" w:sz="6" w:space="0" w:color="auto"/>
            </w:tcBorders>
            <w:vAlign w:val="center"/>
          </w:tcPr>
          <w:p w14:paraId="35AB4AA2" w14:textId="5FD014C4" w:rsidR="002400E3" w:rsidRPr="00DA6984" w:rsidRDefault="00B84B65" w:rsidP="002400E3">
            <w:pPr>
              <w:pStyle w:val="a4"/>
              <w:widowControl w:val="0"/>
              <w:spacing w:before="60" w:beforeAutospacing="0" w:after="0" w:afterAutospacing="0"/>
              <w:jc w:val="center"/>
            </w:pPr>
            <w:r w:rsidRPr="00DA6984">
              <w:t>10</w:t>
            </w:r>
            <w:r w:rsidR="002400E3" w:rsidRPr="00DA6984">
              <w:t>0%</w:t>
            </w:r>
          </w:p>
        </w:tc>
        <w:tc>
          <w:tcPr>
            <w:tcW w:w="1303" w:type="pct"/>
            <w:tcBorders>
              <w:top w:val="outset" w:sz="6" w:space="0" w:color="auto"/>
              <w:left w:val="outset" w:sz="6" w:space="0" w:color="auto"/>
              <w:bottom w:val="outset" w:sz="6" w:space="0" w:color="auto"/>
              <w:right w:val="outset" w:sz="6" w:space="0" w:color="auto"/>
            </w:tcBorders>
            <w:vAlign w:val="center"/>
          </w:tcPr>
          <w:p w14:paraId="075B0AF0" w14:textId="77777777" w:rsidR="002400E3" w:rsidRPr="00DA6984" w:rsidRDefault="002400E3" w:rsidP="002400E3">
            <w:pPr>
              <w:pStyle w:val="a4"/>
              <w:widowControl w:val="0"/>
              <w:spacing w:before="60" w:beforeAutospacing="0" w:after="0" w:afterAutospacing="0"/>
              <w:jc w:val="center"/>
            </w:pPr>
            <w:r w:rsidRPr="00DA6984">
              <w:t>0%</w:t>
            </w:r>
          </w:p>
        </w:tc>
        <w:tc>
          <w:tcPr>
            <w:tcW w:w="550" w:type="pct"/>
            <w:tcBorders>
              <w:top w:val="outset" w:sz="6" w:space="0" w:color="auto"/>
              <w:left w:val="outset" w:sz="6" w:space="0" w:color="auto"/>
              <w:bottom w:val="outset" w:sz="6" w:space="0" w:color="auto"/>
            </w:tcBorders>
            <w:vAlign w:val="center"/>
          </w:tcPr>
          <w:p w14:paraId="4ABF43BF" w14:textId="4CB99206" w:rsidR="002400E3" w:rsidRPr="00DA6984" w:rsidRDefault="00B84B65" w:rsidP="002400E3">
            <w:pPr>
              <w:pStyle w:val="a4"/>
              <w:widowControl w:val="0"/>
              <w:spacing w:before="60" w:beforeAutospacing="0" w:after="0" w:afterAutospacing="0"/>
              <w:jc w:val="center"/>
            </w:pPr>
            <w:r w:rsidRPr="00DA6984">
              <w:t>10</w:t>
            </w:r>
            <w:r w:rsidR="002400E3" w:rsidRPr="00DA6984">
              <w:t>0%</w:t>
            </w:r>
          </w:p>
        </w:tc>
      </w:tr>
    </w:tbl>
    <w:p w14:paraId="03BC075E" w14:textId="77777777" w:rsidR="00FE46F3" w:rsidRPr="00DA6984" w:rsidRDefault="00FE46F3" w:rsidP="00FE46F3">
      <w:pPr>
        <w:spacing w:after="0" w:line="240" w:lineRule="auto"/>
        <w:rPr>
          <w:rFonts w:ascii="Times New Roman" w:hAnsi="Times New Roman" w:cs="Times New Roman"/>
          <w:sz w:val="20"/>
          <w:szCs w:val="20"/>
          <w:vertAlign w:val="superscript"/>
          <w:lang w:val="uk-UA"/>
        </w:rPr>
      </w:pPr>
      <w:r w:rsidRPr="00DA6984">
        <w:rPr>
          <w:rFonts w:ascii="Times New Roman" w:hAnsi="Times New Roman" w:cs="Times New Roman"/>
          <w:sz w:val="20"/>
          <w:szCs w:val="20"/>
          <w:vertAlign w:val="superscript"/>
          <w:lang w:val="uk-UA"/>
        </w:rPr>
        <w:t>___________________</w:t>
      </w:r>
    </w:p>
    <w:p w14:paraId="359470A9" w14:textId="5A42DF73" w:rsidR="003F18FF" w:rsidRPr="00DA6984" w:rsidRDefault="00FE46F3" w:rsidP="00FE46F3">
      <w:pPr>
        <w:spacing w:after="0" w:line="240" w:lineRule="auto"/>
        <w:rPr>
          <w:rFonts w:ascii="Times New Roman" w:hAnsi="Times New Roman" w:cs="Times New Roman"/>
          <w:sz w:val="20"/>
          <w:szCs w:val="20"/>
          <w:lang w:val="uk-UA"/>
        </w:rPr>
      </w:pPr>
      <w:r w:rsidRPr="00DA6984">
        <w:rPr>
          <w:rFonts w:ascii="Times New Roman" w:hAnsi="Times New Roman" w:cs="Times New Roman"/>
          <w:sz w:val="20"/>
          <w:szCs w:val="20"/>
          <w:vertAlign w:val="superscript"/>
          <w:lang w:val="uk-UA"/>
        </w:rPr>
        <w:t>1</w:t>
      </w:r>
      <w:r w:rsidR="008E7823" w:rsidRPr="00DA6984">
        <w:rPr>
          <w:rFonts w:ascii="Times New Roman" w:hAnsi="Times New Roman" w:cs="Times New Roman"/>
          <w:sz w:val="20"/>
          <w:szCs w:val="20"/>
          <w:lang w:val="uk-UA"/>
        </w:rPr>
        <w:t xml:space="preserve">Для </w:t>
      </w:r>
      <w:r w:rsidR="00B84B65" w:rsidRPr="00DA6984">
        <w:rPr>
          <w:rFonts w:ascii="Times New Roman" w:hAnsi="Times New Roman" w:cs="Times New Roman"/>
          <w:sz w:val="20"/>
          <w:szCs w:val="20"/>
          <w:lang w:val="uk-UA"/>
        </w:rPr>
        <w:t xml:space="preserve"> </w:t>
      </w:r>
      <w:r w:rsidR="008E7823" w:rsidRPr="00DA6984">
        <w:rPr>
          <w:rFonts w:ascii="Times New Roman" w:hAnsi="Times New Roman" w:cs="Times New Roman"/>
          <w:sz w:val="20"/>
          <w:szCs w:val="20"/>
          <w:lang w:val="uk-UA"/>
        </w:rPr>
        <w:t xml:space="preserve">розрахунку взято прогнозний показник </w:t>
      </w:r>
      <w:r w:rsidR="003F18FF" w:rsidRPr="00DA6984">
        <w:rPr>
          <w:rFonts w:ascii="Times New Roman" w:hAnsi="Times New Roman" w:cs="Times New Roman"/>
          <w:sz w:val="20"/>
          <w:szCs w:val="20"/>
          <w:lang w:val="uk-UA"/>
        </w:rPr>
        <w:t>на кінець 2020 року</w:t>
      </w:r>
    </w:p>
    <w:p w14:paraId="63D62E93" w14:textId="77777777" w:rsidR="00994CEF" w:rsidRPr="00DA6984" w:rsidRDefault="00994CEF" w:rsidP="00FE46F3">
      <w:pPr>
        <w:spacing w:after="0" w:line="240" w:lineRule="auto"/>
        <w:rPr>
          <w:rFonts w:ascii="Times New Roman" w:hAnsi="Times New Roman" w:cs="Times New Roman"/>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20"/>
        <w:gridCol w:w="3979"/>
        <w:gridCol w:w="3523"/>
      </w:tblGrid>
      <w:tr w:rsidR="00DA6984" w:rsidRPr="00DA6984" w14:paraId="42F49979" w14:textId="77777777" w:rsidTr="00135435">
        <w:trPr>
          <w:trHeight w:val="387"/>
          <w:tblCellSpacing w:w="22" w:type="dxa"/>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2AC5AC86" w14:textId="77777777" w:rsidR="00994CEF" w:rsidRPr="00DA6984" w:rsidRDefault="00994CEF" w:rsidP="00135435">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Вид альтернативи</w:t>
            </w:r>
          </w:p>
        </w:tc>
        <w:tc>
          <w:tcPr>
            <w:tcW w:w="2044" w:type="pct"/>
            <w:tcBorders>
              <w:top w:val="outset" w:sz="6" w:space="0" w:color="auto"/>
              <w:left w:val="outset" w:sz="6" w:space="0" w:color="auto"/>
              <w:bottom w:val="outset" w:sz="6" w:space="0" w:color="auto"/>
              <w:right w:val="outset" w:sz="6" w:space="0" w:color="auto"/>
            </w:tcBorders>
            <w:shd w:val="clear" w:color="auto" w:fill="auto"/>
          </w:tcPr>
          <w:p w14:paraId="7C785277" w14:textId="77777777" w:rsidR="00994CEF" w:rsidRPr="00DA6984" w:rsidRDefault="00994CEF" w:rsidP="00135435">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Вигоди</w:t>
            </w:r>
          </w:p>
        </w:tc>
        <w:tc>
          <w:tcPr>
            <w:tcW w:w="1796" w:type="pct"/>
            <w:tcBorders>
              <w:top w:val="outset" w:sz="6" w:space="0" w:color="auto"/>
              <w:left w:val="outset" w:sz="6" w:space="0" w:color="auto"/>
              <w:bottom w:val="outset" w:sz="6" w:space="0" w:color="auto"/>
              <w:right w:val="outset" w:sz="6" w:space="0" w:color="auto"/>
            </w:tcBorders>
            <w:shd w:val="clear" w:color="auto" w:fill="auto"/>
          </w:tcPr>
          <w:p w14:paraId="2F008B81" w14:textId="77777777" w:rsidR="00994CEF" w:rsidRPr="00DA6984" w:rsidRDefault="00994CEF" w:rsidP="00135435">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Витрати</w:t>
            </w:r>
          </w:p>
        </w:tc>
      </w:tr>
      <w:tr w:rsidR="00DA6984" w:rsidRPr="00DA6984" w14:paraId="4B5B01D3" w14:textId="77777777" w:rsidTr="00EB6DDD">
        <w:trPr>
          <w:trHeight w:val="1947"/>
          <w:tblCellSpacing w:w="22" w:type="dxa"/>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0B6F4FD8" w14:textId="77777777" w:rsidR="00994CEF" w:rsidRPr="00DA6984" w:rsidRDefault="00994CEF" w:rsidP="00135435">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Альтернатива 1</w:t>
            </w:r>
            <w:r w:rsidR="003B703F" w:rsidRPr="00DA6984">
              <w:rPr>
                <w:rFonts w:ascii="Times New Roman" w:hAnsi="Times New Roman" w:cs="Times New Roman"/>
                <w:sz w:val="24"/>
                <w:szCs w:val="24"/>
                <w:lang w:val="uk-UA"/>
              </w:rPr>
              <w:t>:</w:t>
            </w:r>
          </w:p>
          <w:p w14:paraId="3CB086FB" w14:textId="71EDAB8B" w:rsidR="003B703F" w:rsidRPr="00DA6984" w:rsidRDefault="003B703F" w:rsidP="00135435">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Залишити без змін</w:t>
            </w:r>
          </w:p>
        </w:tc>
        <w:tc>
          <w:tcPr>
            <w:tcW w:w="2044" w:type="pct"/>
            <w:tcBorders>
              <w:top w:val="outset" w:sz="6" w:space="0" w:color="auto"/>
              <w:left w:val="outset" w:sz="6" w:space="0" w:color="auto"/>
              <w:bottom w:val="outset" w:sz="6" w:space="0" w:color="auto"/>
              <w:right w:val="outset" w:sz="6" w:space="0" w:color="auto"/>
            </w:tcBorders>
            <w:shd w:val="clear" w:color="auto" w:fill="auto"/>
          </w:tcPr>
          <w:p w14:paraId="69517B98" w14:textId="75FF70B9" w:rsidR="003B703F" w:rsidRPr="00DA6984" w:rsidRDefault="003B703F" w:rsidP="00D64373">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Відсутні</w:t>
            </w:r>
          </w:p>
          <w:p w14:paraId="6D88A95E" w14:textId="279567ED" w:rsidR="00994CEF" w:rsidRPr="00DA6984" w:rsidRDefault="00994CEF" w:rsidP="00530502">
            <w:pPr>
              <w:spacing w:after="0" w:line="240" w:lineRule="auto"/>
              <w:jc w:val="both"/>
              <w:rPr>
                <w:rFonts w:ascii="Times New Roman" w:hAnsi="Times New Roman" w:cs="Times New Roman"/>
                <w:sz w:val="24"/>
                <w:szCs w:val="24"/>
                <w:lang w:val="uk-UA"/>
              </w:rPr>
            </w:pPr>
          </w:p>
        </w:tc>
        <w:tc>
          <w:tcPr>
            <w:tcW w:w="1796" w:type="pct"/>
            <w:tcBorders>
              <w:top w:val="outset" w:sz="6" w:space="0" w:color="auto"/>
              <w:left w:val="outset" w:sz="6" w:space="0" w:color="auto"/>
              <w:bottom w:val="outset" w:sz="6" w:space="0" w:color="auto"/>
              <w:right w:val="outset" w:sz="6" w:space="0" w:color="auto"/>
            </w:tcBorders>
            <w:shd w:val="clear" w:color="auto" w:fill="auto"/>
          </w:tcPr>
          <w:p w14:paraId="7BD3DFB4" w14:textId="77777777" w:rsidR="003B703F" w:rsidRPr="00DA6984" w:rsidRDefault="003B703F" w:rsidP="003B703F">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Якщо залишити існуючу ситуацію без змін, це призведе до:</w:t>
            </w:r>
            <w:r w:rsidRPr="00DA6984">
              <w:rPr>
                <w:rFonts w:ascii="Times New Roman" w:hAnsi="Times New Roman" w:cs="Times New Roman"/>
                <w:sz w:val="24"/>
                <w:szCs w:val="24"/>
                <w:lang w:val="uk-UA"/>
              </w:rPr>
              <w:tab/>
            </w:r>
            <w:r w:rsidRPr="00DA6984">
              <w:rPr>
                <w:rFonts w:ascii="Times New Roman" w:hAnsi="Times New Roman" w:cs="Times New Roman"/>
                <w:sz w:val="24"/>
                <w:szCs w:val="24"/>
                <w:lang w:val="uk-UA"/>
              </w:rPr>
              <w:tab/>
            </w:r>
            <w:r w:rsidRPr="00DA6984">
              <w:rPr>
                <w:rFonts w:ascii="Times New Roman" w:hAnsi="Times New Roman" w:cs="Times New Roman"/>
                <w:sz w:val="24"/>
                <w:szCs w:val="24"/>
                <w:lang w:val="uk-UA"/>
              </w:rPr>
              <w:tab/>
            </w:r>
            <w:r w:rsidRPr="00DA6984">
              <w:rPr>
                <w:rFonts w:ascii="Times New Roman" w:hAnsi="Times New Roman" w:cs="Times New Roman"/>
                <w:sz w:val="24"/>
                <w:szCs w:val="24"/>
                <w:lang w:val="uk-UA"/>
              </w:rPr>
              <w:tab/>
            </w:r>
          </w:p>
          <w:p w14:paraId="0A39F2EE" w14:textId="77777777" w:rsidR="003B703F" w:rsidRPr="00DA6984" w:rsidRDefault="003B703F" w:rsidP="003B703F">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відсутності форми звіту про платежі на користь держави;</w:t>
            </w:r>
          </w:p>
          <w:p w14:paraId="6C2955B9" w14:textId="77777777" w:rsidR="003B703F" w:rsidRPr="00DA6984" w:rsidRDefault="003B703F" w:rsidP="003B703F">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відсутності єдиного</w:t>
            </w:r>
            <w:r w:rsidRPr="00DA6984">
              <w:rPr>
                <w:rFonts w:ascii="Times New Roman" w:hAnsi="Times New Roman" w:cs="Times New Roman"/>
                <w:sz w:val="24"/>
                <w:szCs w:val="24"/>
                <w:lang w:val="uk-UA"/>
              </w:rPr>
              <w:tab/>
              <w:t>підходу  при розкритті інформації про нараховані та сплачені платежі на користь держави підприємствами, що здійснюють заготівлю деревини і при цьому становлять суспільний інтерес;</w:t>
            </w:r>
          </w:p>
          <w:p w14:paraId="4E556AA6" w14:textId="6802E429" w:rsidR="00426CE3" w:rsidRPr="00DA6984" w:rsidRDefault="00CC1720" w:rsidP="003B703F">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неможливості</w:t>
            </w:r>
            <w:r w:rsidR="003F18FF" w:rsidRPr="00DA6984">
              <w:rPr>
                <w:rFonts w:ascii="Times New Roman" w:hAnsi="Times New Roman" w:cs="Times New Roman"/>
                <w:sz w:val="24"/>
                <w:szCs w:val="24"/>
                <w:lang w:val="uk-UA"/>
              </w:rPr>
              <w:t xml:space="preserve"> </w:t>
            </w:r>
            <w:r w:rsidR="003B703F" w:rsidRPr="00DA6984">
              <w:rPr>
                <w:rFonts w:ascii="Times New Roman" w:hAnsi="Times New Roman" w:cs="Times New Roman"/>
                <w:sz w:val="24"/>
                <w:szCs w:val="24"/>
                <w:lang w:val="uk-UA"/>
              </w:rPr>
              <w:t>виконання  підприємствами норм Закону, що тягне за собою адміністративну відповідальність</w:t>
            </w:r>
            <w:r w:rsidR="00426CE3" w:rsidRPr="00DA6984">
              <w:rPr>
                <w:rFonts w:ascii="Times New Roman" w:hAnsi="Times New Roman" w:cs="Times New Roman"/>
                <w:sz w:val="24"/>
                <w:szCs w:val="24"/>
                <w:lang w:val="uk-UA"/>
              </w:rPr>
              <w:t>;</w:t>
            </w:r>
          </w:p>
          <w:p w14:paraId="0CFE4F25" w14:textId="22ED3552" w:rsidR="005C1362" w:rsidRPr="00DA6984" w:rsidRDefault="005C1362" w:rsidP="005C1362">
            <w:pPr>
              <w:spacing w:after="0" w:line="240" w:lineRule="auto"/>
              <w:jc w:val="both"/>
              <w:rPr>
                <w:rFonts w:ascii="Times New Roman" w:hAnsi="Times New Roman" w:cs="Times New Roman"/>
                <w:sz w:val="28"/>
                <w:szCs w:val="28"/>
                <w:lang w:val="uk-UA"/>
              </w:rPr>
            </w:pPr>
            <w:r w:rsidRPr="00DA6984">
              <w:rPr>
                <w:rFonts w:ascii="Times New Roman" w:hAnsi="Times New Roman" w:cs="Times New Roman"/>
                <w:sz w:val="24"/>
                <w:szCs w:val="24"/>
                <w:lang w:val="uk-UA"/>
              </w:rPr>
              <w:t xml:space="preserve">неймовірно </w:t>
            </w:r>
            <w:r w:rsidR="00C92444" w:rsidRPr="00DA6984">
              <w:rPr>
                <w:rFonts w:ascii="Times New Roman" w:hAnsi="Times New Roman" w:cs="Times New Roman"/>
                <w:sz w:val="24"/>
                <w:szCs w:val="24"/>
                <w:lang w:val="uk-UA"/>
              </w:rPr>
              <w:t xml:space="preserve">низького рівня </w:t>
            </w:r>
            <w:r w:rsidRPr="00DA6984">
              <w:rPr>
                <w:rFonts w:ascii="Times New Roman" w:hAnsi="Times New Roman" w:cs="Times New Roman"/>
                <w:sz w:val="24"/>
                <w:szCs w:val="24"/>
                <w:lang w:val="uk-UA"/>
              </w:rPr>
              <w:t>прозорості інформації про платежі на користь держави, пов</w:t>
            </w:r>
            <w:r w:rsidRPr="00DA6984">
              <w:rPr>
                <w:rFonts w:ascii="Times New Roman" w:hAnsi="Times New Roman" w:cs="Times New Roman"/>
                <w:sz w:val="24"/>
                <w:szCs w:val="24"/>
              </w:rPr>
              <w:t>’</w:t>
            </w:r>
            <w:r w:rsidRPr="00DA6984">
              <w:rPr>
                <w:rFonts w:ascii="Times New Roman" w:hAnsi="Times New Roman" w:cs="Times New Roman"/>
                <w:sz w:val="24"/>
                <w:szCs w:val="24"/>
                <w:lang w:val="uk-UA"/>
              </w:rPr>
              <w:t>язані з використанням лісових ресурсів держави</w:t>
            </w:r>
            <w:r w:rsidRPr="00DA6984">
              <w:rPr>
                <w:rFonts w:ascii="Times New Roman" w:hAnsi="Times New Roman" w:cs="Times New Roman"/>
                <w:sz w:val="28"/>
                <w:szCs w:val="28"/>
                <w:lang w:val="uk-UA"/>
              </w:rPr>
              <w:t>;</w:t>
            </w:r>
          </w:p>
          <w:p w14:paraId="617E74FD" w14:textId="01234CBB" w:rsidR="00EB6DDD" w:rsidRPr="00DA6984" w:rsidRDefault="00C92444" w:rsidP="00F1211E">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відсутності </w:t>
            </w:r>
            <w:r w:rsidR="005C1362" w:rsidRPr="00DA6984">
              <w:rPr>
                <w:rFonts w:ascii="Times New Roman" w:hAnsi="Times New Roman" w:cs="Times New Roman"/>
                <w:sz w:val="24"/>
                <w:szCs w:val="24"/>
                <w:lang w:val="uk-UA"/>
              </w:rPr>
              <w:t>вільного доступу користувачів до інформації про нараховані та сплачені платежі на користь держави.</w:t>
            </w:r>
          </w:p>
        </w:tc>
      </w:tr>
      <w:tr w:rsidR="00994CEF" w:rsidRPr="00DA6984" w14:paraId="45D958C4" w14:textId="77777777" w:rsidTr="00EB6DDD">
        <w:trPr>
          <w:trHeight w:val="2514"/>
          <w:tblCellSpacing w:w="22" w:type="dxa"/>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45E10AE0" w14:textId="77777777" w:rsidR="00994CEF" w:rsidRPr="00DA6984" w:rsidRDefault="00994CEF" w:rsidP="00135435">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lastRenderedPageBreak/>
              <w:t>Альтернатива 2</w:t>
            </w:r>
            <w:r w:rsidR="003B703F" w:rsidRPr="00DA6984">
              <w:rPr>
                <w:rFonts w:ascii="Times New Roman" w:hAnsi="Times New Roman" w:cs="Times New Roman"/>
                <w:sz w:val="24"/>
                <w:szCs w:val="24"/>
                <w:lang w:val="uk-UA"/>
              </w:rPr>
              <w:t>:</w:t>
            </w:r>
          </w:p>
          <w:p w14:paraId="7D61D56A" w14:textId="656B04F8" w:rsidR="003B703F" w:rsidRPr="00DA6984" w:rsidRDefault="003B703F" w:rsidP="00135435">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Затвердження запропонованого проєкту наказу</w:t>
            </w:r>
          </w:p>
        </w:tc>
        <w:tc>
          <w:tcPr>
            <w:tcW w:w="2044" w:type="pct"/>
            <w:tcBorders>
              <w:top w:val="outset" w:sz="6" w:space="0" w:color="auto"/>
              <w:left w:val="outset" w:sz="6" w:space="0" w:color="auto"/>
              <w:bottom w:val="outset" w:sz="6" w:space="0" w:color="auto"/>
              <w:right w:val="outset" w:sz="6" w:space="0" w:color="auto"/>
            </w:tcBorders>
            <w:shd w:val="clear" w:color="auto" w:fill="auto"/>
          </w:tcPr>
          <w:p w14:paraId="14F98F00" w14:textId="77777777" w:rsidR="003F18FF" w:rsidRPr="00DA6984" w:rsidRDefault="003B703F" w:rsidP="003F18FF">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Забезпечить можливість виконання</w:t>
            </w:r>
          </w:p>
          <w:p w14:paraId="2D453493" w14:textId="6C598DCE" w:rsidR="00994CEF" w:rsidRPr="00DA6984" w:rsidRDefault="003F18FF" w:rsidP="009914DD">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підприємствами </w:t>
            </w:r>
            <w:r w:rsidR="003B703F" w:rsidRPr="00DA6984">
              <w:rPr>
                <w:rFonts w:ascii="Times New Roman" w:hAnsi="Times New Roman" w:cs="Times New Roman"/>
                <w:sz w:val="24"/>
                <w:szCs w:val="24"/>
                <w:lang w:val="uk-UA"/>
              </w:rPr>
              <w:t>норм Закону</w:t>
            </w:r>
            <w:r w:rsidR="005133E7" w:rsidRPr="00DA6984">
              <w:rPr>
                <w:rFonts w:ascii="Times New Roman" w:hAnsi="Times New Roman" w:cs="Times New Roman"/>
                <w:sz w:val="24"/>
                <w:szCs w:val="24"/>
                <w:lang w:val="uk-UA"/>
              </w:rPr>
              <w:t>, що</w:t>
            </w:r>
            <w:r w:rsidR="003B703F" w:rsidRPr="00DA6984">
              <w:rPr>
                <w:rFonts w:ascii="Times New Roman" w:hAnsi="Times New Roman" w:cs="Times New Roman"/>
                <w:sz w:val="24"/>
                <w:szCs w:val="24"/>
                <w:lang w:val="uk-UA"/>
              </w:rPr>
              <w:t xml:space="preserve"> дозволить</w:t>
            </w:r>
            <w:r w:rsidR="005133E7" w:rsidRPr="00DA6984">
              <w:rPr>
                <w:rFonts w:ascii="Times New Roman" w:hAnsi="Times New Roman" w:cs="Times New Roman"/>
                <w:sz w:val="24"/>
                <w:szCs w:val="24"/>
                <w:lang w:val="uk-UA"/>
              </w:rPr>
              <w:t xml:space="preserve"> встановити</w:t>
            </w:r>
            <w:r w:rsidR="003B703F" w:rsidRPr="00DA6984">
              <w:rPr>
                <w:rFonts w:ascii="Times New Roman" w:hAnsi="Times New Roman" w:cs="Times New Roman"/>
                <w:sz w:val="24"/>
                <w:szCs w:val="24"/>
                <w:lang w:val="uk-UA"/>
              </w:rPr>
              <w:t xml:space="preserve"> єдиний підхід при розкритті інформації про нараховані та сплачені платежі на користь держави та складання звіту про платежі на користь держави за уніфікованою формою</w:t>
            </w:r>
          </w:p>
        </w:tc>
        <w:tc>
          <w:tcPr>
            <w:tcW w:w="1796" w:type="pct"/>
            <w:tcBorders>
              <w:top w:val="outset" w:sz="6" w:space="0" w:color="auto"/>
              <w:left w:val="outset" w:sz="6" w:space="0" w:color="auto"/>
              <w:bottom w:val="outset" w:sz="6" w:space="0" w:color="auto"/>
              <w:right w:val="outset" w:sz="6" w:space="0" w:color="auto"/>
            </w:tcBorders>
            <w:shd w:val="clear" w:color="auto" w:fill="auto"/>
          </w:tcPr>
          <w:p w14:paraId="7ECFB66C" w14:textId="20B114FF" w:rsidR="003F18FF" w:rsidRPr="00DA6984" w:rsidRDefault="003B703F" w:rsidP="003F18FF">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Суб’єкт господарювання в перший рі</w:t>
            </w:r>
            <w:r w:rsidR="00877480" w:rsidRPr="00DA6984">
              <w:rPr>
                <w:rFonts w:ascii="Times New Roman" w:hAnsi="Times New Roman" w:cs="Times New Roman"/>
                <w:sz w:val="24"/>
                <w:szCs w:val="24"/>
                <w:lang w:val="uk-UA"/>
              </w:rPr>
              <w:t xml:space="preserve">к в середньому  для  складання та подання </w:t>
            </w:r>
            <w:r w:rsidRPr="00DA6984">
              <w:rPr>
                <w:rFonts w:ascii="Times New Roman" w:hAnsi="Times New Roman" w:cs="Times New Roman"/>
                <w:sz w:val="24"/>
                <w:szCs w:val="24"/>
                <w:lang w:val="uk-UA"/>
              </w:rPr>
              <w:t>звіту про платежі на користь держави витратить</w:t>
            </w:r>
            <w:r w:rsidR="00877480" w:rsidRPr="00DA6984">
              <w:rPr>
                <w:rFonts w:ascii="Times New Roman" w:hAnsi="Times New Roman" w:cs="Times New Roman"/>
                <w:sz w:val="24"/>
                <w:szCs w:val="24"/>
                <w:lang w:val="uk-UA"/>
              </w:rPr>
              <w:t xml:space="preserve"> 250,96</w:t>
            </w:r>
            <w:r w:rsidR="003F18FF" w:rsidRPr="00DA6984">
              <w:rPr>
                <w:rFonts w:ascii="Times New Roman" w:hAnsi="Times New Roman" w:cs="Times New Roman"/>
                <w:sz w:val="24"/>
                <w:szCs w:val="24"/>
                <w:lang w:val="uk-UA"/>
              </w:rPr>
              <w:t xml:space="preserve"> грн, </w:t>
            </w:r>
            <w:r w:rsidR="009C5DF8" w:rsidRPr="00DA6984">
              <w:rPr>
                <w:rFonts w:ascii="Times New Roman" w:hAnsi="Times New Roman" w:cs="Times New Roman"/>
                <w:sz w:val="24"/>
                <w:szCs w:val="24"/>
                <w:lang w:val="uk-UA"/>
              </w:rPr>
              <w:t xml:space="preserve">витрати всіх суб’єктів за рік прогнозуються у розмірі </w:t>
            </w:r>
            <w:r w:rsidR="00877480" w:rsidRPr="00DA6984">
              <w:rPr>
                <w:rFonts w:ascii="Times New Roman" w:hAnsi="Times New Roman" w:cs="Times New Roman"/>
                <w:sz w:val="24"/>
                <w:szCs w:val="24"/>
                <w:lang w:val="uk-UA"/>
              </w:rPr>
              <w:t>– 2760,56</w:t>
            </w:r>
            <w:r w:rsidR="009C5DF8" w:rsidRPr="00DA6984">
              <w:rPr>
                <w:rFonts w:ascii="Times New Roman" w:hAnsi="Times New Roman" w:cs="Times New Roman"/>
                <w:sz w:val="24"/>
                <w:szCs w:val="24"/>
                <w:lang w:val="uk-UA"/>
              </w:rPr>
              <w:t xml:space="preserve"> грн, за п’ять років </w:t>
            </w:r>
            <w:r w:rsidR="003F18FF" w:rsidRPr="00DA6984">
              <w:rPr>
                <w:rFonts w:ascii="Times New Roman" w:hAnsi="Times New Roman" w:cs="Times New Roman"/>
                <w:sz w:val="24"/>
                <w:szCs w:val="24"/>
                <w:lang w:val="uk-UA"/>
              </w:rPr>
              <w:t>– 13</w:t>
            </w:r>
            <w:r w:rsidR="00877480" w:rsidRPr="00DA6984">
              <w:rPr>
                <w:rFonts w:ascii="Times New Roman" w:hAnsi="Times New Roman" w:cs="Times New Roman"/>
                <w:sz w:val="24"/>
                <w:szCs w:val="24"/>
                <w:lang w:val="uk-UA"/>
              </w:rPr>
              <w:t> 802,80</w:t>
            </w:r>
            <w:r w:rsidR="00837926" w:rsidRPr="00DA6984">
              <w:rPr>
                <w:rFonts w:ascii="Times New Roman" w:hAnsi="Times New Roman" w:cs="Times New Roman"/>
                <w:sz w:val="24"/>
                <w:szCs w:val="24"/>
                <w:lang w:val="uk-UA"/>
              </w:rPr>
              <w:t xml:space="preserve"> гривень.</w:t>
            </w:r>
          </w:p>
          <w:p w14:paraId="1E412FF4" w14:textId="69FC09FD" w:rsidR="00135435" w:rsidRPr="00DA6984" w:rsidRDefault="00135435" w:rsidP="00135435">
            <w:pPr>
              <w:spacing w:after="0" w:line="240" w:lineRule="auto"/>
              <w:jc w:val="both"/>
              <w:rPr>
                <w:rFonts w:ascii="Times New Roman" w:hAnsi="Times New Roman" w:cs="Times New Roman"/>
                <w:sz w:val="24"/>
                <w:szCs w:val="24"/>
                <w:lang w:val="uk-UA"/>
              </w:rPr>
            </w:pPr>
          </w:p>
        </w:tc>
      </w:tr>
    </w:tbl>
    <w:p w14:paraId="3BEA3EF2" w14:textId="75429220" w:rsidR="003F18FF" w:rsidRPr="00DA6984" w:rsidRDefault="003F18FF" w:rsidP="000B429C">
      <w:pPr>
        <w:spacing w:after="0" w:line="240" w:lineRule="auto"/>
        <w:rPr>
          <w:rFonts w:ascii="Times New Roman" w:hAnsi="Times New Roman" w:cs="Times New Roman"/>
          <w:sz w:val="28"/>
          <w:szCs w:val="28"/>
          <w:lang w:val="uk-UA"/>
        </w:rPr>
      </w:pPr>
    </w:p>
    <w:p w14:paraId="64F01205" w14:textId="77777777" w:rsidR="00135435" w:rsidRPr="00DA6984" w:rsidRDefault="00135435" w:rsidP="00135435">
      <w:pPr>
        <w:spacing w:after="0" w:line="240" w:lineRule="auto"/>
        <w:jc w:val="center"/>
        <w:rPr>
          <w:rFonts w:ascii="Times New Roman" w:hAnsi="Times New Roman" w:cs="Times New Roman"/>
          <w:sz w:val="28"/>
          <w:szCs w:val="28"/>
          <w:vertAlign w:val="superscript"/>
          <w:lang w:val="uk-UA"/>
        </w:rPr>
      </w:pPr>
      <w:r w:rsidRPr="00DA6984">
        <w:rPr>
          <w:rFonts w:ascii="Times New Roman" w:hAnsi="Times New Roman" w:cs="Times New Roman"/>
          <w:sz w:val="28"/>
          <w:szCs w:val="28"/>
          <w:lang w:val="uk-UA"/>
        </w:rPr>
        <w:t>Витрати на одного суб’єкта господарювання, які виникають внаслідок дії регуляторного акта</w:t>
      </w:r>
      <w:r w:rsidRPr="00DA6984">
        <w:rPr>
          <w:rFonts w:ascii="Times New Roman" w:hAnsi="Times New Roman" w:cs="Times New Roman"/>
          <w:sz w:val="28"/>
          <w:szCs w:val="28"/>
          <w:vertAlign w:val="superscript"/>
          <w:lang w:val="uk-UA"/>
        </w:rPr>
        <w:t>1</w:t>
      </w:r>
    </w:p>
    <w:p w14:paraId="68F03F87" w14:textId="77777777" w:rsidR="00135435" w:rsidRPr="00DA6984" w:rsidRDefault="00135435" w:rsidP="00135435">
      <w:pPr>
        <w:spacing w:after="0" w:line="240" w:lineRule="auto"/>
        <w:rPr>
          <w:rFonts w:ascii="Times New Roman" w:hAnsi="Times New Roman" w:cs="Times New Roman"/>
          <w:sz w:val="20"/>
          <w:szCs w:val="20"/>
          <w:vertAlign w:val="superscript"/>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8"/>
        <w:gridCol w:w="4816"/>
        <w:gridCol w:w="2410"/>
        <w:gridCol w:w="2118"/>
      </w:tblGrid>
      <w:tr w:rsidR="00DA6984" w:rsidRPr="00DA6984" w14:paraId="76A590BB" w14:textId="77777777" w:rsidTr="005927EE">
        <w:trPr>
          <w:trHeight w:val="651"/>
          <w:tblCellSpacing w:w="22" w:type="dxa"/>
        </w:trPr>
        <w:tc>
          <w:tcPr>
            <w:tcW w:w="110" w:type="pct"/>
            <w:tcBorders>
              <w:top w:val="outset" w:sz="6" w:space="0" w:color="auto"/>
              <w:bottom w:val="outset" w:sz="6" w:space="0" w:color="auto"/>
              <w:right w:val="outset" w:sz="6" w:space="0" w:color="auto"/>
            </w:tcBorders>
          </w:tcPr>
          <w:p w14:paraId="63C20598" w14:textId="77777777" w:rsidR="00135435" w:rsidRPr="00DA6984" w:rsidRDefault="00135435" w:rsidP="00135435">
            <w:pPr>
              <w:spacing w:after="0" w:line="240" w:lineRule="auto"/>
              <w:rPr>
                <w:rFonts w:ascii="Times New Roman" w:hAnsi="Times New Roman" w:cs="Times New Roman"/>
                <w:sz w:val="24"/>
                <w:szCs w:val="24"/>
                <w:lang w:val="uk-UA"/>
              </w:rPr>
            </w:pPr>
          </w:p>
        </w:tc>
        <w:tc>
          <w:tcPr>
            <w:tcW w:w="2480" w:type="pct"/>
            <w:tcBorders>
              <w:top w:val="outset" w:sz="6" w:space="0" w:color="auto"/>
              <w:bottom w:val="outset" w:sz="6" w:space="0" w:color="auto"/>
              <w:right w:val="outset" w:sz="6" w:space="0" w:color="auto"/>
            </w:tcBorders>
            <w:vAlign w:val="center"/>
          </w:tcPr>
          <w:p w14:paraId="255D731C" w14:textId="77777777"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Найменування статті прямих витрат</w:t>
            </w:r>
          </w:p>
        </w:tc>
        <w:tc>
          <w:tcPr>
            <w:tcW w:w="1229" w:type="pct"/>
            <w:tcBorders>
              <w:top w:val="outset" w:sz="6" w:space="0" w:color="auto"/>
              <w:left w:val="outset" w:sz="6" w:space="0" w:color="auto"/>
              <w:bottom w:val="outset" w:sz="6" w:space="0" w:color="auto"/>
              <w:right w:val="outset" w:sz="6" w:space="0" w:color="auto"/>
            </w:tcBorders>
            <w:vAlign w:val="center"/>
          </w:tcPr>
          <w:p w14:paraId="0D15B950" w14:textId="27CDD7D3" w:rsidR="00135435" w:rsidRPr="00DA6984" w:rsidRDefault="00C42DE0"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За перший рік</w:t>
            </w:r>
          </w:p>
        </w:tc>
        <w:tc>
          <w:tcPr>
            <w:tcW w:w="1066" w:type="pct"/>
            <w:tcBorders>
              <w:top w:val="outset" w:sz="6" w:space="0" w:color="auto"/>
              <w:left w:val="outset" w:sz="6" w:space="0" w:color="auto"/>
              <w:bottom w:val="outset" w:sz="6" w:space="0" w:color="auto"/>
              <w:right w:val="outset" w:sz="6" w:space="0" w:color="auto"/>
            </w:tcBorders>
            <w:vAlign w:val="center"/>
          </w:tcPr>
          <w:p w14:paraId="1572F820" w14:textId="4E7EA706" w:rsidR="00135435" w:rsidRPr="00DA6984" w:rsidRDefault="00C42DE0"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Витрати за 5 років</w:t>
            </w:r>
          </w:p>
        </w:tc>
      </w:tr>
      <w:tr w:rsidR="00DA6984" w:rsidRPr="00DA6984" w14:paraId="2E02F407" w14:textId="77777777" w:rsidTr="00090E38">
        <w:trPr>
          <w:trHeight w:val="960"/>
          <w:tblCellSpacing w:w="22" w:type="dxa"/>
        </w:trPr>
        <w:tc>
          <w:tcPr>
            <w:tcW w:w="110" w:type="pct"/>
            <w:tcBorders>
              <w:top w:val="outset" w:sz="6" w:space="0" w:color="auto"/>
              <w:bottom w:val="outset" w:sz="6" w:space="0" w:color="FFFFFF" w:themeColor="background1"/>
              <w:right w:val="outset" w:sz="6" w:space="0" w:color="auto"/>
            </w:tcBorders>
          </w:tcPr>
          <w:p w14:paraId="48AE3D1C" w14:textId="77777777"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1</w:t>
            </w:r>
          </w:p>
        </w:tc>
        <w:tc>
          <w:tcPr>
            <w:tcW w:w="2480" w:type="pct"/>
            <w:tcBorders>
              <w:top w:val="outset" w:sz="6" w:space="0" w:color="auto"/>
              <w:bottom w:val="outset" w:sz="6" w:space="0" w:color="FFFFFF" w:themeColor="background1"/>
              <w:right w:val="outset" w:sz="6" w:space="0" w:color="auto"/>
            </w:tcBorders>
          </w:tcPr>
          <w:p w14:paraId="5F6B39A8" w14:textId="6956FFFF" w:rsidR="00135435" w:rsidRPr="00DA6984" w:rsidRDefault="00C42DE0"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Часові витрати на ознайомлення з процедурою</w:t>
            </w:r>
            <w:r w:rsidR="005133E7" w:rsidRPr="00DA6984">
              <w:rPr>
                <w:rFonts w:ascii="Times New Roman" w:hAnsi="Times New Roman" w:cs="Times New Roman"/>
                <w:sz w:val="24"/>
                <w:szCs w:val="24"/>
                <w:lang w:val="uk-UA"/>
              </w:rPr>
              <w:t xml:space="preserve"> складання звіту</w:t>
            </w:r>
            <w:r w:rsidRPr="00DA6984">
              <w:rPr>
                <w:rFonts w:ascii="Times New Roman" w:hAnsi="Times New Roman" w:cs="Times New Roman"/>
                <w:sz w:val="24"/>
                <w:szCs w:val="24"/>
                <w:lang w:val="uk-UA"/>
              </w:rPr>
              <w:t xml:space="preserve"> – 60 хв.</w:t>
            </w:r>
            <w:r w:rsidR="00135435" w:rsidRPr="00DA6984">
              <w:rPr>
                <w:rFonts w:ascii="Times New Roman" w:hAnsi="Times New Roman" w:cs="Times New Roman"/>
                <w:sz w:val="24"/>
                <w:szCs w:val="24"/>
                <w:lang w:val="uk-UA"/>
              </w:rPr>
              <w:t xml:space="preserve"> </w:t>
            </w:r>
          </w:p>
          <w:p w14:paraId="2F8FBDBF" w14:textId="763709DE" w:rsidR="00135435" w:rsidRPr="00DA6984" w:rsidRDefault="00135435" w:rsidP="00C42DE0">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w:t>
            </w:r>
            <w:r w:rsidR="00C42DE0" w:rsidRPr="00DA6984">
              <w:rPr>
                <w:rFonts w:ascii="Times New Roman" w:hAnsi="Times New Roman" w:cs="Times New Roman"/>
                <w:sz w:val="24"/>
                <w:szCs w:val="24"/>
                <w:lang w:val="uk-UA"/>
              </w:rPr>
              <w:t>60 хв.</w:t>
            </w:r>
            <w:r w:rsidRPr="00DA6984">
              <w:rPr>
                <w:rFonts w:ascii="Times New Roman" w:hAnsi="Times New Roman" w:cs="Times New Roman"/>
                <w:sz w:val="24"/>
                <w:szCs w:val="24"/>
                <w:lang w:val="uk-UA"/>
              </w:rPr>
              <w:t xml:space="preserve"> х 28,31 грн</w:t>
            </w:r>
            <w:r w:rsidR="00C42DE0" w:rsidRPr="00DA6984">
              <w:rPr>
                <w:rFonts w:ascii="Times New Roman" w:hAnsi="Times New Roman" w:cs="Times New Roman"/>
                <w:sz w:val="24"/>
                <w:szCs w:val="24"/>
                <w:vertAlign w:val="superscript"/>
                <w:lang w:val="uk-UA"/>
              </w:rPr>
              <w:t>2</w:t>
            </w:r>
            <w:r w:rsidRPr="00DA6984">
              <w:rPr>
                <w:rFonts w:ascii="Times New Roman" w:hAnsi="Times New Roman" w:cs="Times New Roman"/>
                <w:sz w:val="24"/>
                <w:szCs w:val="24"/>
                <w:lang w:val="uk-UA"/>
              </w:rPr>
              <w:t>)</w:t>
            </w:r>
          </w:p>
        </w:tc>
        <w:tc>
          <w:tcPr>
            <w:tcW w:w="1229" w:type="pct"/>
            <w:tcBorders>
              <w:top w:val="outset" w:sz="6" w:space="0" w:color="auto"/>
              <w:left w:val="outset" w:sz="6" w:space="0" w:color="auto"/>
              <w:bottom w:val="outset" w:sz="6" w:space="0" w:color="FFFFFF" w:themeColor="background1"/>
              <w:right w:val="outset" w:sz="6" w:space="0" w:color="auto"/>
            </w:tcBorders>
          </w:tcPr>
          <w:p w14:paraId="386F0874" w14:textId="39F0A6E0" w:rsidR="00135435" w:rsidRPr="00DA6984" w:rsidRDefault="00C42DE0"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28,31</w:t>
            </w:r>
            <w:r w:rsidR="00135435" w:rsidRPr="00DA6984">
              <w:rPr>
                <w:rFonts w:ascii="Times New Roman" w:hAnsi="Times New Roman" w:cs="Times New Roman"/>
                <w:sz w:val="24"/>
                <w:szCs w:val="24"/>
                <w:lang w:val="uk-UA"/>
              </w:rPr>
              <w:t xml:space="preserve"> грн</w:t>
            </w:r>
          </w:p>
        </w:tc>
        <w:tc>
          <w:tcPr>
            <w:tcW w:w="1066" w:type="pct"/>
            <w:tcBorders>
              <w:top w:val="outset" w:sz="6" w:space="0" w:color="auto"/>
              <w:left w:val="outset" w:sz="6" w:space="0" w:color="auto"/>
              <w:bottom w:val="outset" w:sz="6" w:space="0" w:color="FFFFFF" w:themeColor="background1"/>
              <w:right w:val="outset" w:sz="6" w:space="0" w:color="auto"/>
            </w:tcBorders>
          </w:tcPr>
          <w:p w14:paraId="16A4093C" w14:textId="564B8B2C" w:rsidR="00135435" w:rsidRPr="00DA6984" w:rsidRDefault="00C42DE0"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141,55</w:t>
            </w:r>
            <w:r w:rsidRPr="00DA6984">
              <w:rPr>
                <w:rFonts w:ascii="Times New Roman" w:hAnsi="Times New Roman" w:cs="Times New Roman"/>
                <w:sz w:val="24"/>
                <w:szCs w:val="24"/>
                <w:lang w:val="uk-UA"/>
              </w:rPr>
              <w:t>‬</w:t>
            </w:r>
            <w:r w:rsidR="00135435" w:rsidRPr="00DA6984">
              <w:rPr>
                <w:rFonts w:ascii="Times New Roman" w:hAnsi="Times New Roman" w:cs="Times New Roman"/>
                <w:sz w:val="24"/>
                <w:szCs w:val="24"/>
                <w:lang w:val="uk-UA"/>
              </w:rPr>
              <w:t xml:space="preserve"> грн</w:t>
            </w:r>
          </w:p>
        </w:tc>
      </w:tr>
      <w:tr w:rsidR="00DA6984" w:rsidRPr="00DA6984" w14:paraId="05940459" w14:textId="77777777" w:rsidTr="00090E38">
        <w:trPr>
          <w:trHeight w:val="435"/>
          <w:tblCellSpacing w:w="22" w:type="dxa"/>
        </w:trPr>
        <w:tc>
          <w:tcPr>
            <w:tcW w:w="110" w:type="pct"/>
            <w:tcBorders>
              <w:top w:val="outset" w:sz="6" w:space="0" w:color="FFFFFF" w:themeColor="background1"/>
              <w:bottom w:val="outset" w:sz="6" w:space="0" w:color="auto"/>
              <w:right w:val="outset" w:sz="6" w:space="0" w:color="auto"/>
            </w:tcBorders>
          </w:tcPr>
          <w:p w14:paraId="74F9CBC7" w14:textId="1A778454" w:rsidR="00090E38"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2</w:t>
            </w:r>
          </w:p>
        </w:tc>
        <w:tc>
          <w:tcPr>
            <w:tcW w:w="2480" w:type="pct"/>
            <w:tcBorders>
              <w:top w:val="outset" w:sz="6" w:space="0" w:color="FFFFFF" w:themeColor="background1"/>
              <w:bottom w:val="outset" w:sz="6" w:space="0" w:color="auto"/>
              <w:right w:val="outset" w:sz="6" w:space="0" w:color="auto"/>
            </w:tcBorders>
          </w:tcPr>
          <w:p w14:paraId="2E0B8B5A" w14:textId="61F304B2" w:rsidR="00090E38" w:rsidRPr="00DA6984" w:rsidRDefault="00090E38" w:rsidP="009C5DF8">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Витрати часу на заповнення звіту – 3 години (</w:t>
            </w:r>
            <w:r w:rsidR="009C5DF8" w:rsidRPr="00DA6984">
              <w:rPr>
                <w:rFonts w:ascii="Times New Roman" w:hAnsi="Times New Roman" w:cs="Times New Roman"/>
                <w:sz w:val="24"/>
                <w:szCs w:val="24"/>
                <w:lang w:val="uk-UA"/>
              </w:rPr>
              <w:t>3 год</w:t>
            </w:r>
            <w:r w:rsidRPr="00DA6984">
              <w:rPr>
                <w:rFonts w:ascii="Times New Roman" w:hAnsi="Times New Roman" w:cs="Times New Roman"/>
                <w:sz w:val="24"/>
                <w:szCs w:val="24"/>
                <w:lang w:val="uk-UA"/>
              </w:rPr>
              <w:t>. х 28,31 грн)</w:t>
            </w:r>
          </w:p>
        </w:tc>
        <w:tc>
          <w:tcPr>
            <w:tcW w:w="1229" w:type="pct"/>
            <w:tcBorders>
              <w:top w:val="outset" w:sz="6" w:space="0" w:color="FFFFFF" w:themeColor="background1"/>
              <w:left w:val="outset" w:sz="6" w:space="0" w:color="auto"/>
              <w:bottom w:val="outset" w:sz="6" w:space="0" w:color="auto"/>
              <w:right w:val="outset" w:sz="6" w:space="0" w:color="auto"/>
            </w:tcBorders>
          </w:tcPr>
          <w:p w14:paraId="0BEDD17E" w14:textId="76CE4A2E" w:rsidR="00090E38" w:rsidRPr="00DA6984" w:rsidRDefault="009C5DF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84,93 </w:t>
            </w:r>
            <w:r w:rsidR="00090E38" w:rsidRPr="00DA6984">
              <w:rPr>
                <w:rFonts w:ascii="Times New Roman" w:hAnsi="Times New Roman" w:cs="Times New Roman"/>
                <w:sz w:val="24"/>
                <w:szCs w:val="24"/>
                <w:lang w:val="uk-UA"/>
              </w:rPr>
              <w:t>грн</w:t>
            </w:r>
          </w:p>
        </w:tc>
        <w:tc>
          <w:tcPr>
            <w:tcW w:w="1066" w:type="pct"/>
            <w:tcBorders>
              <w:top w:val="outset" w:sz="6" w:space="0" w:color="FFFFFF" w:themeColor="background1"/>
              <w:left w:val="outset" w:sz="6" w:space="0" w:color="auto"/>
              <w:bottom w:val="outset" w:sz="6" w:space="0" w:color="auto"/>
              <w:right w:val="outset" w:sz="6" w:space="0" w:color="auto"/>
            </w:tcBorders>
          </w:tcPr>
          <w:p w14:paraId="3D8A816D" w14:textId="4E54FA19" w:rsidR="00090E38" w:rsidRPr="00DA6984" w:rsidRDefault="009C5DF8" w:rsidP="009C5DF8">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424,65</w:t>
            </w:r>
            <w:r w:rsidR="00090E38" w:rsidRPr="00DA6984">
              <w:rPr>
                <w:rFonts w:ascii="Times New Roman" w:hAnsi="Times New Roman" w:cs="Times New Roman"/>
                <w:sz w:val="24"/>
                <w:szCs w:val="24"/>
                <w:lang w:val="uk-UA"/>
              </w:rPr>
              <w:t xml:space="preserve"> грн</w:t>
            </w:r>
          </w:p>
        </w:tc>
      </w:tr>
      <w:tr w:rsidR="00DA6984" w:rsidRPr="00DA6984" w14:paraId="508D84B1" w14:textId="77777777" w:rsidTr="00135435">
        <w:trPr>
          <w:tblCellSpacing w:w="22" w:type="dxa"/>
        </w:trPr>
        <w:tc>
          <w:tcPr>
            <w:tcW w:w="110" w:type="pct"/>
            <w:tcBorders>
              <w:top w:val="outset" w:sz="6" w:space="0" w:color="auto"/>
              <w:bottom w:val="outset" w:sz="6" w:space="0" w:color="auto"/>
              <w:right w:val="outset" w:sz="6" w:space="0" w:color="auto"/>
            </w:tcBorders>
          </w:tcPr>
          <w:p w14:paraId="425870FB" w14:textId="37E723E4"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3</w:t>
            </w:r>
          </w:p>
        </w:tc>
        <w:tc>
          <w:tcPr>
            <w:tcW w:w="2480" w:type="pct"/>
            <w:tcBorders>
              <w:top w:val="outset" w:sz="6" w:space="0" w:color="auto"/>
              <w:bottom w:val="outset" w:sz="6" w:space="0" w:color="auto"/>
              <w:right w:val="outset" w:sz="6" w:space="0" w:color="auto"/>
            </w:tcBorders>
          </w:tcPr>
          <w:p w14:paraId="55F32F1D" w14:textId="227587E3"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Витрати на оборотні активи (папір,  конверт, марку</w:t>
            </w:r>
            <w:r w:rsidR="00C42DE0" w:rsidRPr="00DA6984">
              <w:rPr>
                <w:rFonts w:ascii="Times New Roman" w:hAnsi="Times New Roman" w:cs="Times New Roman"/>
                <w:sz w:val="24"/>
                <w:szCs w:val="24"/>
                <w:vertAlign w:val="superscript"/>
                <w:lang w:val="uk-UA"/>
              </w:rPr>
              <w:t>3</w:t>
            </w:r>
            <w:r w:rsidRPr="00DA6984">
              <w:rPr>
                <w:rFonts w:ascii="Times New Roman" w:hAnsi="Times New Roman" w:cs="Times New Roman"/>
                <w:sz w:val="24"/>
                <w:szCs w:val="24"/>
                <w:lang w:val="uk-UA"/>
              </w:rPr>
              <w:t xml:space="preserve"> (70,00+3,75+13,50), грн</w:t>
            </w:r>
          </w:p>
        </w:tc>
        <w:tc>
          <w:tcPr>
            <w:tcW w:w="1229" w:type="pct"/>
            <w:tcBorders>
              <w:top w:val="outset" w:sz="6" w:space="0" w:color="auto"/>
              <w:left w:val="outset" w:sz="6" w:space="0" w:color="auto"/>
              <w:bottom w:val="outset" w:sz="6" w:space="0" w:color="auto"/>
              <w:right w:val="outset" w:sz="6" w:space="0" w:color="auto"/>
            </w:tcBorders>
          </w:tcPr>
          <w:p w14:paraId="6D6354E2" w14:textId="77777777"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87,25 грн</w:t>
            </w:r>
          </w:p>
        </w:tc>
        <w:tc>
          <w:tcPr>
            <w:tcW w:w="1066" w:type="pct"/>
            <w:tcBorders>
              <w:top w:val="outset" w:sz="6" w:space="0" w:color="auto"/>
              <w:left w:val="outset" w:sz="6" w:space="0" w:color="auto"/>
              <w:bottom w:val="outset" w:sz="6" w:space="0" w:color="auto"/>
              <w:right w:val="outset" w:sz="6" w:space="0" w:color="auto"/>
            </w:tcBorders>
          </w:tcPr>
          <w:p w14:paraId="16BC4AC7" w14:textId="42C09D6C" w:rsidR="00135435" w:rsidRPr="00DA6984" w:rsidRDefault="00C42DE0"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436,25</w:t>
            </w:r>
            <w:r w:rsidR="00135435" w:rsidRPr="00DA6984">
              <w:rPr>
                <w:rFonts w:ascii="Times New Roman" w:hAnsi="Times New Roman" w:cs="Times New Roman"/>
                <w:sz w:val="24"/>
                <w:szCs w:val="24"/>
                <w:lang w:val="uk-UA"/>
              </w:rPr>
              <w:t xml:space="preserve"> грн</w:t>
            </w:r>
          </w:p>
        </w:tc>
      </w:tr>
      <w:tr w:rsidR="00DA6984" w:rsidRPr="00DA6984" w14:paraId="7F909444" w14:textId="77777777" w:rsidTr="00135435">
        <w:trPr>
          <w:trHeight w:val="466"/>
          <w:tblCellSpacing w:w="22" w:type="dxa"/>
        </w:trPr>
        <w:tc>
          <w:tcPr>
            <w:tcW w:w="110" w:type="pct"/>
            <w:tcBorders>
              <w:top w:val="outset" w:sz="6" w:space="0" w:color="auto"/>
              <w:bottom w:val="outset" w:sz="6" w:space="0" w:color="auto"/>
              <w:right w:val="outset" w:sz="6" w:space="0" w:color="auto"/>
            </w:tcBorders>
          </w:tcPr>
          <w:p w14:paraId="60285051" w14:textId="19897ECD"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4</w:t>
            </w:r>
          </w:p>
        </w:tc>
        <w:tc>
          <w:tcPr>
            <w:tcW w:w="2480" w:type="pct"/>
            <w:tcBorders>
              <w:top w:val="outset" w:sz="6" w:space="0" w:color="auto"/>
              <w:bottom w:val="outset" w:sz="6" w:space="0" w:color="auto"/>
              <w:right w:val="outset" w:sz="6" w:space="0" w:color="auto"/>
            </w:tcBorders>
          </w:tcPr>
          <w:p w14:paraId="059E2159" w14:textId="77777777"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Оформлення одного рекомендованого листа по Україні, грн</w:t>
            </w:r>
          </w:p>
        </w:tc>
        <w:tc>
          <w:tcPr>
            <w:tcW w:w="1229" w:type="pct"/>
            <w:tcBorders>
              <w:top w:val="outset" w:sz="6" w:space="0" w:color="auto"/>
              <w:left w:val="outset" w:sz="6" w:space="0" w:color="auto"/>
              <w:bottom w:val="outset" w:sz="6" w:space="0" w:color="auto"/>
              <w:right w:val="outset" w:sz="6" w:space="0" w:color="auto"/>
            </w:tcBorders>
          </w:tcPr>
          <w:p w14:paraId="1E7218B8" w14:textId="77777777"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8,00 грн</w:t>
            </w:r>
          </w:p>
        </w:tc>
        <w:tc>
          <w:tcPr>
            <w:tcW w:w="1066" w:type="pct"/>
            <w:tcBorders>
              <w:top w:val="outset" w:sz="6" w:space="0" w:color="auto"/>
              <w:left w:val="outset" w:sz="6" w:space="0" w:color="auto"/>
              <w:bottom w:val="outset" w:sz="6" w:space="0" w:color="auto"/>
              <w:right w:val="outset" w:sz="6" w:space="0" w:color="auto"/>
            </w:tcBorders>
          </w:tcPr>
          <w:p w14:paraId="1A2B05F7" w14:textId="01AC3062"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en-US"/>
              </w:rPr>
              <w:t>4</w:t>
            </w:r>
            <w:r w:rsidR="00C42DE0" w:rsidRPr="00DA6984">
              <w:rPr>
                <w:rFonts w:ascii="Times New Roman" w:hAnsi="Times New Roman" w:cs="Times New Roman"/>
                <w:sz w:val="24"/>
                <w:szCs w:val="24"/>
                <w:lang w:val="uk-UA"/>
              </w:rPr>
              <w:t>0</w:t>
            </w:r>
            <w:r w:rsidRPr="00DA6984">
              <w:rPr>
                <w:rFonts w:ascii="Times New Roman" w:hAnsi="Times New Roman" w:cs="Times New Roman"/>
                <w:sz w:val="24"/>
                <w:szCs w:val="24"/>
                <w:lang w:val="uk-UA"/>
              </w:rPr>
              <w:t>,00 грн</w:t>
            </w:r>
          </w:p>
        </w:tc>
      </w:tr>
      <w:tr w:rsidR="00DA6984" w:rsidRPr="00DA6984" w14:paraId="7DD215A8" w14:textId="77777777" w:rsidTr="00135435">
        <w:trPr>
          <w:tblCellSpacing w:w="22" w:type="dxa"/>
        </w:trPr>
        <w:tc>
          <w:tcPr>
            <w:tcW w:w="110" w:type="pct"/>
            <w:tcBorders>
              <w:top w:val="outset" w:sz="6" w:space="0" w:color="auto"/>
              <w:bottom w:val="outset" w:sz="6" w:space="0" w:color="auto"/>
              <w:right w:val="outset" w:sz="6" w:space="0" w:color="auto"/>
            </w:tcBorders>
          </w:tcPr>
          <w:p w14:paraId="6894F61A" w14:textId="7C4ECEE5"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5</w:t>
            </w:r>
          </w:p>
        </w:tc>
        <w:tc>
          <w:tcPr>
            <w:tcW w:w="2480" w:type="pct"/>
            <w:tcBorders>
              <w:top w:val="outset" w:sz="6" w:space="0" w:color="auto"/>
              <w:bottom w:val="outset" w:sz="6" w:space="0" w:color="auto"/>
              <w:right w:val="outset" w:sz="6" w:space="0" w:color="auto"/>
            </w:tcBorders>
          </w:tcPr>
          <w:p w14:paraId="35B237F6" w14:textId="44D4F240"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Підготовка листа-з</w:t>
            </w:r>
            <w:r w:rsidR="00C42DE0" w:rsidRPr="00DA6984">
              <w:rPr>
                <w:rFonts w:ascii="Times New Roman" w:hAnsi="Times New Roman" w:cs="Times New Roman"/>
                <w:sz w:val="24"/>
                <w:szCs w:val="24"/>
                <w:lang w:val="uk-UA"/>
              </w:rPr>
              <w:t>асилки</w:t>
            </w:r>
            <w:r w:rsidRPr="00DA6984">
              <w:rPr>
                <w:rFonts w:ascii="Times New Roman" w:hAnsi="Times New Roman" w:cs="Times New Roman"/>
                <w:sz w:val="24"/>
                <w:szCs w:val="24"/>
                <w:lang w:val="uk-UA"/>
              </w:rPr>
              <w:t xml:space="preserve"> </w:t>
            </w:r>
          </w:p>
          <w:p w14:paraId="11199D28" w14:textId="6D2DAF23" w:rsidR="00135435" w:rsidRPr="00DA6984" w:rsidRDefault="00837926"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(в середньому –</w:t>
            </w:r>
            <w:r w:rsidR="00135435" w:rsidRPr="00DA6984">
              <w:rPr>
                <w:rFonts w:ascii="Times New Roman" w:hAnsi="Times New Roman" w:cs="Times New Roman"/>
                <w:sz w:val="24"/>
                <w:szCs w:val="24"/>
                <w:lang w:val="uk-UA"/>
              </w:rPr>
              <w:t>1 година х 28,31 грн)</w:t>
            </w:r>
          </w:p>
        </w:tc>
        <w:tc>
          <w:tcPr>
            <w:tcW w:w="1229" w:type="pct"/>
            <w:tcBorders>
              <w:top w:val="outset" w:sz="6" w:space="0" w:color="auto"/>
              <w:left w:val="outset" w:sz="6" w:space="0" w:color="auto"/>
              <w:bottom w:val="outset" w:sz="6" w:space="0" w:color="auto"/>
              <w:right w:val="outset" w:sz="6" w:space="0" w:color="auto"/>
            </w:tcBorders>
          </w:tcPr>
          <w:p w14:paraId="1EAEB145" w14:textId="77777777"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28,31 грн</w:t>
            </w:r>
          </w:p>
        </w:tc>
        <w:tc>
          <w:tcPr>
            <w:tcW w:w="1066" w:type="pct"/>
            <w:tcBorders>
              <w:top w:val="outset" w:sz="6" w:space="0" w:color="auto"/>
              <w:left w:val="outset" w:sz="6" w:space="0" w:color="auto"/>
              <w:bottom w:val="outset" w:sz="6" w:space="0" w:color="auto"/>
              <w:right w:val="outset" w:sz="6" w:space="0" w:color="auto"/>
            </w:tcBorders>
          </w:tcPr>
          <w:p w14:paraId="2ED35E36" w14:textId="5BC73246" w:rsidR="00135435" w:rsidRPr="00DA6984" w:rsidRDefault="00C42DE0" w:rsidP="00135435">
            <w:pPr>
              <w:spacing w:after="0" w:line="240" w:lineRule="auto"/>
              <w:rPr>
                <w:rFonts w:ascii="Times New Roman" w:hAnsi="Times New Roman" w:cs="Times New Roman"/>
                <w:sz w:val="24"/>
                <w:szCs w:val="24"/>
              </w:rPr>
            </w:pPr>
            <w:r w:rsidRPr="00DA6984">
              <w:rPr>
                <w:rFonts w:ascii="Times New Roman" w:hAnsi="Times New Roman" w:cs="Times New Roman"/>
                <w:sz w:val="24"/>
                <w:szCs w:val="24"/>
                <w:lang w:val="uk-UA"/>
              </w:rPr>
              <w:t>141,55 грн</w:t>
            </w:r>
          </w:p>
        </w:tc>
      </w:tr>
      <w:tr w:rsidR="00DA6984" w:rsidRPr="00DA6984" w14:paraId="1AD11DA6" w14:textId="77777777" w:rsidTr="00135435">
        <w:trPr>
          <w:trHeight w:val="750"/>
          <w:tblCellSpacing w:w="22" w:type="dxa"/>
        </w:trPr>
        <w:tc>
          <w:tcPr>
            <w:tcW w:w="110" w:type="pct"/>
            <w:tcBorders>
              <w:top w:val="outset" w:sz="6" w:space="0" w:color="auto"/>
              <w:bottom w:val="outset" w:sz="6" w:space="0" w:color="auto"/>
              <w:right w:val="outset" w:sz="6" w:space="0" w:color="auto"/>
            </w:tcBorders>
          </w:tcPr>
          <w:p w14:paraId="7F95B847" w14:textId="7AE0A417"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6</w:t>
            </w:r>
          </w:p>
        </w:tc>
        <w:tc>
          <w:tcPr>
            <w:tcW w:w="2480" w:type="pct"/>
            <w:tcBorders>
              <w:top w:val="outset" w:sz="6" w:space="0" w:color="auto"/>
              <w:bottom w:val="outset" w:sz="6" w:space="0" w:color="auto"/>
              <w:right w:val="outset" w:sz="6" w:space="0" w:color="auto"/>
            </w:tcBorders>
          </w:tcPr>
          <w:p w14:paraId="2DCB6B83" w14:textId="5E370ED5" w:rsidR="00135435" w:rsidRPr="00DA6984" w:rsidRDefault="00C42DE0"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Відправлення листа-засилки</w:t>
            </w:r>
          </w:p>
          <w:p w14:paraId="6FE853D5" w14:textId="4064CF2B" w:rsidR="00135435" w:rsidRPr="00DA6984" w:rsidRDefault="00837926"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(в середньому –</w:t>
            </w:r>
            <w:r w:rsidR="00135435" w:rsidRPr="00DA6984">
              <w:rPr>
                <w:rFonts w:ascii="Times New Roman" w:hAnsi="Times New Roman" w:cs="Times New Roman"/>
                <w:sz w:val="24"/>
                <w:szCs w:val="24"/>
                <w:lang w:val="uk-UA"/>
              </w:rPr>
              <w:t xml:space="preserve"> 0,5 години х 28,31 грн) </w:t>
            </w:r>
          </w:p>
        </w:tc>
        <w:tc>
          <w:tcPr>
            <w:tcW w:w="1229" w:type="pct"/>
            <w:tcBorders>
              <w:top w:val="outset" w:sz="6" w:space="0" w:color="auto"/>
              <w:left w:val="outset" w:sz="6" w:space="0" w:color="auto"/>
              <w:bottom w:val="outset" w:sz="6" w:space="0" w:color="auto"/>
              <w:right w:val="outset" w:sz="6" w:space="0" w:color="auto"/>
            </w:tcBorders>
          </w:tcPr>
          <w:p w14:paraId="3EE50B04" w14:textId="77777777"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14,16 грн</w:t>
            </w:r>
          </w:p>
        </w:tc>
        <w:tc>
          <w:tcPr>
            <w:tcW w:w="1066" w:type="pct"/>
            <w:tcBorders>
              <w:top w:val="outset" w:sz="6" w:space="0" w:color="auto"/>
              <w:left w:val="outset" w:sz="6" w:space="0" w:color="auto"/>
              <w:bottom w:val="outset" w:sz="6" w:space="0" w:color="auto"/>
              <w:right w:val="outset" w:sz="6" w:space="0" w:color="auto"/>
            </w:tcBorders>
          </w:tcPr>
          <w:p w14:paraId="73E45D02" w14:textId="4AB23171"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en-US"/>
              </w:rPr>
              <w:t>70,8</w:t>
            </w:r>
            <w:r w:rsidRPr="00DA6984">
              <w:rPr>
                <w:rFonts w:ascii="Times New Roman" w:hAnsi="Times New Roman" w:cs="Times New Roman"/>
                <w:sz w:val="24"/>
                <w:szCs w:val="24"/>
                <w:lang w:val="uk-UA"/>
              </w:rPr>
              <w:t xml:space="preserve">0 </w:t>
            </w:r>
            <w:r w:rsidR="00135435" w:rsidRPr="00DA6984">
              <w:rPr>
                <w:rFonts w:ascii="Times New Roman" w:hAnsi="Times New Roman" w:cs="Times New Roman"/>
                <w:sz w:val="24"/>
                <w:szCs w:val="24"/>
                <w:lang w:val="uk-UA"/>
              </w:rPr>
              <w:t>грн</w:t>
            </w:r>
          </w:p>
        </w:tc>
      </w:tr>
      <w:tr w:rsidR="00DA6984" w:rsidRPr="00DA6984" w14:paraId="4132A471" w14:textId="77777777" w:rsidTr="00135435">
        <w:trPr>
          <w:trHeight w:val="404"/>
          <w:tblCellSpacing w:w="22" w:type="dxa"/>
        </w:trPr>
        <w:tc>
          <w:tcPr>
            <w:tcW w:w="110" w:type="pct"/>
            <w:tcBorders>
              <w:top w:val="outset" w:sz="6" w:space="0" w:color="auto"/>
              <w:bottom w:val="outset" w:sz="6" w:space="0" w:color="auto"/>
              <w:right w:val="outset" w:sz="6" w:space="0" w:color="auto"/>
            </w:tcBorders>
          </w:tcPr>
          <w:p w14:paraId="636B2FF6" w14:textId="10B5EB1D"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7</w:t>
            </w:r>
          </w:p>
        </w:tc>
        <w:tc>
          <w:tcPr>
            <w:tcW w:w="2480" w:type="pct"/>
            <w:tcBorders>
              <w:top w:val="outset" w:sz="6" w:space="0" w:color="auto"/>
              <w:bottom w:val="outset" w:sz="6" w:space="0" w:color="auto"/>
              <w:right w:val="outset" w:sz="6" w:space="0" w:color="auto"/>
            </w:tcBorders>
          </w:tcPr>
          <w:p w14:paraId="221BD539" w14:textId="44033E60"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РАЗОМ (сума рядків: 1+2+3+4</w:t>
            </w:r>
            <w:r w:rsidR="00090E38" w:rsidRPr="00DA6984">
              <w:rPr>
                <w:rFonts w:ascii="Times New Roman" w:hAnsi="Times New Roman" w:cs="Times New Roman"/>
                <w:sz w:val="24"/>
                <w:szCs w:val="24"/>
                <w:lang w:val="uk-UA"/>
              </w:rPr>
              <w:t>+5+6</w:t>
            </w:r>
            <w:r w:rsidRPr="00DA6984">
              <w:rPr>
                <w:rFonts w:ascii="Times New Roman" w:hAnsi="Times New Roman" w:cs="Times New Roman"/>
                <w:sz w:val="24"/>
                <w:szCs w:val="24"/>
                <w:lang w:val="uk-UA"/>
              </w:rPr>
              <w:t>), грн</w:t>
            </w:r>
          </w:p>
        </w:tc>
        <w:tc>
          <w:tcPr>
            <w:tcW w:w="1229" w:type="pct"/>
            <w:tcBorders>
              <w:top w:val="outset" w:sz="6" w:space="0" w:color="auto"/>
              <w:left w:val="outset" w:sz="6" w:space="0" w:color="auto"/>
              <w:bottom w:val="outset" w:sz="6" w:space="0" w:color="auto"/>
              <w:right w:val="outset" w:sz="6" w:space="0" w:color="auto"/>
            </w:tcBorders>
          </w:tcPr>
          <w:p w14:paraId="20CFB1EB" w14:textId="5279B1D8" w:rsidR="00135435" w:rsidRPr="00DA6984" w:rsidRDefault="00877480"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250,96</w:t>
            </w:r>
            <w:r w:rsidR="00090E38" w:rsidRPr="00DA6984">
              <w:rPr>
                <w:rFonts w:ascii="Times New Roman" w:hAnsi="Times New Roman" w:cs="Times New Roman"/>
                <w:sz w:val="24"/>
                <w:szCs w:val="24"/>
                <w:lang w:val="uk-UA"/>
              </w:rPr>
              <w:t xml:space="preserve"> </w:t>
            </w:r>
            <w:r w:rsidR="00135435" w:rsidRPr="00DA6984">
              <w:rPr>
                <w:rFonts w:ascii="Times New Roman" w:hAnsi="Times New Roman" w:cs="Times New Roman"/>
                <w:sz w:val="24"/>
                <w:szCs w:val="24"/>
                <w:lang w:val="uk-UA"/>
              </w:rPr>
              <w:t>грн</w:t>
            </w:r>
          </w:p>
        </w:tc>
        <w:tc>
          <w:tcPr>
            <w:tcW w:w="1066" w:type="pct"/>
            <w:tcBorders>
              <w:top w:val="outset" w:sz="6" w:space="0" w:color="auto"/>
              <w:left w:val="outset" w:sz="6" w:space="0" w:color="auto"/>
              <w:bottom w:val="outset" w:sz="6" w:space="0" w:color="auto"/>
              <w:right w:val="outset" w:sz="6" w:space="0" w:color="auto"/>
            </w:tcBorders>
          </w:tcPr>
          <w:p w14:paraId="5AE93F6A" w14:textId="42528068" w:rsidR="00135435" w:rsidRPr="00DA6984" w:rsidRDefault="009C5DF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1</w:t>
            </w:r>
            <w:r w:rsidR="00877480" w:rsidRPr="00DA6984">
              <w:rPr>
                <w:rFonts w:ascii="Times New Roman" w:hAnsi="Times New Roman" w:cs="Times New Roman"/>
                <w:sz w:val="24"/>
                <w:szCs w:val="24"/>
                <w:lang w:val="uk-UA"/>
              </w:rPr>
              <w:t> 254,80</w:t>
            </w:r>
            <w:r w:rsidR="00090E38" w:rsidRPr="00DA6984">
              <w:rPr>
                <w:rFonts w:ascii="Times New Roman" w:hAnsi="Times New Roman" w:cs="Times New Roman"/>
                <w:sz w:val="24"/>
                <w:szCs w:val="24"/>
                <w:lang w:val="uk-UA"/>
              </w:rPr>
              <w:t xml:space="preserve"> </w:t>
            </w:r>
            <w:r w:rsidR="00135435" w:rsidRPr="00DA6984">
              <w:rPr>
                <w:rFonts w:ascii="Times New Roman" w:hAnsi="Times New Roman" w:cs="Times New Roman"/>
                <w:sz w:val="24"/>
                <w:szCs w:val="24"/>
                <w:lang w:val="uk-UA"/>
              </w:rPr>
              <w:t>грн</w:t>
            </w:r>
          </w:p>
        </w:tc>
      </w:tr>
      <w:tr w:rsidR="00DA6984" w:rsidRPr="00DA6984" w14:paraId="08E69C0A" w14:textId="77777777" w:rsidTr="00135435">
        <w:trPr>
          <w:tblCellSpacing w:w="22" w:type="dxa"/>
        </w:trPr>
        <w:tc>
          <w:tcPr>
            <w:tcW w:w="110" w:type="pct"/>
            <w:tcBorders>
              <w:top w:val="outset" w:sz="6" w:space="0" w:color="auto"/>
              <w:bottom w:val="outset" w:sz="6" w:space="0" w:color="auto"/>
              <w:right w:val="outset" w:sz="6" w:space="0" w:color="auto"/>
            </w:tcBorders>
          </w:tcPr>
          <w:p w14:paraId="4EDB6236" w14:textId="3A7AC257"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8</w:t>
            </w:r>
          </w:p>
        </w:tc>
        <w:tc>
          <w:tcPr>
            <w:tcW w:w="2480" w:type="pct"/>
            <w:tcBorders>
              <w:top w:val="outset" w:sz="6" w:space="0" w:color="auto"/>
              <w:bottom w:val="outset" w:sz="6" w:space="0" w:color="auto"/>
              <w:right w:val="outset" w:sz="6" w:space="0" w:color="auto"/>
            </w:tcBorders>
          </w:tcPr>
          <w:p w14:paraId="51537F51" w14:textId="77777777"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Кількість суб’єктів господарювання, на яких буде поширено регулювання, одиниць</w:t>
            </w:r>
          </w:p>
        </w:tc>
        <w:tc>
          <w:tcPr>
            <w:tcW w:w="1229" w:type="pct"/>
            <w:tcBorders>
              <w:top w:val="outset" w:sz="6" w:space="0" w:color="auto"/>
              <w:left w:val="outset" w:sz="6" w:space="0" w:color="auto"/>
              <w:bottom w:val="outset" w:sz="6" w:space="0" w:color="auto"/>
              <w:right w:val="outset" w:sz="6" w:space="0" w:color="auto"/>
            </w:tcBorders>
          </w:tcPr>
          <w:p w14:paraId="0B482E21" w14:textId="39C87410"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11</w:t>
            </w:r>
            <w:r w:rsidR="00877480" w:rsidRPr="00DA6984">
              <w:rPr>
                <w:rFonts w:ascii="Times New Roman" w:hAnsi="Times New Roman" w:cs="Times New Roman"/>
                <w:sz w:val="24"/>
                <w:szCs w:val="24"/>
                <w:lang w:val="uk-UA"/>
              </w:rPr>
              <w:t>,00</w:t>
            </w:r>
          </w:p>
        </w:tc>
        <w:tc>
          <w:tcPr>
            <w:tcW w:w="1066" w:type="pct"/>
            <w:tcBorders>
              <w:top w:val="outset" w:sz="6" w:space="0" w:color="auto"/>
              <w:left w:val="outset" w:sz="6" w:space="0" w:color="auto"/>
              <w:bottom w:val="outset" w:sz="6" w:space="0" w:color="auto"/>
              <w:right w:val="outset" w:sz="6" w:space="0" w:color="auto"/>
            </w:tcBorders>
          </w:tcPr>
          <w:p w14:paraId="6B1E6A73" w14:textId="194AA3C7"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1</w:t>
            </w:r>
            <w:r w:rsidR="00C31CB5" w:rsidRPr="00DA6984">
              <w:rPr>
                <w:rFonts w:ascii="Times New Roman" w:hAnsi="Times New Roman" w:cs="Times New Roman"/>
                <w:sz w:val="24"/>
                <w:szCs w:val="24"/>
                <w:lang w:val="uk-UA"/>
              </w:rPr>
              <w:t>1</w:t>
            </w:r>
            <w:r w:rsidR="00877480" w:rsidRPr="00DA6984">
              <w:rPr>
                <w:rFonts w:ascii="Times New Roman" w:hAnsi="Times New Roman" w:cs="Times New Roman"/>
                <w:sz w:val="24"/>
                <w:szCs w:val="24"/>
                <w:lang w:val="uk-UA"/>
              </w:rPr>
              <w:t>,00</w:t>
            </w:r>
          </w:p>
        </w:tc>
      </w:tr>
      <w:tr w:rsidR="00135435" w:rsidRPr="00DA6984" w14:paraId="5A65747F" w14:textId="77777777" w:rsidTr="00135435">
        <w:trPr>
          <w:tblCellSpacing w:w="22" w:type="dxa"/>
        </w:trPr>
        <w:tc>
          <w:tcPr>
            <w:tcW w:w="110" w:type="pct"/>
            <w:tcBorders>
              <w:top w:val="outset" w:sz="6" w:space="0" w:color="auto"/>
              <w:bottom w:val="outset" w:sz="6" w:space="0" w:color="auto"/>
              <w:right w:val="outset" w:sz="6" w:space="0" w:color="auto"/>
            </w:tcBorders>
          </w:tcPr>
          <w:p w14:paraId="11FCF298" w14:textId="13B71CE4" w:rsidR="00135435" w:rsidRPr="00DA6984" w:rsidRDefault="00090E3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9</w:t>
            </w:r>
          </w:p>
        </w:tc>
        <w:tc>
          <w:tcPr>
            <w:tcW w:w="2480" w:type="pct"/>
            <w:tcBorders>
              <w:top w:val="outset" w:sz="6" w:space="0" w:color="auto"/>
              <w:bottom w:val="outset" w:sz="6" w:space="0" w:color="auto"/>
              <w:right w:val="outset" w:sz="6" w:space="0" w:color="auto"/>
            </w:tcBorders>
          </w:tcPr>
          <w:p w14:paraId="2FF36538" w14:textId="7CD0C64A" w:rsidR="00135435" w:rsidRPr="00DA6984" w:rsidRDefault="00135435"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Сумарні витрати суб’єктів господарювання, на виконання регулювання</w:t>
            </w:r>
            <w:r w:rsidR="00090E38" w:rsidRPr="00DA6984">
              <w:rPr>
                <w:rFonts w:ascii="Times New Roman" w:hAnsi="Times New Roman" w:cs="Times New Roman"/>
                <w:sz w:val="24"/>
                <w:szCs w:val="24"/>
                <w:lang w:val="uk-UA"/>
              </w:rPr>
              <w:t xml:space="preserve"> (вартість регулювання) (рядок 7 х рядок 8</w:t>
            </w:r>
            <w:r w:rsidRPr="00DA6984">
              <w:rPr>
                <w:rFonts w:ascii="Times New Roman" w:hAnsi="Times New Roman" w:cs="Times New Roman"/>
                <w:sz w:val="24"/>
                <w:szCs w:val="24"/>
                <w:lang w:val="uk-UA"/>
              </w:rPr>
              <w:t>), грн</w:t>
            </w:r>
          </w:p>
        </w:tc>
        <w:tc>
          <w:tcPr>
            <w:tcW w:w="1229" w:type="pct"/>
            <w:tcBorders>
              <w:top w:val="outset" w:sz="6" w:space="0" w:color="auto"/>
              <w:left w:val="outset" w:sz="6" w:space="0" w:color="auto"/>
              <w:bottom w:val="outset" w:sz="6" w:space="0" w:color="auto"/>
              <w:right w:val="outset" w:sz="6" w:space="0" w:color="auto"/>
            </w:tcBorders>
          </w:tcPr>
          <w:p w14:paraId="277EF16F" w14:textId="6266A37C" w:rsidR="00135435" w:rsidRPr="00DA6984" w:rsidRDefault="00877480"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2 760,56</w:t>
            </w:r>
            <w:r w:rsidR="00135435" w:rsidRPr="00DA6984">
              <w:rPr>
                <w:rFonts w:ascii="Times New Roman" w:hAnsi="Times New Roman" w:cs="Times New Roman"/>
                <w:sz w:val="24"/>
                <w:szCs w:val="24"/>
                <w:lang w:val="uk-UA"/>
              </w:rPr>
              <w:t xml:space="preserve"> грн</w:t>
            </w:r>
          </w:p>
        </w:tc>
        <w:tc>
          <w:tcPr>
            <w:tcW w:w="1066" w:type="pct"/>
            <w:tcBorders>
              <w:top w:val="outset" w:sz="6" w:space="0" w:color="auto"/>
              <w:left w:val="outset" w:sz="6" w:space="0" w:color="auto"/>
              <w:bottom w:val="outset" w:sz="6" w:space="0" w:color="auto"/>
              <w:right w:val="outset" w:sz="6" w:space="0" w:color="auto"/>
            </w:tcBorders>
          </w:tcPr>
          <w:p w14:paraId="4C00EBDE" w14:textId="5619B99F" w:rsidR="00135435" w:rsidRPr="00DA6984" w:rsidRDefault="009C5DF8" w:rsidP="00135435">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13</w:t>
            </w:r>
            <w:r w:rsidR="00877480" w:rsidRPr="00DA6984">
              <w:rPr>
                <w:rFonts w:ascii="Times New Roman" w:hAnsi="Times New Roman" w:cs="Times New Roman"/>
                <w:sz w:val="24"/>
                <w:szCs w:val="24"/>
                <w:lang w:val="uk-UA"/>
              </w:rPr>
              <w:t> 802,80</w:t>
            </w:r>
            <w:r w:rsidR="00C31CB5" w:rsidRPr="00DA6984">
              <w:rPr>
                <w:rFonts w:ascii="Times New Roman" w:hAnsi="Times New Roman" w:cs="Times New Roman"/>
                <w:sz w:val="24"/>
                <w:szCs w:val="24"/>
              </w:rPr>
              <w:t>‬</w:t>
            </w:r>
            <w:r w:rsidR="00135435" w:rsidRPr="00DA6984">
              <w:rPr>
                <w:rFonts w:ascii="Times New Roman" w:hAnsi="Times New Roman" w:cs="Times New Roman"/>
                <w:sz w:val="24"/>
                <w:szCs w:val="24"/>
                <w:lang w:val="uk-UA"/>
              </w:rPr>
              <w:t xml:space="preserve"> грн</w:t>
            </w:r>
          </w:p>
        </w:tc>
      </w:tr>
    </w:tbl>
    <w:p w14:paraId="3BD20569" w14:textId="3D9BD048" w:rsidR="00EB6DDD" w:rsidRPr="00DA6984" w:rsidRDefault="00EB6DDD" w:rsidP="00135435">
      <w:pPr>
        <w:spacing w:after="0" w:line="240" w:lineRule="auto"/>
        <w:rPr>
          <w:rFonts w:ascii="Times New Roman" w:hAnsi="Times New Roman" w:cs="Times New Roman"/>
          <w:sz w:val="20"/>
          <w:szCs w:val="20"/>
          <w:lang w:val="en-US"/>
        </w:rPr>
      </w:pPr>
    </w:p>
    <w:p w14:paraId="1A99E6A5" w14:textId="77777777" w:rsidR="00CC1720" w:rsidRPr="00DA6984" w:rsidRDefault="00CC1720" w:rsidP="00135435">
      <w:pPr>
        <w:spacing w:after="0" w:line="240" w:lineRule="auto"/>
        <w:rPr>
          <w:rFonts w:ascii="Times New Roman" w:hAnsi="Times New Roman" w:cs="Times New Roman"/>
          <w:sz w:val="20"/>
          <w:szCs w:val="20"/>
          <w:lang w:val="uk-UA"/>
        </w:rPr>
      </w:pPr>
    </w:p>
    <w:p w14:paraId="2273BEB6" w14:textId="4DC4DB5A" w:rsidR="00135435" w:rsidRPr="00DA6984" w:rsidRDefault="00135435" w:rsidP="00135435">
      <w:pPr>
        <w:spacing w:after="0" w:line="240" w:lineRule="auto"/>
        <w:rPr>
          <w:rFonts w:ascii="Times New Roman" w:hAnsi="Times New Roman" w:cs="Times New Roman"/>
          <w:sz w:val="20"/>
          <w:szCs w:val="20"/>
          <w:lang w:val="en-US"/>
        </w:rPr>
      </w:pPr>
      <w:r w:rsidRPr="00DA6984">
        <w:rPr>
          <w:rFonts w:ascii="Times New Roman" w:hAnsi="Times New Roman" w:cs="Times New Roman"/>
          <w:sz w:val="20"/>
          <w:szCs w:val="20"/>
          <w:lang w:val="en-US"/>
        </w:rPr>
        <w:t>____________________</w:t>
      </w:r>
    </w:p>
    <w:p w14:paraId="0C7F1BE8" w14:textId="77777777" w:rsidR="00C55CE2" w:rsidRPr="00DA6984" w:rsidRDefault="00C55CE2" w:rsidP="00135435">
      <w:pPr>
        <w:spacing w:after="0" w:line="240" w:lineRule="auto"/>
        <w:rPr>
          <w:rFonts w:ascii="Times New Roman" w:hAnsi="Times New Roman" w:cs="Times New Roman"/>
          <w:sz w:val="20"/>
          <w:szCs w:val="20"/>
          <w:lang w:val="uk-UA"/>
        </w:rPr>
      </w:pPr>
    </w:p>
    <w:p w14:paraId="4D6823F8" w14:textId="77777777" w:rsidR="00135435" w:rsidRPr="00DA6984" w:rsidRDefault="00135435" w:rsidP="00135435">
      <w:pPr>
        <w:spacing w:after="0" w:line="240" w:lineRule="auto"/>
        <w:rPr>
          <w:rFonts w:ascii="Times New Roman" w:hAnsi="Times New Roman" w:cs="Times New Roman"/>
          <w:sz w:val="20"/>
          <w:szCs w:val="20"/>
          <w:lang w:val="uk-UA"/>
        </w:rPr>
      </w:pPr>
      <w:r w:rsidRPr="00DA6984">
        <w:rPr>
          <w:rFonts w:ascii="Times New Roman" w:hAnsi="Times New Roman" w:cs="Times New Roman"/>
          <w:sz w:val="20"/>
          <w:szCs w:val="20"/>
          <w:vertAlign w:val="superscript"/>
        </w:rPr>
        <w:t xml:space="preserve">1 </w:t>
      </w:r>
      <w:r w:rsidRPr="00DA6984">
        <w:rPr>
          <w:rFonts w:ascii="Times New Roman" w:hAnsi="Times New Roman" w:cs="Times New Roman"/>
          <w:sz w:val="20"/>
          <w:szCs w:val="20"/>
          <w:lang w:val="uk-UA"/>
        </w:rPr>
        <w:t>Дія проєкту наказу однаково впливає на всіх суб’єктів господарювання незалежно від форми власності та рівня доходів.</w:t>
      </w:r>
    </w:p>
    <w:p w14:paraId="31214519" w14:textId="3A22F435" w:rsidR="00135435" w:rsidRPr="00DA6984" w:rsidRDefault="00135435" w:rsidP="00135435">
      <w:pPr>
        <w:spacing w:after="0" w:line="240" w:lineRule="auto"/>
        <w:rPr>
          <w:rFonts w:ascii="Times New Roman" w:hAnsi="Times New Roman" w:cs="Times New Roman"/>
          <w:sz w:val="20"/>
          <w:szCs w:val="20"/>
          <w:lang w:val="uk-UA"/>
        </w:rPr>
      </w:pPr>
      <w:r w:rsidRPr="00DA6984">
        <w:rPr>
          <w:rFonts w:ascii="Times New Roman" w:hAnsi="Times New Roman" w:cs="Times New Roman"/>
          <w:sz w:val="20"/>
          <w:szCs w:val="20"/>
          <w:vertAlign w:val="superscript"/>
          <w:lang w:val="uk-UA"/>
        </w:rPr>
        <w:t>2</w:t>
      </w:r>
      <w:r w:rsidRPr="00DA6984">
        <w:rPr>
          <w:rFonts w:ascii="Times New Roman" w:hAnsi="Times New Roman" w:cs="Times New Roman"/>
          <w:sz w:val="20"/>
          <w:szCs w:val="20"/>
          <w:vertAlign w:val="superscript"/>
        </w:rPr>
        <w:t xml:space="preserve"> </w:t>
      </w:r>
      <w:r w:rsidRPr="00DA6984">
        <w:rPr>
          <w:rFonts w:ascii="Times New Roman" w:hAnsi="Times New Roman" w:cs="Times New Roman"/>
          <w:sz w:val="20"/>
          <w:szCs w:val="20"/>
          <w:lang w:val="uk-UA"/>
        </w:rPr>
        <w:t>Мінімальна погодинна заробітна плата в Україні станом на 01.01.2020.</w:t>
      </w:r>
    </w:p>
    <w:p w14:paraId="3B742C0C" w14:textId="62FCBDE9" w:rsidR="003B703F" w:rsidRPr="00DA6984" w:rsidRDefault="00135435" w:rsidP="00135435">
      <w:pPr>
        <w:spacing w:after="0" w:line="240" w:lineRule="auto"/>
        <w:rPr>
          <w:rFonts w:ascii="Times New Roman" w:hAnsi="Times New Roman" w:cs="Times New Roman"/>
          <w:sz w:val="20"/>
          <w:szCs w:val="20"/>
          <w:lang w:val="uk-UA"/>
        </w:rPr>
      </w:pPr>
      <w:r w:rsidRPr="00DA6984">
        <w:rPr>
          <w:rFonts w:ascii="Times New Roman" w:hAnsi="Times New Roman" w:cs="Times New Roman"/>
          <w:sz w:val="20"/>
          <w:szCs w:val="20"/>
          <w:vertAlign w:val="superscript"/>
          <w:lang w:val="uk-UA"/>
        </w:rPr>
        <w:t xml:space="preserve">3 </w:t>
      </w:r>
      <w:r w:rsidRPr="00DA6984">
        <w:rPr>
          <w:rFonts w:ascii="Times New Roman" w:hAnsi="Times New Roman" w:cs="Times New Roman"/>
          <w:sz w:val="20"/>
          <w:szCs w:val="20"/>
          <w:lang w:val="uk-UA"/>
        </w:rPr>
        <w:t xml:space="preserve">З 01.01.2020 вартість марки на відправку кореспонденції вагою понад 50 </w:t>
      </w:r>
      <w:r w:rsidR="00837926" w:rsidRPr="00DA6984">
        <w:rPr>
          <w:rFonts w:ascii="Times New Roman" w:hAnsi="Times New Roman" w:cs="Times New Roman"/>
          <w:sz w:val="20"/>
          <w:szCs w:val="20"/>
          <w:lang w:val="uk-UA"/>
        </w:rPr>
        <w:t>до 250 грам становить 13,50 гривень.</w:t>
      </w:r>
    </w:p>
    <w:p w14:paraId="684B7491" w14:textId="0607E34B" w:rsidR="008E36A8" w:rsidRPr="00DA6984" w:rsidRDefault="008E36A8" w:rsidP="00407557">
      <w:pPr>
        <w:spacing w:after="0" w:line="240" w:lineRule="auto"/>
        <w:rPr>
          <w:rFonts w:ascii="Times New Roman" w:hAnsi="Times New Roman" w:cs="Times New Roman"/>
          <w:sz w:val="28"/>
          <w:szCs w:val="28"/>
          <w:lang w:val="uk-UA"/>
        </w:rPr>
      </w:pPr>
    </w:p>
    <w:tbl>
      <w:tblPr>
        <w:tblpPr w:leftFromText="180" w:rightFromText="180" w:vertAnchor="text" w:horzAnchor="margin" w:tblpY="146"/>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504"/>
        <w:gridCol w:w="2118"/>
      </w:tblGrid>
      <w:tr w:rsidR="00DA6984" w:rsidRPr="00DA6984" w14:paraId="197647F5" w14:textId="77777777" w:rsidTr="00CC1720">
        <w:trPr>
          <w:trHeight w:val="746"/>
          <w:tblCellSpacing w:w="22" w:type="dxa"/>
        </w:trPr>
        <w:tc>
          <w:tcPr>
            <w:tcW w:w="3865" w:type="pct"/>
            <w:tcBorders>
              <w:top w:val="outset" w:sz="6" w:space="0" w:color="auto"/>
              <w:left w:val="outset" w:sz="6" w:space="0" w:color="auto"/>
              <w:bottom w:val="outset" w:sz="6" w:space="0" w:color="auto"/>
              <w:right w:val="outset" w:sz="6" w:space="0" w:color="auto"/>
            </w:tcBorders>
            <w:vAlign w:val="center"/>
          </w:tcPr>
          <w:p w14:paraId="31C3DDE8" w14:textId="77777777" w:rsidR="00262CC5" w:rsidRPr="00DA6984" w:rsidRDefault="00262CC5" w:rsidP="00566D16">
            <w:pPr>
              <w:pStyle w:val="a4"/>
              <w:widowControl w:val="0"/>
              <w:spacing w:before="0" w:beforeAutospacing="0" w:after="0" w:afterAutospacing="0"/>
              <w:jc w:val="center"/>
            </w:pPr>
            <w:r w:rsidRPr="00DA6984">
              <w:lastRenderedPageBreak/>
              <w:t>Сумарні витрати за альтернативами</w:t>
            </w:r>
          </w:p>
        </w:tc>
        <w:tc>
          <w:tcPr>
            <w:tcW w:w="1066" w:type="pct"/>
            <w:tcBorders>
              <w:top w:val="outset" w:sz="6" w:space="0" w:color="auto"/>
              <w:left w:val="outset" w:sz="6" w:space="0" w:color="auto"/>
              <w:bottom w:val="outset" w:sz="6" w:space="0" w:color="auto"/>
              <w:right w:val="outset" w:sz="6" w:space="0" w:color="auto"/>
            </w:tcBorders>
            <w:vAlign w:val="center"/>
          </w:tcPr>
          <w:p w14:paraId="4224D117" w14:textId="77777777" w:rsidR="00262CC5" w:rsidRPr="00DA6984" w:rsidRDefault="00262CC5" w:rsidP="00135435">
            <w:pPr>
              <w:pStyle w:val="a4"/>
              <w:widowControl w:val="0"/>
              <w:spacing w:before="0" w:beforeAutospacing="0" w:after="0" w:afterAutospacing="0"/>
              <w:jc w:val="both"/>
            </w:pPr>
            <w:r w:rsidRPr="00DA6984">
              <w:t>Сума витрат, грн</w:t>
            </w:r>
          </w:p>
        </w:tc>
      </w:tr>
      <w:tr w:rsidR="00DA6984" w:rsidRPr="00DA6984" w14:paraId="03E1DA37" w14:textId="77777777" w:rsidTr="00CC1720">
        <w:trPr>
          <w:trHeight w:val="1417"/>
          <w:tblCellSpacing w:w="22" w:type="dxa"/>
        </w:trPr>
        <w:tc>
          <w:tcPr>
            <w:tcW w:w="3865" w:type="pct"/>
            <w:tcBorders>
              <w:top w:val="outset" w:sz="6" w:space="0" w:color="auto"/>
              <w:left w:val="outset" w:sz="6" w:space="0" w:color="auto"/>
              <w:bottom w:val="outset" w:sz="6" w:space="0" w:color="auto"/>
              <w:right w:val="outset" w:sz="6" w:space="0" w:color="auto"/>
            </w:tcBorders>
          </w:tcPr>
          <w:p w14:paraId="69B34B5B" w14:textId="2B78EE37" w:rsidR="00BA0E18" w:rsidRPr="00DA6984" w:rsidRDefault="00C31CB5" w:rsidP="00BA0E18">
            <w:pPr>
              <w:pStyle w:val="a4"/>
              <w:widowControl w:val="0"/>
              <w:spacing w:before="0" w:beforeAutospacing="0" w:after="0" w:afterAutospacing="0"/>
              <w:jc w:val="both"/>
            </w:pPr>
            <w:r w:rsidRPr="00DA6984">
              <w:t>Альтернатива 1:</w:t>
            </w:r>
            <w:r w:rsidR="00262CC5" w:rsidRPr="00DA6984">
              <w:t xml:space="preserve"> </w:t>
            </w:r>
            <w:r w:rsidRPr="00DA6984">
              <w:t>Залишити без змін</w:t>
            </w:r>
          </w:p>
          <w:p w14:paraId="1E5EDB98" w14:textId="68091D68" w:rsidR="00262CC5" w:rsidRPr="00DA6984" w:rsidRDefault="00566D16" w:rsidP="00C31CB5">
            <w:pPr>
              <w:pStyle w:val="a4"/>
              <w:widowControl w:val="0"/>
              <w:spacing w:before="0" w:beforeAutospacing="0" w:after="0" w:afterAutospacing="0"/>
              <w:jc w:val="both"/>
            </w:pPr>
            <w:r w:rsidRPr="00DA6984">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w:t>
            </w:r>
          </w:p>
        </w:tc>
        <w:tc>
          <w:tcPr>
            <w:tcW w:w="1066" w:type="pct"/>
            <w:tcBorders>
              <w:top w:val="outset" w:sz="6" w:space="0" w:color="auto"/>
              <w:left w:val="outset" w:sz="6" w:space="0" w:color="auto"/>
              <w:bottom w:val="outset" w:sz="6" w:space="0" w:color="auto"/>
              <w:right w:val="outset" w:sz="6" w:space="0" w:color="auto"/>
            </w:tcBorders>
          </w:tcPr>
          <w:p w14:paraId="381B2186" w14:textId="77777777" w:rsidR="00262CC5" w:rsidRPr="00DA6984" w:rsidRDefault="00262CC5" w:rsidP="00135435">
            <w:pPr>
              <w:pStyle w:val="a4"/>
              <w:widowControl w:val="0"/>
              <w:spacing w:before="0" w:beforeAutospacing="0" w:after="0" w:afterAutospacing="0"/>
              <w:jc w:val="center"/>
            </w:pPr>
            <w:r w:rsidRPr="00DA6984">
              <w:t>Відсутні</w:t>
            </w:r>
          </w:p>
        </w:tc>
      </w:tr>
      <w:tr w:rsidR="00DA6984" w:rsidRPr="00DA6984" w14:paraId="6185C31D" w14:textId="77777777" w:rsidTr="00C55CE2">
        <w:trPr>
          <w:trHeight w:val="1320"/>
          <w:tblCellSpacing w:w="22" w:type="dxa"/>
        </w:trPr>
        <w:tc>
          <w:tcPr>
            <w:tcW w:w="3865" w:type="pct"/>
            <w:tcBorders>
              <w:top w:val="outset" w:sz="6" w:space="0" w:color="auto"/>
              <w:left w:val="outset" w:sz="6" w:space="0" w:color="auto"/>
              <w:bottom w:val="outset" w:sz="6" w:space="0" w:color="auto"/>
              <w:right w:val="outset" w:sz="6" w:space="0" w:color="auto"/>
            </w:tcBorders>
          </w:tcPr>
          <w:p w14:paraId="0A7D1CDE" w14:textId="2CFF7C78" w:rsidR="00BA0E18" w:rsidRPr="00DA6984" w:rsidRDefault="00C31CB5" w:rsidP="00BA0E18">
            <w:pPr>
              <w:pStyle w:val="a4"/>
              <w:widowControl w:val="0"/>
              <w:spacing w:before="0" w:beforeAutospacing="0" w:after="0" w:afterAutospacing="0"/>
              <w:jc w:val="both"/>
            </w:pPr>
            <w:r w:rsidRPr="00DA6984">
              <w:t>Альтернатива 2:</w:t>
            </w:r>
            <w:r w:rsidR="00262CC5" w:rsidRPr="00DA6984">
              <w:t xml:space="preserve"> </w:t>
            </w:r>
            <w:r w:rsidRPr="00DA6984">
              <w:t>Затвердження проєкту наказу</w:t>
            </w:r>
          </w:p>
          <w:p w14:paraId="7CC91C8E" w14:textId="40BA0C2D" w:rsidR="00262CC5" w:rsidRPr="00DA6984" w:rsidRDefault="00566D16" w:rsidP="00C31CB5">
            <w:pPr>
              <w:pStyle w:val="a4"/>
              <w:widowControl w:val="0"/>
              <w:spacing w:before="0" w:beforeAutospacing="0" w:after="0" w:afterAutospacing="0"/>
              <w:jc w:val="both"/>
            </w:pPr>
            <w:r w:rsidRPr="00DA6984">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w:t>
            </w:r>
          </w:p>
        </w:tc>
        <w:tc>
          <w:tcPr>
            <w:tcW w:w="1066" w:type="pct"/>
            <w:tcBorders>
              <w:top w:val="outset" w:sz="6" w:space="0" w:color="auto"/>
              <w:left w:val="outset" w:sz="6" w:space="0" w:color="auto"/>
              <w:bottom w:val="outset" w:sz="6" w:space="0" w:color="auto"/>
              <w:right w:val="outset" w:sz="6" w:space="0" w:color="auto"/>
            </w:tcBorders>
          </w:tcPr>
          <w:p w14:paraId="4A595E5C" w14:textId="44A312AD" w:rsidR="00B020A0" w:rsidRPr="00DA6984" w:rsidRDefault="00877480" w:rsidP="00877480">
            <w:pPr>
              <w:pStyle w:val="a4"/>
              <w:widowControl w:val="0"/>
              <w:spacing w:before="0" w:beforeAutospacing="0" w:after="0" w:afterAutospacing="0"/>
              <w:jc w:val="center"/>
            </w:pPr>
            <w:r w:rsidRPr="00DA6984">
              <w:t>13 802,80</w:t>
            </w:r>
            <w:r w:rsidR="00C31CB5" w:rsidRPr="00DA6984">
              <w:t xml:space="preserve"> грн</w:t>
            </w:r>
          </w:p>
        </w:tc>
      </w:tr>
    </w:tbl>
    <w:p w14:paraId="3F104B24" w14:textId="70852C20" w:rsidR="00877480" w:rsidRPr="00DA6984" w:rsidRDefault="00877480" w:rsidP="000B429C">
      <w:pPr>
        <w:spacing w:after="0" w:line="240" w:lineRule="auto"/>
        <w:rPr>
          <w:rFonts w:ascii="Times New Roman" w:hAnsi="Times New Roman" w:cs="Times New Roman"/>
          <w:b/>
          <w:sz w:val="28"/>
          <w:szCs w:val="28"/>
          <w:lang w:val="uk-UA"/>
        </w:rPr>
      </w:pPr>
    </w:p>
    <w:p w14:paraId="52E51E72" w14:textId="77777777" w:rsidR="00262CC5" w:rsidRPr="00DA6984" w:rsidRDefault="00262CC5" w:rsidP="00262CC5">
      <w:pPr>
        <w:spacing w:after="0" w:line="240" w:lineRule="auto"/>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 xml:space="preserve">IV. Вибір найбільш оптимального альтернативного </w:t>
      </w:r>
    </w:p>
    <w:p w14:paraId="3ACDD148" w14:textId="77777777" w:rsidR="00262CC5" w:rsidRPr="00DA6984" w:rsidRDefault="00262CC5" w:rsidP="00262CC5">
      <w:pPr>
        <w:spacing w:after="0" w:line="240" w:lineRule="auto"/>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способу досягнення цілей</w:t>
      </w:r>
    </w:p>
    <w:p w14:paraId="04E29725" w14:textId="77777777" w:rsidR="00262CC5" w:rsidRPr="00DA6984" w:rsidRDefault="00262CC5" w:rsidP="00262CC5">
      <w:pPr>
        <w:spacing w:after="0" w:line="240" w:lineRule="auto"/>
        <w:jc w:val="center"/>
        <w:rPr>
          <w:rFonts w:ascii="Times New Roman" w:hAnsi="Times New Roman" w:cs="Times New Roman"/>
          <w:b/>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19"/>
        <w:gridCol w:w="2126"/>
        <w:gridCol w:w="5377"/>
      </w:tblGrid>
      <w:tr w:rsidR="00DA6984" w:rsidRPr="00DA6984" w14:paraId="6C884449" w14:textId="77777777" w:rsidTr="00CC1720">
        <w:trPr>
          <w:trHeight w:val="1893"/>
          <w:tblCellSpacing w:w="22" w:type="dxa"/>
        </w:trPr>
        <w:tc>
          <w:tcPr>
            <w:tcW w:w="1067" w:type="pct"/>
            <w:tcBorders>
              <w:top w:val="outset" w:sz="6" w:space="0" w:color="auto"/>
              <w:left w:val="outset" w:sz="6" w:space="0" w:color="auto"/>
              <w:bottom w:val="outset" w:sz="6" w:space="0" w:color="auto"/>
              <w:right w:val="outset" w:sz="6" w:space="0" w:color="auto"/>
            </w:tcBorders>
            <w:shd w:val="clear" w:color="auto" w:fill="auto"/>
            <w:vAlign w:val="center"/>
          </w:tcPr>
          <w:p w14:paraId="03CD0DB5" w14:textId="77777777" w:rsidR="00262CC5" w:rsidRPr="00DA6984" w:rsidRDefault="00262CC5" w:rsidP="00566D16">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6C93931F" w14:textId="77777777" w:rsidR="00262CC5" w:rsidRPr="00DA6984" w:rsidRDefault="00262CC5" w:rsidP="00566D16">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Бал результативності (за чотирибальною системою оцінки)</w:t>
            </w:r>
          </w:p>
        </w:tc>
        <w:tc>
          <w:tcPr>
            <w:tcW w:w="2760" w:type="pct"/>
            <w:tcBorders>
              <w:top w:val="outset" w:sz="6" w:space="0" w:color="auto"/>
              <w:left w:val="outset" w:sz="6" w:space="0" w:color="auto"/>
              <w:bottom w:val="outset" w:sz="6" w:space="0" w:color="auto"/>
              <w:right w:val="outset" w:sz="6" w:space="0" w:color="auto"/>
            </w:tcBorders>
            <w:shd w:val="clear" w:color="auto" w:fill="auto"/>
            <w:vAlign w:val="center"/>
          </w:tcPr>
          <w:p w14:paraId="747FF934" w14:textId="77777777" w:rsidR="00262CC5" w:rsidRPr="00DA6984" w:rsidRDefault="00262CC5" w:rsidP="00566D16">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Коментарі щодо присвоєння відповідного бала</w:t>
            </w:r>
          </w:p>
        </w:tc>
      </w:tr>
      <w:tr w:rsidR="00DA6984" w:rsidRPr="00DA6984" w14:paraId="411C210D" w14:textId="77777777" w:rsidTr="000B429C">
        <w:trPr>
          <w:trHeight w:val="529"/>
          <w:tblCellSpacing w:w="22" w:type="dxa"/>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75F56D8B" w14:textId="77777777" w:rsidR="00262CC5" w:rsidRPr="00DA6984" w:rsidRDefault="00262CC5" w:rsidP="006265F4">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Альтернатива 1</w:t>
            </w:r>
            <w:r w:rsidR="00FB4729" w:rsidRPr="00DA6984">
              <w:rPr>
                <w:rFonts w:ascii="Times New Roman" w:hAnsi="Times New Roman" w:cs="Times New Roman"/>
                <w:sz w:val="24"/>
                <w:szCs w:val="24"/>
                <w:lang w:val="uk-UA"/>
              </w:rPr>
              <w:t>:</w:t>
            </w:r>
          </w:p>
          <w:p w14:paraId="42B0A339" w14:textId="576B5B4C" w:rsidR="00FB4729" w:rsidRPr="00DA6984" w:rsidRDefault="00FB4729" w:rsidP="006265F4">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rPr>
              <w:t>Залишити без змін</w:t>
            </w:r>
          </w:p>
        </w:tc>
        <w:tc>
          <w:tcPr>
            <w:tcW w:w="1082" w:type="pct"/>
            <w:tcBorders>
              <w:top w:val="outset" w:sz="6" w:space="0" w:color="auto"/>
              <w:left w:val="outset" w:sz="6" w:space="0" w:color="auto"/>
              <w:bottom w:val="outset" w:sz="6" w:space="0" w:color="auto"/>
              <w:right w:val="outset" w:sz="6" w:space="0" w:color="auto"/>
            </w:tcBorders>
            <w:shd w:val="clear" w:color="auto" w:fill="auto"/>
          </w:tcPr>
          <w:p w14:paraId="0D72A18B" w14:textId="46F68E3D" w:rsidR="00262CC5" w:rsidRPr="00DA6984" w:rsidRDefault="00FB4729" w:rsidP="00566D16">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1</w:t>
            </w:r>
          </w:p>
        </w:tc>
        <w:tc>
          <w:tcPr>
            <w:tcW w:w="2760" w:type="pct"/>
            <w:tcBorders>
              <w:top w:val="outset" w:sz="6" w:space="0" w:color="auto"/>
              <w:left w:val="outset" w:sz="6" w:space="0" w:color="auto"/>
              <w:bottom w:val="outset" w:sz="6" w:space="0" w:color="auto"/>
              <w:right w:val="outset" w:sz="6" w:space="0" w:color="auto"/>
            </w:tcBorders>
            <w:shd w:val="clear" w:color="auto" w:fill="auto"/>
          </w:tcPr>
          <w:p w14:paraId="50692AB8" w14:textId="1E63DB52" w:rsidR="003F1A7C" w:rsidRPr="00DA6984" w:rsidRDefault="00FB4729" w:rsidP="003F1A7C">
            <w:pPr>
              <w:spacing w:after="0" w:line="240" w:lineRule="auto"/>
              <w:ind w:firstLine="567"/>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Не дозволяє досягнути поставлених цілей державного регулювання, оскільки не забезпечується виконання вимог Закону в частині запровадження звіту про платежі на користь держави підприємств, що здійснюють заготівлю деревини, та призведе до відсутності єдиного підходу при звітуванні цими підприємствами,</w:t>
            </w:r>
            <w:r w:rsidR="005C1362" w:rsidRPr="00DA6984">
              <w:rPr>
                <w:rFonts w:ascii="Times New Roman" w:hAnsi="Times New Roman" w:cs="Times New Roman"/>
                <w:sz w:val="24"/>
                <w:szCs w:val="24"/>
                <w:lang w:val="uk-UA"/>
              </w:rPr>
              <w:t xml:space="preserve"> залишить рівень прозорості інформації про платежі на користь держави, пов’язані з використанням лісових ресурсів держави, на неймовірно низькому рівні</w:t>
            </w:r>
            <w:r w:rsidR="005C1362" w:rsidRPr="00DA6984">
              <w:rPr>
                <w:rFonts w:ascii="Times New Roman" w:hAnsi="Times New Roman" w:cs="Times New Roman"/>
                <w:sz w:val="28"/>
                <w:szCs w:val="28"/>
                <w:lang w:val="uk-UA"/>
              </w:rPr>
              <w:t xml:space="preserve">, </w:t>
            </w:r>
            <w:r w:rsidR="000F658E" w:rsidRPr="00DA6984">
              <w:rPr>
                <w:rFonts w:ascii="Times New Roman" w:hAnsi="Times New Roman" w:cs="Times New Roman"/>
                <w:sz w:val="24"/>
                <w:szCs w:val="24"/>
                <w:lang w:val="uk-UA"/>
              </w:rPr>
              <w:t>унеможливить вільний доступ</w:t>
            </w:r>
            <w:r w:rsidR="005C1362" w:rsidRPr="00DA6984">
              <w:rPr>
                <w:rFonts w:ascii="Times New Roman" w:hAnsi="Times New Roman" w:cs="Times New Roman"/>
                <w:sz w:val="24"/>
                <w:szCs w:val="24"/>
                <w:lang w:val="uk-UA"/>
              </w:rPr>
              <w:t xml:space="preserve"> користувачів до інформації про нараховані та сплачені платежі на користь держави, а також призведе до </w:t>
            </w:r>
            <w:r w:rsidRPr="00DA6984">
              <w:rPr>
                <w:rFonts w:ascii="Times New Roman" w:hAnsi="Times New Roman" w:cs="Times New Roman"/>
                <w:sz w:val="24"/>
                <w:szCs w:val="24"/>
                <w:lang w:val="uk-UA"/>
              </w:rPr>
              <w:t>не виконання Україною, взятих  зобов’язань в частині імплементації положень Директиви 2013/34/ЄС.</w:t>
            </w:r>
          </w:p>
          <w:p w14:paraId="01AC1130" w14:textId="67F22B04" w:rsidR="00C55CE2" w:rsidRPr="00DA6984" w:rsidRDefault="00C55CE2" w:rsidP="003F1A7C">
            <w:pPr>
              <w:spacing w:after="0" w:line="240" w:lineRule="auto"/>
              <w:ind w:firstLine="567"/>
              <w:jc w:val="both"/>
              <w:rPr>
                <w:rFonts w:ascii="Times New Roman" w:hAnsi="Times New Roman" w:cs="Times New Roman"/>
                <w:sz w:val="24"/>
                <w:szCs w:val="24"/>
                <w:lang w:val="uk-UA"/>
              </w:rPr>
            </w:pPr>
          </w:p>
        </w:tc>
      </w:tr>
      <w:tr w:rsidR="00DA6984" w:rsidRPr="00B263D4" w14:paraId="2F14C173" w14:textId="77777777" w:rsidTr="00135435">
        <w:trPr>
          <w:tblCellSpacing w:w="22" w:type="dxa"/>
        </w:trPr>
        <w:tc>
          <w:tcPr>
            <w:tcW w:w="1067" w:type="pct"/>
            <w:tcBorders>
              <w:top w:val="outset" w:sz="6" w:space="0" w:color="auto"/>
              <w:left w:val="outset" w:sz="6" w:space="0" w:color="auto"/>
              <w:bottom w:val="outset" w:sz="6" w:space="0" w:color="auto"/>
              <w:right w:val="outset" w:sz="6" w:space="0" w:color="auto"/>
            </w:tcBorders>
            <w:shd w:val="clear" w:color="auto" w:fill="auto"/>
          </w:tcPr>
          <w:p w14:paraId="5541C687" w14:textId="62A07DCA" w:rsidR="00C7500A" w:rsidRPr="00DA6984" w:rsidRDefault="00262CC5" w:rsidP="006265F4">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Альтернатива 2</w:t>
            </w:r>
            <w:r w:rsidR="00FB4729" w:rsidRPr="00DA6984">
              <w:rPr>
                <w:rFonts w:ascii="Times New Roman" w:hAnsi="Times New Roman" w:cs="Times New Roman"/>
                <w:sz w:val="24"/>
                <w:szCs w:val="24"/>
                <w:lang w:val="uk-UA"/>
              </w:rPr>
              <w:t>:</w:t>
            </w:r>
          </w:p>
          <w:p w14:paraId="6F2CB58E" w14:textId="0995DCBC" w:rsidR="00C7500A" w:rsidRPr="00DA6984" w:rsidRDefault="00C7500A" w:rsidP="006265F4">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Затвердження проєкту наказу</w:t>
            </w:r>
          </w:p>
        </w:tc>
        <w:tc>
          <w:tcPr>
            <w:tcW w:w="1082" w:type="pct"/>
            <w:tcBorders>
              <w:top w:val="outset" w:sz="6" w:space="0" w:color="auto"/>
              <w:left w:val="outset" w:sz="6" w:space="0" w:color="auto"/>
              <w:bottom w:val="outset" w:sz="6" w:space="0" w:color="auto"/>
              <w:right w:val="outset" w:sz="6" w:space="0" w:color="auto"/>
            </w:tcBorders>
            <w:shd w:val="clear" w:color="auto" w:fill="auto"/>
          </w:tcPr>
          <w:p w14:paraId="213E0485" w14:textId="64D664EE" w:rsidR="00262CC5" w:rsidRPr="00DA6984" w:rsidRDefault="00FB4729" w:rsidP="00566D16">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4</w:t>
            </w:r>
          </w:p>
        </w:tc>
        <w:tc>
          <w:tcPr>
            <w:tcW w:w="2760" w:type="pct"/>
            <w:tcBorders>
              <w:top w:val="outset" w:sz="6" w:space="0" w:color="auto"/>
              <w:left w:val="outset" w:sz="6" w:space="0" w:color="auto"/>
              <w:bottom w:val="outset" w:sz="6" w:space="0" w:color="auto"/>
              <w:right w:val="outset" w:sz="6" w:space="0" w:color="auto"/>
            </w:tcBorders>
            <w:shd w:val="clear" w:color="auto" w:fill="auto"/>
          </w:tcPr>
          <w:p w14:paraId="63402693" w14:textId="4D455894" w:rsidR="0079358B" w:rsidRPr="00DA6984" w:rsidRDefault="00FB4729" w:rsidP="0079358B">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Дозволяє досягнути поставлених цілей та реалізувати норми Закону, оскільки забезпечить запровадження єдиного підходу при розкритті інформації підприємствами, що здійснюють заготівлю деревини, про нараховані та сплачені платежі на користь держави та складання звіту про платежі на користь держави за уніфікованою </w:t>
            </w:r>
            <w:r w:rsidRPr="00DA6984">
              <w:rPr>
                <w:rFonts w:ascii="Times New Roman" w:hAnsi="Times New Roman" w:cs="Times New Roman"/>
                <w:sz w:val="24"/>
                <w:szCs w:val="24"/>
                <w:lang w:val="uk-UA"/>
              </w:rPr>
              <w:lastRenderedPageBreak/>
              <w:t>формою, що в свою чергу, дозволить виконати</w:t>
            </w:r>
            <w:r w:rsidRPr="00DA6984">
              <w:rPr>
                <w:rFonts w:ascii="Times New Roman" w:hAnsi="Times New Roman" w:cs="Times New Roman"/>
                <w:sz w:val="28"/>
                <w:szCs w:val="28"/>
                <w:lang w:val="uk-UA"/>
              </w:rPr>
              <w:t xml:space="preserve"> </w:t>
            </w:r>
            <w:r w:rsidRPr="00DA6984">
              <w:rPr>
                <w:rFonts w:ascii="Times New Roman" w:hAnsi="Times New Roman" w:cs="Times New Roman"/>
                <w:sz w:val="24"/>
                <w:szCs w:val="24"/>
                <w:lang w:val="uk-UA"/>
              </w:rPr>
              <w:t>взяті зобов’язання в частині імплементації положень Директиви 2013/34/ЄС.</w:t>
            </w:r>
          </w:p>
        </w:tc>
      </w:tr>
    </w:tbl>
    <w:p w14:paraId="4A4E2FC5" w14:textId="77777777" w:rsidR="00262CC5" w:rsidRPr="00DA6984" w:rsidRDefault="00262CC5" w:rsidP="00262CC5">
      <w:pPr>
        <w:spacing w:after="0" w:line="240" w:lineRule="auto"/>
        <w:rPr>
          <w:rFonts w:ascii="Times New Roman" w:hAnsi="Times New Roman" w:cs="Times New Roman"/>
          <w:sz w:val="28"/>
          <w:szCs w:val="28"/>
          <w:lang w:val="uk-UA"/>
        </w:rPr>
      </w:pPr>
    </w:p>
    <w:p w14:paraId="3CD7C05F" w14:textId="77777777" w:rsidR="00407557" w:rsidRPr="00DA6984" w:rsidRDefault="00407557" w:rsidP="00262CC5">
      <w:pPr>
        <w:spacing w:after="0" w:line="240" w:lineRule="auto"/>
        <w:rPr>
          <w:rFonts w:ascii="Times New Roman" w:hAnsi="Times New Roman" w:cs="Times New Roman"/>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51"/>
        <w:gridCol w:w="2612"/>
        <w:gridCol w:w="2772"/>
        <w:gridCol w:w="2287"/>
      </w:tblGrid>
      <w:tr w:rsidR="00DA6984" w:rsidRPr="00DA6984" w14:paraId="5B22EAD5" w14:textId="77777777" w:rsidTr="00D474C4">
        <w:trPr>
          <w:trHeight w:val="926"/>
          <w:tblCellSpacing w:w="22" w:type="dxa"/>
        </w:trPr>
        <w:tc>
          <w:tcPr>
            <w:tcW w:w="979" w:type="pct"/>
            <w:tcBorders>
              <w:top w:val="outset" w:sz="6" w:space="0" w:color="auto"/>
              <w:left w:val="outset" w:sz="6" w:space="0" w:color="auto"/>
              <w:bottom w:val="outset" w:sz="6" w:space="0" w:color="auto"/>
              <w:right w:val="outset" w:sz="6" w:space="0" w:color="auto"/>
            </w:tcBorders>
            <w:shd w:val="clear" w:color="auto" w:fill="auto"/>
          </w:tcPr>
          <w:p w14:paraId="348B6DFC" w14:textId="77777777" w:rsidR="006265F4" w:rsidRPr="00DA6984" w:rsidRDefault="006265F4" w:rsidP="00566D16">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Рейтинг результативності</w:t>
            </w:r>
          </w:p>
        </w:tc>
        <w:tc>
          <w:tcPr>
            <w:tcW w:w="1334" w:type="pct"/>
            <w:tcBorders>
              <w:top w:val="outset" w:sz="6" w:space="0" w:color="auto"/>
              <w:left w:val="outset" w:sz="6" w:space="0" w:color="auto"/>
              <w:bottom w:val="outset" w:sz="6" w:space="0" w:color="auto"/>
              <w:right w:val="outset" w:sz="6" w:space="0" w:color="auto"/>
            </w:tcBorders>
            <w:shd w:val="clear" w:color="auto" w:fill="auto"/>
          </w:tcPr>
          <w:p w14:paraId="64073915" w14:textId="77777777" w:rsidR="006265F4" w:rsidRPr="00DA6984" w:rsidRDefault="006265F4" w:rsidP="00566D16">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Вигоди (підсумок)</w:t>
            </w:r>
          </w:p>
        </w:tc>
        <w:tc>
          <w:tcPr>
            <w:tcW w:w="1418" w:type="pct"/>
            <w:tcBorders>
              <w:top w:val="outset" w:sz="6" w:space="0" w:color="auto"/>
              <w:left w:val="outset" w:sz="6" w:space="0" w:color="auto"/>
              <w:bottom w:val="outset" w:sz="6" w:space="0" w:color="auto"/>
              <w:right w:val="outset" w:sz="6" w:space="0" w:color="auto"/>
            </w:tcBorders>
            <w:shd w:val="clear" w:color="auto" w:fill="auto"/>
          </w:tcPr>
          <w:p w14:paraId="0425C0FC" w14:textId="77777777" w:rsidR="006265F4" w:rsidRPr="00DA6984" w:rsidRDefault="006265F4" w:rsidP="00566D16">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Витрати (підсумок)</w:t>
            </w:r>
          </w:p>
        </w:tc>
        <w:tc>
          <w:tcPr>
            <w:tcW w:w="1154" w:type="pct"/>
            <w:tcBorders>
              <w:top w:val="outset" w:sz="6" w:space="0" w:color="auto"/>
              <w:left w:val="outset" w:sz="6" w:space="0" w:color="auto"/>
              <w:bottom w:val="outset" w:sz="6" w:space="0" w:color="auto"/>
              <w:right w:val="outset" w:sz="6" w:space="0" w:color="auto"/>
            </w:tcBorders>
            <w:shd w:val="clear" w:color="auto" w:fill="auto"/>
          </w:tcPr>
          <w:p w14:paraId="37693BAB" w14:textId="77777777" w:rsidR="006265F4" w:rsidRPr="00DA6984" w:rsidRDefault="006265F4" w:rsidP="00566D16">
            <w:pPr>
              <w:spacing w:after="0" w:line="240" w:lineRule="auto"/>
              <w:jc w:val="center"/>
              <w:rPr>
                <w:rFonts w:ascii="Times New Roman" w:hAnsi="Times New Roman" w:cs="Times New Roman"/>
                <w:sz w:val="24"/>
                <w:szCs w:val="24"/>
                <w:lang w:val="uk-UA"/>
              </w:rPr>
            </w:pPr>
            <w:r w:rsidRPr="00DA6984">
              <w:rPr>
                <w:rFonts w:ascii="Times New Roman" w:hAnsi="Times New Roman" w:cs="Times New Roman"/>
                <w:sz w:val="24"/>
                <w:szCs w:val="24"/>
                <w:lang w:val="uk-UA"/>
              </w:rPr>
              <w:t>Обґрунтування відповідного місця альтернативи у рейтингу</w:t>
            </w:r>
          </w:p>
        </w:tc>
      </w:tr>
      <w:tr w:rsidR="00DA6984" w:rsidRPr="00DA6984" w14:paraId="5C274814" w14:textId="77777777" w:rsidTr="00D474C4">
        <w:trPr>
          <w:tblCellSpacing w:w="22" w:type="dxa"/>
        </w:trPr>
        <w:tc>
          <w:tcPr>
            <w:tcW w:w="979" w:type="pct"/>
            <w:tcBorders>
              <w:top w:val="outset" w:sz="6" w:space="0" w:color="auto"/>
              <w:left w:val="outset" w:sz="6" w:space="0" w:color="auto"/>
              <w:bottom w:val="outset" w:sz="6" w:space="0" w:color="auto"/>
              <w:right w:val="outset" w:sz="6" w:space="0" w:color="auto"/>
            </w:tcBorders>
            <w:shd w:val="clear" w:color="auto" w:fill="auto"/>
          </w:tcPr>
          <w:p w14:paraId="3E2A3AD2" w14:textId="751F4E65" w:rsidR="00C7500A" w:rsidRPr="00DA6984" w:rsidRDefault="006265F4" w:rsidP="006265F4">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Альтернатива 1</w:t>
            </w:r>
            <w:r w:rsidR="000E03A6" w:rsidRPr="00DA6984">
              <w:rPr>
                <w:rFonts w:ascii="Times New Roman" w:hAnsi="Times New Roman" w:cs="Times New Roman"/>
                <w:sz w:val="24"/>
                <w:szCs w:val="24"/>
                <w:lang w:val="uk-UA"/>
              </w:rPr>
              <w:t>:</w:t>
            </w:r>
          </w:p>
          <w:p w14:paraId="6597D3CE" w14:textId="5AA62B9B" w:rsidR="000E03A6" w:rsidRPr="00DA6984" w:rsidRDefault="000E03A6" w:rsidP="006265F4">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Залишити без змін</w:t>
            </w:r>
          </w:p>
        </w:tc>
        <w:tc>
          <w:tcPr>
            <w:tcW w:w="1334" w:type="pct"/>
            <w:tcBorders>
              <w:top w:val="outset" w:sz="6" w:space="0" w:color="auto"/>
              <w:left w:val="outset" w:sz="6" w:space="0" w:color="auto"/>
              <w:bottom w:val="outset" w:sz="6" w:space="0" w:color="auto"/>
              <w:right w:val="outset" w:sz="6" w:space="0" w:color="auto"/>
            </w:tcBorders>
            <w:shd w:val="clear" w:color="auto" w:fill="auto"/>
          </w:tcPr>
          <w:p w14:paraId="7849F762" w14:textId="6A9DD9FF" w:rsidR="000E03A6" w:rsidRPr="00DA6984" w:rsidRDefault="000E03A6" w:rsidP="00566D1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Відсутні</w:t>
            </w:r>
          </w:p>
          <w:p w14:paraId="630481C2" w14:textId="4385B24A" w:rsidR="006265F4" w:rsidRPr="00DA6984" w:rsidRDefault="006265F4" w:rsidP="00566D16">
            <w:pPr>
              <w:spacing w:after="0" w:line="240" w:lineRule="auto"/>
              <w:jc w:val="both"/>
              <w:rPr>
                <w:rFonts w:ascii="Times New Roman" w:hAnsi="Times New Roman" w:cs="Times New Roman"/>
                <w:i/>
                <w:sz w:val="24"/>
                <w:szCs w:val="24"/>
                <w:lang w:val="uk-UA"/>
              </w:rPr>
            </w:pPr>
          </w:p>
        </w:tc>
        <w:tc>
          <w:tcPr>
            <w:tcW w:w="1418" w:type="pct"/>
            <w:tcBorders>
              <w:top w:val="outset" w:sz="6" w:space="0" w:color="auto"/>
              <w:left w:val="outset" w:sz="6" w:space="0" w:color="auto"/>
              <w:bottom w:val="outset" w:sz="6" w:space="0" w:color="auto"/>
              <w:right w:val="outset" w:sz="6" w:space="0" w:color="auto"/>
            </w:tcBorders>
            <w:shd w:val="clear" w:color="auto" w:fill="auto"/>
          </w:tcPr>
          <w:p w14:paraId="212487A9" w14:textId="38EEB608" w:rsidR="009D14CD" w:rsidRPr="00DA6984" w:rsidRDefault="009D14CD"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Порушує прийняті</w:t>
            </w:r>
            <w:r w:rsidR="00C7500A" w:rsidRPr="00DA6984">
              <w:rPr>
                <w:rFonts w:ascii="Times New Roman" w:hAnsi="Times New Roman" w:cs="Times New Roman"/>
                <w:sz w:val="24"/>
                <w:szCs w:val="24"/>
                <w:lang w:val="uk-UA"/>
              </w:rPr>
              <w:t xml:space="preserve"> Урядом</w:t>
            </w:r>
            <w:r w:rsidRPr="00DA6984">
              <w:rPr>
                <w:rFonts w:ascii="Times New Roman" w:hAnsi="Times New Roman" w:cs="Times New Roman"/>
                <w:sz w:val="24"/>
                <w:szCs w:val="24"/>
                <w:lang w:val="uk-UA"/>
              </w:rPr>
              <w:t xml:space="preserve"> України</w:t>
            </w:r>
            <w:r w:rsidR="00C7500A" w:rsidRPr="00DA6984">
              <w:rPr>
                <w:rFonts w:ascii="Times New Roman" w:hAnsi="Times New Roman" w:cs="Times New Roman"/>
                <w:sz w:val="24"/>
                <w:szCs w:val="24"/>
                <w:lang w:val="uk-UA"/>
              </w:rPr>
              <w:t xml:space="preserve"> рішення</w:t>
            </w:r>
            <w:r w:rsidRPr="00DA6984">
              <w:rPr>
                <w:rFonts w:ascii="Times New Roman" w:hAnsi="Times New Roman" w:cs="Times New Roman"/>
                <w:sz w:val="24"/>
                <w:szCs w:val="24"/>
                <w:lang w:val="uk-UA"/>
              </w:rPr>
              <w:t xml:space="preserve"> у сфері бухгалтерського обліку;</w:t>
            </w:r>
          </w:p>
          <w:p w14:paraId="1869846D" w14:textId="38CA2640" w:rsidR="000E03A6" w:rsidRPr="00DA6984" w:rsidRDefault="009D14CD"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н</w:t>
            </w:r>
            <w:r w:rsidR="000E03A6" w:rsidRPr="00DA6984">
              <w:rPr>
                <w:rFonts w:ascii="Times New Roman" w:hAnsi="Times New Roman" w:cs="Times New Roman"/>
                <w:sz w:val="24"/>
                <w:szCs w:val="24"/>
                <w:lang w:val="uk-UA"/>
              </w:rPr>
              <w:t>еналежне державне регулювання бухгалтерського обліку та фінансової звітності в Україні через відсутність уніфікації вимог до звіту про платежі на користь держави;</w:t>
            </w:r>
          </w:p>
          <w:p w14:paraId="230A173A" w14:textId="77777777" w:rsidR="000E03A6"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 невиконання Україною взятих зобов’язань в частині імплементації положень Директиви 2013/34/ЄС; </w:t>
            </w:r>
          </w:p>
          <w:p w14:paraId="5529C670" w14:textId="77777777" w:rsidR="000E03A6"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недовіра іноземних інвесторів та негативний вплив на обсяги інвестицій; </w:t>
            </w:r>
          </w:p>
          <w:p w14:paraId="255C68AF" w14:textId="77777777" w:rsidR="006265F4"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не подання звіту про платежі на користь держави підприємствами, які повинні його подавати відповідно до Закону; додаткове навантаження на підприємства, які згідно із Законом зобов’язані щорічно подавати звіт про платежі на користь держави разом з річною фінансовою звітністю, а саме додаткових витрат часу та ресурсів на вивчення міжнародних підходів до формування звіту через відсутність норм національного законодавства щодо </w:t>
            </w:r>
            <w:r w:rsidRPr="00DA6984">
              <w:rPr>
                <w:rFonts w:ascii="Times New Roman" w:hAnsi="Times New Roman" w:cs="Times New Roman"/>
                <w:sz w:val="24"/>
                <w:szCs w:val="24"/>
                <w:lang w:val="uk-UA"/>
              </w:rPr>
              <w:lastRenderedPageBreak/>
              <w:t>форми такого звіту; негативний вплив на конкурентоспроможність підприємств.</w:t>
            </w:r>
          </w:p>
          <w:p w14:paraId="206A4AFE" w14:textId="42D85FEA" w:rsidR="005C1362" w:rsidRPr="00DA6984" w:rsidRDefault="005C1362" w:rsidP="005C1362">
            <w:pPr>
              <w:spacing w:after="0" w:line="240" w:lineRule="auto"/>
              <w:jc w:val="both"/>
              <w:rPr>
                <w:rFonts w:ascii="Times New Roman" w:hAnsi="Times New Roman" w:cs="Times New Roman"/>
                <w:sz w:val="28"/>
                <w:szCs w:val="28"/>
                <w:lang w:val="uk-UA"/>
              </w:rPr>
            </w:pPr>
            <w:r w:rsidRPr="00DA6984">
              <w:rPr>
                <w:rFonts w:ascii="Times New Roman" w:hAnsi="Times New Roman" w:cs="Times New Roman"/>
                <w:sz w:val="24"/>
                <w:szCs w:val="24"/>
                <w:lang w:val="uk-UA"/>
              </w:rPr>
              <w:t>неймовірно низький рівень прозорості інформації про платежі на користь держави, пов</w:t>
            </w:r>
            <w:r w:rsidRPr="00DA6984">
              <w:rPr>
                <w:rFonts w:ascii="Times New Roman" w:hAnsi="Times New Roman" w:cs="Times New Roman"/>
                <w:sz w:val="24"/>
                <w:szCs w:val="24"/>
              </w:rPr>
              <w:t>’</w:t>
            </w:r>
            <w:r w:rsidR="00EB6DDD" w:rsidRPr="00DA6984">
              <w:rPr>
                <w:rFonts w:ascii="Times New Roman" w:hAnsi="Times New Roman" w:cs="Times New Roman"/>
                <w:sz w:val="24"/>
                <w:szCs w:val="24"/>
                <w:lang w:val="uk-UA"/>
              </w:rPr>
              <w:t xml:space="preserve">язані </w:t>
            </w:r>
            <w:r w:rsidRPr="00DA6984">
              <w:rPr>
                <w:rFonts w:ascii="Times New Roman" w:hAnsi="Times New Roman" w:cs="Times New Roman"/>
                <w:sz w:val="24"/>
                <w:szCs w:val="24"/>
                <w:lang w:val="uk-UA"/>
              </w:rPr>
              <w:t>з використанням лісових ресурсів держави</w:t>
            </w:r>
            <w:r w:rsidRPr="00DA6984">
              <w:rPr>
                <w:rFonts w:ascii="Times New Roman" w:hAnsi="Times New Roman" w:cs="Times New Roman"/>
                <w:sz w:val="28"/>
                <w:szCs w:val="28"/>
                <w:lang w:val="uk-UA"/>
              </w:rPr>
              <w:t>;</w:t>
            </w:r>
          </w:p>
          <w:p w14:paraId="04586C22" w14:textId="28CBC0CD" w:rsidR="005C1362" w:rsidRPr="00DA6984" w:rsidRDefault="005C1362" w:rsidP="005C1362">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 відсутність вільного доступу користувачів до інформації про нараховані та сплачені платежі на користь держави.</w:t>
            </w:r>
          </w:p>
        </w:tc>
        <w:tc>
          <w:tcPr>
            <w:tcW w:w="1154" w:type="pct"/>
            <w:tcBorders>
              <w:top w:val="outset" w:sz="6" w:space="0" w:color="auto"/>
              <w:left w:val="outset" w:sz="6" w:space="0" w:color="auto"/>
              <w:bottom w:val="outset" w:sz="6" w:space="0" w:color="auto"/>
              <w:right w:val="outset" w:sz="6" w:space="0" w:color="auto"/>
            </w:tcBorders>
            <w:shd w:val="clear" w:color="auto" w:fill="auto"/>
          </w:tcPr>
          <w:p w14:paraId="641B3CD0" w14:textId="77777777" w:rsidR="000E03A6"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lastRenderedPageBreak/>
              <w:t>Є неприйнятною альтернативою, оскільки не буде досягнуто поставлених цілей та не будуть виконані домовленості взяті Україною в Угоді про асоціацію між Україною, з однієї сторони, та Європейським Союзом, Європейським співтовариством з атомної енергії і їхніми державами членами, з іншої сторони.</w:t>
            </w:r>
          </w:p>
          <w:p w14:paraId="03F8F0E0" w14:textId="77777777" w:rsidR="000E03A6" w:rsidRPr="00DA6984" w:rsidRDefault="000E03A6" w:rsidP="00CC1720">
            <w:pPr>
              <w:widowControl w:val="0"/>
              <w:spacing w:after="0"/>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Не відповідає ні інтересам суб’єктів господарювання, ні інтересам держави.</w:t>
            </w:r>
          </w:p>
          <w:p w14:paraId="37B98B21" w14:textId="003D77C7" w:rsidR="000E03A6"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Будь-які вигоди відсутні.</w:t>
            </w:r>
          </w:p>
          <w:p w14:paraId="4F3916AA" w14:textId="3E2A1D84" w:rsidR="003974C0" w:rsidRPr="00DA6984" w:rsidRDefault="003974C0" w:rsidP="00566D16">
            <w:pPr>
              <w:spacing w:after="0" w:line="240" w:lineRule="auto"/>
              <w:jc w:val="both"/>
              <w:rPr>
                <w:rFonts w:ascii="Times New Roman" w:hAnsi="Times New Roman" w:cs="Times New Roman"/>
                <w:sz w:val="24"/>
                <w:szCs w:val="24"/>
                <w:lang w:val="uk-UA"/>
              </w:rPr>
            </w:pPr>
          </w:p>
        </w:tc>
      </w:tr>
      <w:tr w:rsidR="00DA6984" w:rsidRPr="00B263D4" w14:paraId="1C114CE0" w14:textId="77777777" w:rsidTr="00D474C4">
        <w:trPr>
          <w:trHeight w:val="5401"/>
          <w:tblCellSpacing w:w="22" w:type="dxa"/>
        </w:trPr>
        <w:tc>
          <w:tcPr>
            <w:tcW w:w="979" w:type="pct"/>
            <w:tcBorders>
              <w:top w:val="outset" w:sz="6" w:space="0" w:color="auto"/>
              <w:left w:val="outset" w:sz="6" w:space="0" w:color="auto"/>
              <w:bottom w:val="outset" w:sz="6" w:space="0" w:color="auto"/>
              <w:right w:val="outset" w:sz="6" w:space="0" w:color="auto"/>
            </w:tcBorders>
            <w:shd w:val="clear" w:color="auto" w:fill="auto"/>
          </w:tcPr>
          <w:p w14:paraId="4D0F7D2A" w14:textId="6641937D" w:rsidR="00C7500A" w:rsidRPr="00DA6984" w:rsidRDefault="006265F4" w:rsidP="006265F4">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Альтернатива 2</w:t>
            </w:r>
            <w:r w:rsidR="000E03A6" w:rsidRPr="00DA6984">
              <w:rPr>
                <w:rFonts w:ascii="Times New Roman" w:hAnsi="Times New Roman" w:cs="Times New Roman"/>
                <w:sz w:val="24"/>
                <w:szCs w:val="24"/>
                <w:lang w:val="uk-UA"/>
              </w:rPr>
              <w:t>:</w:t>
            </w:r>
          </w:p>
          <w:p w14:paraId="6A051CAD" w14:textId="704098C0" w:rsidR="000E03A6" w:rsidRPr="00DA6984" w:rsidRDefault="000E03A6" w:rsidP="006265F4">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Затвердження проєкту наказу</w:t>
            </w:r>
          </w:p>
        </w:tc>
        <w:tc>
          <w:tcPr>
            <w:tcW w:w="1334" w:type="pct"/>
            <w:tcBorders>
              <w:top w:val="outset" w:sz="6" w:space="0" w:color="auto"/>
              <w:left w:val="outset" w:sz="6" w:space="0" w:color="auto"/>
              <w:bottom w:val="outset" w:sz="6" w:space="0" w:color="auto"/>
              <w:right w:val="outset" w:sz="6" w:space="0" w:color="auto"/>
            </w:tcBorders>
            <w:shd w:val="clear" w:color="auto" w:fill="auto"/>
          </w:tcPr>
          <w:p w14:paraId="22ACC8C4" w14:textId="77777777" w:rsidR="000E03A6"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Прийняття проєкту наказу забезпечить: визначення єдиного підходу до формування інформації про нараховані і сплачені платежі на користь держави та складання звіту про платежі на користь держави за уніфікованою формою; </w:t>
            </w:r>
          </w:p>
          <w:p w14:paraId="1CEAC602" w14:textId="696DE71B" w:rsidR="000B429C" w:rsidRPr="00DA6984" w:rsidRDefault="00EB6DDD"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п</w:t>
            </w:r>
            <w:r w:rsidR="000E03A6" w:rsidRPr="00DA6984">
              <w:rPr>
                <w:rFonts w:ascii="Times New Roman" w:hAnsi="Times New Roman" w:cs="Times New Roman"/>
                <w:sz w:val="24"/>
                <w:szCs w:val="24"/>
                <w:lang w:val="uk-UA"/>
              </w:rPr>
              <w:t>ідвищення</w:t>
            </w:r>
            <w:r w:rsidR="000B429C" w:rsidRPr="00DA6984">
              <w:rPr>
                <w:rFonts w:ascii="Times New Roman" w:hAnsi="Times New Roman" w:cs="Times New Roman"/>
                <w:sz w:val="24"/>
                <w:szCs w:val="24"/>
                <w:lang w:val="uk-UA"/>
              </w:rPr>
              <w:t xml:space="preserve"> рівня</w:t>
            </w:r>
            <w:r w:rsidR="000E03A6" w:rsidRPr="00DA6984">
              <w:rPr>
                <w:rFonts w:ascii="Times New Roman" w:hAnsi="Times New Roman" w:cs="Times New Roman"/>
                <w:sz w:val="24"/>
                <w:szCs w:val="24"/>
                <w:lang w:val="uk-UA"/>
              </w:rPr>
              <w:t xml:space="preserve"> підзвітності підприємств, що здійснюють заготівлю деревини і при цьому становлять суспільний інтерес;</w:t>
            </w:r>
          </w:p>
          <w:p w14:paraId="599ED2CE" w14:textId="712C51EA" w:rsidR="000E03A6" w:rsidRPr="00DA6984" w:rsidRDefault="000B429C"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 xml:space="preserve">підвищення рівня доступності та прозорості інформації про діяльність підприємств, що здійснюють заготівлю деревини і при цьому становлять суспільний інтерес, та сприятиме можливості отримання користувачами, зокрема громадськістю, а також органами місцевого самоврядування, на території яких здійснюється заготівля </w:t>
            </w:r>
            <w:r w:rsidRPr="00DA6984">
              <w:rPr>
                <w:rFonts w:ascii="Times New Roman" w:hAnsi="Times New Roman" w:cs="Times New Roman"/>
                <w:sz w:val="24"/>
                <w:szCs w:val="24"/>
                <w:lang w:val="uk-UA"/>
              </w:rPr>
              <w:lastRenderedPageBreak/>
              <w:t>деревини, вільного доступу до інформації  про нараховані та сплачені платежі на користь держави цими підприємствами;</w:t>
            </w:r>
          </w:p>
          <w:p w14:paraId="3D0A0D3E" w14:textId="77777777" w:rsidR="000E03A6"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виконання Україною зобов’язань в частині імплементації положень Директиви 2013/34/ЄС;</w:t>
            </w:r>
          </w:p>
          <w:p w14:paraId="612A0AE3" w14:textId="45AAC649" w:rsidR="006265F4" w:rsidRPr="00DA6984" w:rsidRDefault="000E03A6" w:rsidP="000E03A6">
            <w:pPr>
              <w:spacing w:after="0" w:line="240" w:lineRule="auto"/>
              <w:rPr>
                <w:rFonts w:ascii="Times New Roman" w:hAnsi="Times New Roman" w:cs="Times New Roman"/>
                <w:sz w:val="24"/>
                <w:szCs w:val="24"/>
                <w:lang w:val="uk-UA"/>
              </w:rPr>
            </w:pPr>
            <w:r w:rsidRPr="00DA6984">
              <w:rPr>
                <w:rFonts w:ascii="Times New Roman" w:hAnsi="Times New Roman" w:cs="Times New Roman"/>
                <w:sz w:val="24"/>
                <w:szCs w:val="24"/>
                <w:lang w:val="uk-UA"/>
              </w:rPr>
              <w:t>сприятиме підвищенню інвестиційної привабливості.</w:t>
            </w:r>
          </w:p>
        </w:tc>
        <w:tc>
          <w:tcPr>
            <w:tcW w:w="1418" w:type="pct"/>
            <w:tcBorders>
              <w:top w:val="outset" w:sz="6" w:space="0" w:color="auto"/>
              <w:left w:val="outset" w:sz="6" w:space="0" w:color="auto"/>
              <w:bottom w:val="outset" w:sz="6" w:space="0" w:color="auto"/>
              <w:right w:val="outset" w:sz="6" w:space="0" w:color="auto"/>
            </w:tcBorders>
            <w:shd w:val="clear" w:color="auto" w:fill="auto"/>
          </w:tcPr>
          <w:p w14:paraId="55B806C1" w14:textId="77777777" w:rsidR="000E03A6"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lastRenderedPageBreak/>
              <w:t xml:space="preserve">Відсутні </w:t>
            </w:r>
          </w:p>
          <w:p w14:paraId="4E48B0EB" w14:textId="0AAA5BA2" w:rsidR="000E03A6"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Суб’єкт господарювання в перший рік в середньому для складання Звіту витратить 4 години. Додаткових витрат на оплату праці працівників, відповідальних за підготовку звіту про платежі на користь держави, не виникатиме, оскільки звіт складається і подається разом з річною фінансовою звітністю.</w:t>
            </w:r>
          </w:p>
          <w:p w14:paraId="71F1AA87" w14:textId="3119F547" w:rsidR="006265F4" w:rsidRPr="00DA6984" w:rsidRDefault="006265F4" w:rsidP="0072606B">
            <w:pPr>
              <w:spacing w:after="0" w:line="240" w:lineRule="auto"/>
              <w:jc w:val="both"/>
              <w:rPr>
                <w:rFonts w:ascii="Times New Roman" w:hAnsi="Times New Roman" w:cs="Times New Roman"/>
                <w:sz w:val="24"/>
                <w:szCs w:val="24"/>
                <w:lang w:val="uk-UA"/>
              </w:rPr>
            </w:pPr>
          </w:p>
        </w:tc>
        <w:tc>
          <w:tcPr>
            <w:tcW w:w="1154" w:type="pct"/>
            <w:tcBorders>
              <w:top w:val="outset" w:sz="6" w:space="0" w:color="auto"/>
              <w:left w:val="outset" w:sz="6" w:space="0" w:color="auto"/>
              <w:bottom w:val="outset" w:sz="6" w:space="0" w:color="auto"/>
              <w:right w:val="outset" w:sz="6" w:space="0" w:color="auto"/>
            </w:tcBorders>
            <w:shd w:val="clear" w:color="auto" w:fill="auto"/>
          </w:tcPr>
          <w:p w14:paraId="096D213D" w14:textId="193C69F9" w:rsidR="000E03A6" w:rsidRPr="00DA6984" w:rsidRDefault="000E03A6" w:rsidP="000E03A6">
            <w:pPr>
              <w:spacing w:after="0" w:line="240" w:lineRule="auto"/>
              <w:jc w:val="both"/>
              <w:rPr>
                <w:rFonts w:ascii="Times New Roman" w:hAnsi="Times New Roman" w:cs="Times New Roman"/>
                <w:sz w:val="24"/>
                <w:szCs w:val="24"/>
                <w:lang w:val="uk-UA"/>
              </w:rPr>
            </w:pPr>
            <w:r w:rsidRPr="00DA6984">
              <w:rPr>
                <w:rFonts w:ascii="Times New Roman" w:hAnsi="Times New Roman" w:cs="Times New Roman"/>
                <w:sz w:val="24"/>
                <w:szCs w:val="24"/>
                <w:lang w:val="uk-UA"/>
              </w:rPr>
              <w:t>Є оптимальною, оскільки дозволить підприємствам максимально</w:t>
            </w:r>
            <w:r w:rsidR="00C7500A" w:rsidRPr="00DA6984">
              <w:rPr>
                <w:rFonts w:ascii="Times New Roman" w:hAnsi="Times New Roman" w:cs="Times New Roman"/>
                <w:sz w:val="24"/>
                <w:szCs w:val="24"/>
                <w:lang w:val="uk-UA"/>
              </w:rPr>
              <w:t xml:space="preserve"> швидко </w:t>
            </w:r>
            <w:r w:rsidR="009D14CD" w:rsidRPr="00DA6984">
              <w:rPr>
                <w:rFonts w:ascii="Times New Roman" w:hAnsi="Times New Roman" w:cs="Times New Roman"/>
                <w:sz w:val="24"/>
                <w:szCs w:val="24"/>
                <w:lang w:val="uk-UA"/>
              </w:rPr>
              <w:t>та</w:t>
            </w:r>
            <w:r w:rsidRPr="00DA6984">
              <w:rPr>
                <w:rFonts w:ascii="Times New Roman" w:hAnsi="Times New Roman" w:cs="Times New Roman"/>
                <w:sz w:val="24"/>
                <w:szCs w:val="24"/>
                <w:lang w:val="uk-UA"/>
              </w:rPr>
              <w:t xml:space="preserve"> ефективно </w:t>
            </w:r>
            <w:r w:rsidR="009D14CD" w:rsidRPr="00DA6984">
              <w:rPr>
                <w:rFonts w:ascii="Times New Roman" w:hAnsi="Times New Roman" w:cs="Times New Roman"/>
                <w:sz w:val="24"/>
                <w:szCs w:val="24"/>
                <w:lang w:val="uk-UA"/>
              </w:rPr>
              <w:t>виконувати</w:t>
            </w:r>
            <w:r w:rsidRPr="00DA6984">
              <w:rPr>
                <w:rFonts w:ascii="Times New Roman" w:hAnsi="Times New Roman" w:cs="Times New Roman"/>
                <w:sz w:val="24"/>
                <w:szCs w:val="24"/>
                <w:lang w:val="uk-UA"/>
              </w:rPr>
              <w:t xml:space="preserve"> вимог</w:t>
            </w:r>
            <w:r w:rsidR="009D14CD" w:rsidRPr="00DA6984">
              <w:rPr>
                <w:rFonts w:ascii="Times New Roman" w:hAnsi="Times New Roman" w:cs="Times New Roman"/>
                <w:sz w:val="24"/>
                <w:szCs w:val="24"/>
                <w:lang w:val="uk-UA"/>
              </w:rPr>
              <w:t>и</w:t>
            </w:r>
            <w:r w:rsidRPr="00DA6984">
              <w:rPr>
                <w:rFonts w:ascii="Times New Roman" w:hAnsi="Times New Roman" w:cs="Times New Roman"/>
                <w:sz w:val="24"/>
                <w:szCs w:val="24"/>
                <w:lang w:val="uk-UA"/>
              </w:rPr>
              <w:t xml:space="preserve"> Закону</w:t>
            </w:r>
            <w:r w:rsidR="00A955F4" w:rsidRPr="00DA6984">
              <w:rPr>
                <w:rFonts w:ascii="Times New Roman" w:hAnsi="Times New Roman" w:cs="Times New Roman"/>
                <w:sz w:val="24"/>
                <w:szCs w:val="24"/>
                <w:lang w:val="uk-UA"/>
              </w:rPr>
              <w:t xml:space="preserve">, </w:t>
            </w:r>
            <w:r w:rsidR="009D14CD" w:rsidRPr="00DA6984">
              <w:rPr>
                <w:rFonts w:ascii="Times New Roman" w:hAnsi="Times New Roman" w:cs="Times New Roman"/>
                <w:sz w:val="24"/>
                <w:szCs w:val="24"/>
                <w:lang w:val="uk-UA"/>
              </w:rPr>
              <w:t xml:space="preserve">а також дотриматися </w:t>
            </w:r>
            <w:r w:rsidR="00C7500A" w:rsidRPr="00DA6984">
              <w:rPr>
                <w:rFonts w:ascii="Times New Roman" w:hAnsi="Times New Roman" w:cs="Times New Roman"/>
                <w:sz w:val="24"/>
                <w:szCs w:val="24"/>
                <w:lang w:val="uk-UA"/>
              </w:rPr>
              <w:t xml:space="preserve">узятих Україною міжнародних зобов’язань, </w:t>
            </w:r>
            <w:r w:rsidRPr="00DA6984">
              <w:rPr>
                <w:rFonts w:ascii="Times New Roman" w:hAnsi="Times New Roman" w:cs="Times New Roman"/>
                <w:sz w:val="24"/>
                <w:szCs w:val="24"/>
                <w:lang w:val="uk-UA"/>
              </w:rPr>
              <w:t>та є вигідною як для підприємств так і держави.</w:t>
            </w:r>
          </w:p>
          <w:p w14:paraId="5F27FC92" w14:textId="62F91A26" w:rsidR="003974C0" w:rsidRPr="00DA6984" w:rsidRDefault="003974C0" w:rsidP="003974C0">
            <w:pPr>
              <w:spacing w:after="0" w:line="240" w:lineRule="auto"/>
              <w:jc w:val="both"/>
              <w:rPr>
                <w:rFonts w:ascii="Times New Roman" w:hAnsi="Times New Roman" w:cs="Times New Roman"/>
                <w:sz w:val="24"/>
                <w:szCs w:val="24"/>
                <w:lang w:val="uk-UA"/>
              </w:rPr>
            </w:pPr>
          </w:p>
        </w:tc>
      </w:tr>
    </w:tbl>
    <w:p w14:paraId="18837BEB" w14:textId="77777777" w:rsidR="000B429C" w:rsidRPr="00DA6984" w:rsidRDefault="000B429C" w:rsidP="000B429C">
      <w:pPr>
        <w:spacing w:after="0" w:line="240" w:lineRule="auto"/>
        <w:jc w:val="center"/>
        <w:rPr>
          <w:rFonts w:ascii="Times New Roman" w:hAnsi="Times New Roman" w:cs="Times New Roman"/>
          <w:b/>
          <w:sz w:val="28"/>
          <w:szCs w:val="28"/>
          <w:lang w:val="uk-UA"/>
        </w:rPr>
      </w:pPr>
    </w:p>
    <w:p w14:paraId="5D9967C9" w14:textId="7217DCEE" w:rsidR="00D474C4" w:rsidRPr="00DA6984" w:rsidRDefault="00D474C4" w:rsidP="000B429C">
      <w:pPr>
        <w:spacing w:after="0" w:line="240" w:lineRule="auto"/>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V. Механізми та заходи, які забезпечать розв’язання визначеної проблеми</w:t>
      </w:r>
    </w:p>
    <w:p w14:paraId="612F7637" w14:textId="77777777" w:rsidR="00D474C4" w:rsidRPr="00DA6984" w:rsidRDefault="00D474C4" w:rsidP="00D474C4">
      <w:pPr>
        <w:spacing w:after="0" w:line="240" w:lineRule="auto"/>
        <w:rPr>
          <w:rFonts w:ascii="Times New Roman" w:hAnsi="Times New Roman" w:cs="Times New Roman"/>
          <w:sz w:val="28"/>
          <w:szCs w:val="28"/>
          <w:lang w:val="uk-UA"/>
        </w:rPr>
      </w:pPr>
    </w:p>
    <w:p w14:paraId="74D700E8" w14:textId="77777777" w:rsidR="00D474C4" w:rsidRPr="00DA6984" w:rsidRDefault="00D474C4" w:rsidP="00D474C4">
      <w:pPr>
        <w:spacing w:after="0" w:line="240" w:lineRule="auto"/>
        <w:ind w:left="567"/>
        <w:jc w:val="both"/>
        <w:rPr>
          <w:rFonts w:ascii="Times New Roman" w:hAnsi="Times New Roman" w:cs="Times New Roman"/>
          <w:i/>
          <w:sz w:val="28"/>
          <w:szCs w:val="28"/>
          <w:lang w:val="uk-UA"/>
        </w:rPr>
      </w:pPr>
      <w:r w:rsidRPr="00DA6984">
        <w:rPr>
          <w:rFonts w:ascii="Times New Roman" w:hAnsi="Times New Roman" w:cs="Times New Roman"/>
          <w:i/>
          <w:sz w:val="28"/>
          <w:szCs w:val="28"/>
          <w:lang w:val="uk-UA"/>
        </w:rPr>
        <w:t>1. Механізм дії регуляторного акта.</w:t>
      </w:r>
    </w:p>
    <w:p w14:paraId="774AB7D1" w14:textId="77777777" w:rsidR="00D474C4" w:rsidRPr="00DA6984" w:rsidRDefault="00B143D0" w:rsidP="00D474C4">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Основним механізмом для розв’язання визначеної проблеми є прийняття регуляторного акта та фактична реалізація його положень.</w:t>
      </w:r>
    </w:p>
    <w:p w14:paraId="24B145A6" w14:textId="1F789CC2" w:rsidR="009D14CD" w:rsidRPr="00DA6984" w:rsidRDefault="009D14CD" w:rsidP="00851699">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На виконання статей 1, 11 Закону, пункту 2 Порядку та пункту 832 Плану заходів Міністерство фінансів України затверджує </w:t>
      </w:r>
      <w:r w:rsidR="00851699" w:rsidRPr="00DA6984">
        <w:rPr>
          <w:rFonts w:ascii="Times New Roman" w:hAnsi="Times New Roman" w:cs="Times New Roman"/>
          <w:sz w:val="28"/>
          <w:szCs w:val="28"/>
          <w:lang w:val="uk-UA"/>
        </w:rPr>
        <w:t>форму та Порядок складання звіту про платежі на користь держави підприємств, що здійснюють заготівлю деревини і при цьому становлять суспільний інтерес.</w:t>
      </w:r>
    </w:p>
    <w:p w14:paraId="087AD0BA" w14:textId="70900251" w:rsidR="00D474C4" w:rsidRPr="00DA6984" w:rsidRDefault="00B143D0" w:rsidP="00D474C4">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Прийняття регуляторного акта забезпечить </w:t>
      </w:r>
      <w:r w:rsidR="00C64851" w:rsidRPr="00DA6984">
        <w:rPr>
          <w:rFonts w:ascii="Times New Roman" w:hAnsi="Times New Roman" w:cs="Times New Roman"/>
          <w:sz w:val="28"/>
          <w:szCs w:val="28"/>
          <w:lang w:val="uk-UA"/>
        </w:rPr>
        <w:t>єдиний (уніфіков</w:t>
      </w:r>
      <w:r w:rsidR="00E377FD" w:rsidRPr="00DA6984">
        <w:rPr>
          <w:rFonts w:ascii="Times New Roman" w:hAnsi="Times New Roman" w:cs="Times New Roman"/>
          <w:sz w:val="28"/>
          <w:szCs w:val="28"/>
          <w:lang w:val="uk-UA"/>
        </w:rPr>
        <w:t>аний) підхід при розкритті інформації про нараховані та сплачені платежі на користь держави підприємствами, що здійснюють заготівлю деревини і при цьому становлять суспільний інтерес</w:t>
      </w:r>
      <w:r w:rsidR="000D4817" w:rsidRPr="00DA6984">
        <w:rPr>
          <w:rFonts w:ascii="Times New Roman" w:hAnsi="Times New Roman" w:cs="Times New Roman"/>
          <w:sz w:val="28"/>
          <w:szCs w:val="28"/>
          <w:lang w:val="uk-UA"/>
        </w:rPr>
        <w:t xml:space="preserve"> </w:t>
      </w:r>
      <w:r w:rsidR="00E377FD" w:rsidRPr="00DA6984">
        <w:rPr>
          <w:rFonts w:ascii="Times New Roman" w:hAnsi="Times New Roman" w:cs="Times New Roman"/>
          <w:sz w:val="28"/>
          <w:szCs w:val="28"/>
          <w:lang w:val="uk-UA"/>
        </w:rPr>
        <w:t xml:space="preserve">та </w:t>
      </w:r>
      <w:r w:rsidR="00851699" w:rsidRPr="00DA6984">
        <w:rPr>
          <w:rFonts w:ascii="Times New Roman" w:hAnsi="Times New Roman" w:cs="Times New Roman"/>
          <w:sz w:val="28"/>
          <w:szCs w:val="28"/>
          <w:lang w:val="uk-UA"/>
        </w:rPr>
        <w:t>виконання Плану заходів</w:t>
      </w:r>
      <w:r w:rsidRPr="00DA6984">
        <w:rPr>
          <w:rFonts w:ascii="Times New Roman" w:hAnsi="Times New Roman" w:cs="Times New Roman"/>
          <w:sz w:val="28"/>
          <w:szCs w:val="28"/>
          <w:lang w:val="uk-UA"/>
        </w:rPr>
        <w:t xml:space="preserve">, </w:t>
      </w:r>
      <w:r w:rsidR="00E377FD" w:rsidRPr="00DA6984">
        <w:rPr>
          <w:rFonts w:ascii="Times New Roman" w:hAnsi="Times New Roman" w:cs="Times New Roman"/>
          <w:sz w:val="28"/>
          <w:szCs w:val="28"/>
          <w:lang w:val="uk-UA"/>
        </w:rPr>
        <w:t xml:space="preserve">а також сприятиме </w:t>
      </w:r>
      <w:r w:rsidRPr="00DA6984">
        <w:rPr>
          <w:rFonts w:ascii="Times New Roman" w:hAnsi="Times New Roman" w:cs="Times New Roman"/>
          <w:sz w:val="28"/>
          <w:szCs w:val="28"/>
          <w:lang w:val="uk-UA"/>
        </w:rPr>
        <w:t>підвищенн</w:t>
      </w:r>
      <w:r w:rsidR="00E377FD" w:rsidRPr="00DA6984">
        <w:rPr>
          <w:rFonts w:ascii="Times New Roman" w:hAnsi="Times New Roman" w:cs="Times New Roman"/>
          <w:sz w:val="28"/>
          <w:szCs w:val="28"/>
          <w:lang w:val="uk-UA"/>
        </w:rPr>
        <w:t>ю</w:t>
      </w:r>
      <w:r w:rsidR="00D474C4" w:rsidRPr="00DA6984">
        <w:rPr>
          <w:rFonts w:ascii="Times New Roman" w:hAnsi="Times New Roman" w:cs="Times New Roman"/>
          <w:sz w:val="28"/>
          <w:szCs w:val="28"/>
          <w:lang w:val="uk-UA"/>
        </w:rPr>
        <w:t xml:space="preserve"> прозорості та підзвітності підприємств щодо використання </w:t>
      </w:r>
      <w:r w:rsidRPr="00DA6984">
        <w:rPr>
          <w:rFonts w:ascii="Times New Roman" w:hAnsi="Times New Roman" w:cs="Times New Roman"/>
          <w:sz w:val="28"/>
          <w:szCs w:val="28"/>
          <w:lang w:val="uk-UA"/>
        </w:rPr>
        <w:t>лісових</w:t>
      </w:r>
      <w:r w:rsidR="00D474C4" w:rsidRPr="00DA6984">
        <w:rPr>
          <w:rFonts w:ascii="Times New Roman" w:hAnsi="Times New Roman" w:cs="Times New Roman"/>
          <w:sz w:val="28"/>
          <w:szCs w:val="28"/>
          <w:lang w:val="uk-UA"/>
        </w:rPr>
        <w:t xml:space="preserve"> ресурсів держави, збільш</w:t>
      </w:r>
      <w:r w:rsidR="00A76ACD" w:rsidRPr="00DA6984">
        <w:rPr>
          <w:rFonts w:ascii="Times New Roman" w:hAnsi="Times New Roman" w:cs="Times New Roman"/>
          <w:sz w:val="28"/>
          <w:szCs w:val="28"/>
          <w:lang w:val="uk-UA"/>
        </w:rPr>
        <w:t>ення рівня іноземних інвестицій.</w:t>
      </w:r>
    </w:p>
    <w:p w14:paraId="0586B369" w14:textId="77777777" w:rsidR="00D474C4" w:rsidRPr="00DA6984" w:rsidRDefault="00D474C4" w:rsidP="00D474C4">
      <w:pPr>
        <w:spacing w:after="0" w:line="240" w:lineRule="auto"/>
        <w:jc w:val="both"/>
        <w:rPr>
          <w:rFonts w:ascii="Times New Roman" w:hAnsi="Times New Roman" w:cs="Times New Roman"/>
          <w:sz w:val="28"/>
          <w:szCs w:val="28"/>
          <w:lang w:val="uk-UA"/>
        </w:rPr>
      </w:pPr>
    </w:p>
    <w:p w14:paraId="1B9D78DF" w14:textId="77777777" w:rsidR="00D474C4" w:rsidRPr="00DA6984" w:rsidRDefault="00D474C4" w:rsidP="00D474C4">
      <w:pPr>
        <w:spacing w:after="0" w:line="240" w:lineRule="auto"/>
        <w:ind w:firstLine="567"/>
        <w:jc w:val="both"/>
        <w:rPr>
          <w:rFonts w:ascii="Times New Roman" w:hAnsi="Times New Roman" w:cs="Times New Roman"/>
          <w:i/>
          <w:sz w:val="28"/>
          <w:szCs w:val="28"/>
          <w:lang w:val="uk-UA"/>
        </w:rPr>
      </w:pPr>
      <w:r w:rsidRPr="00DA6984">
        <w:rPr>
          <w:rFonts w:ascii="Times New Roman" w:hAnsi="Times New Roman" w:cs="Times New Roman"/>
          <w:i/>
          <w:sz w:val="28"/>
          <w:szCs w:val="28"/>
          <w:lang w:val="uk-UA"/>
        </w:rPr>
        <w:t>2. Організаційні заходи впровадження регуляторного акта в дію.</w:t>
      </w:r>
    </w:p>
    <w:p w14:paraId="0332BF8F" w14:textId="77777777" w:rsidR="00B143D0" w:rsidRPr="00DA6984" w:rsidRDefault="00B143D0" w:rsidP="00D474C4">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Для впровадження регуляторного акта необхідно забезпечити інформування громадськості про вимоги регуляторного акта шляхом його оприлюднення на офіційному вебсайті Міністерства фінансів України.</w:t>
      </w:r>
    </w:p>
    <w:p w14:paraId="4CEB7B6F" w14:textId="77777777" w:rsidR="00D474C4" w:rsidRPr="00DA6984" w:rsidRDefault="00B143D0" w:rsidP="00D474C4">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Ризику</w:t>
      </w:r>
      <w:r w:rsidR="00D474C4" w:rsidRPr="00DA6984">
        <w:rPr>
          <w:rFonts w:ascii="Times New Roman" w:hAnsi="Times New Roman" w:cs="Times New Roman"/>
          <w:sz w:val="28"/>
          <w:szCs w:val="28"/>
          <w:lang w:val="uk-UA"/>
        </w:rPr>
        <w:t xml:space="preserve"> впливу зовнішніх факторів на дію регуляторного акта немає.</w:t>
      </w:r>
    </w:p>
    <w:p w14:paraId="00EB2ACC" w14:textId="77777777" w:rsidR="00D474C4" w:rsidRPr="00DA6984" w:rsidRDefault="00D474C4" w:rsidP="00D474C4">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Досягнення цілей не передбачає додаткових організаційних заходів.</w:t>
      </w:r>
    </w:p>
    <w:p w14:paraId="58D57394" w14:textId="77777777" w:rsidR="00D474C4" w:rsidRPr="00DA6984" w:rsidRDefault="00D474C4" w:rsidP="00D474C4">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Можлива шкода у разі очікуваних наслідків дії акта не прогнозується.</w:t>
      </w:r>
    </w:p>
    <w:p w14:paraId="4E0F5A4E" w14:textId="380884C9" w:rsidR="00B143D0" w:rsidRPr="00DA6984" w:rsidRDefault="00B143D0" w:rsidP="00D474C4">
      <w:pPr>
        <w:spacing w:after="0" w:line="240" w:lineRule="auto"/>
        <w:ind w:firstLine="567"/>
        <w:jc w:val="both"/>
        <w:rPr>
          <w:rFonts w:ascii="Times New Roman" w:hAnsi="Times New Roman" w:cs="Times New Roman"/>
          <w:sz w:val="28"/>
          <w:szCs w:val="28"/>
          <w:lang w:val="uk-UA"/>
        </w:rPr>
      </w:pPr>
    </w:p>
    <w:p w14:paraId="1D32077C" w14:textId="77777777" w:rsidR="00CC1720" w:rsidRPr="00DA6984" w:rsidRDefault="00CC1720" w:rsidP="00D474C4">
      <w:pPr>
        <w:spacing w:after="0" w:line="240" w:lineRule="auto"/>
        <w:ind w:firstLine="567"/>
        <w:jc w:val="both"/>
        <w:rPr>
          <w:rFonts w:ascii="Times New Roman" w:hAnsi="Times New Roman" w:cs="Times New Roman"/>
          <w:sz w:val="28"/>
          <w:szCs w:val="28"/>
          <w:lang w:val="uk-UA"/>
        </w:rPr>
      </w:pPr>
    </w:p>
    <w:p w14:paraId="3E08379B" w14:textId="77777777" w:rsidR="00D474C4" w:rsidRPr="00DA6984" w:rsidRDefault="00D474C4" w:rsidP="00A76ACD">
      <w:pPr>
        <w:spacing w:after="0" w:line="240" w:lineRule="auto"/>
        <w:ind w:firstLine="567"/>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lastRenderedPageBreak/>
        <w:t xml:space="preserve">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w:t>
      </w:r>
      <w:r w:rsidR="00A76ACD" w:rsidRPr="00DA6984">
        <w:rPr>
          <w:rFonts w:ascii="Times New Roman" w:hAnsi="Times New Roman" w:cs="Times New Roman"/>
          <w:b/>
          <w:sz w:val="28"/>
          <w:szCs w:val="28"/>
          <w:lang w:val="uk-UA"/>
        </w:rPr>
        <w:t xml:space="preserve">особи, які повинні проваджувати </w:t>
      </w:r>
      <w:r w:rsidRPr="00DA6984">
        <w:rPr>
          <w:rFonts w:ascii="Times New Roman" w:hAnsi="Times New Roman" w:cs="Times New Roman"/>
          <w:b/>
          <w:sz w:val="28"/>
          <w:szCs w:val="28"/>
          <w:lang w:val="uk-UA"/>
        </w:rPr>
        <w:t>або виконувати ці вимоги</w:t>
      </w:r>
    </w:p>
    <w:p w14:paraId="5C4A03E8" w14:textId="77777777" w:rsidR="00D474C4" w:rsidRPr="00DA6984" w:rsidRDefault="00D474C4" w:rsidP="00D474C4">
      <w:pPr>
        <w:spacing w:after="0" w:line="240" w:lineRule="auto"/>
        <w:ind w:firstLine="567"/>
        <w:jc w:val="both"/>
        <w:rPr>
          <w:rFonts w:ascii="Times New Roman" w:hAnsi="Times New Roman" w:cs="Times New Roman"/>
          <w:sz w:val="28"/>
          <w:szCs w:val="28"/>
          <w:lang w:val="uk-UA"/>
        </w:rPr>
      </w:pPr>
    </w:p>
    <w:p w14:paraId="1E84C9E1" w14:textId="77777777" w:rsidR="00B143D0" w:rsidRPr="00DA6984" w:rsidRDefault="00A76ACD" w:rsidP="00B143D0">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Реалізація проє</w:t>
      </w:r>
      <w:r w:rsidR="00D474C4" w:rsidRPr="00DA6984">
        <w:rPr>
          <w:rFonts w:ascii="Times New Roman" w:hAnsi="Times New Roman" w:cs="Times New Roman"/>
          <w:sz w:val="28"/>
          <w:szCs w:val="28"/>
          <w:lang w:val="uk-UA"/>
        </w:rPr>
        <w:t>кту наказу не передбачає фінансових витрат держави, оскільки його розробка та прийняття забезпечується в межах кошторисних витрат на утримання органів виконавчої влади.</w:t>
      </w:r>
    </w:p>
    <w:p w14:paraId="70E1C107" w14:textId="2F9454BE" w:rsidR="00851699" w:rsidRPr="00DA6984" w:rsidRDefault="00851699" w:rsidP="00C64851">
      <w:pPr>
        <w:spacing w:after="0" w:line="240" w:lineRule="auto"/>
        <w:ind w:firstLine="567"/>
        <w:jc w:val="both"/>
        <w:rPr>
          <w:rFonts w:ascii="Times New Roman" w:hAnsi="Times New Roman" w:cs="Times New Roman"/>
          <w:strike/>
          <w:sz w:val="28"/>
          <w:szCs w:val="28"/>
          <w:lang w:val="uk-UA"/>
        </w:rPr>
      </w:pPr>
      <w:r w:rsidRPr="00DA6984">
        <w:rPr>
          <w:rFonts w:ascii="Times New Roman" w:hAnsi="Times New Roman" w:cs="Times New Roman"/>
          <w:sz w:val="28"/>
          <w:szCs w:val="28"/>
          <w:lang w:val="uk-UA"/>
        </w:rPr>
        <w:t xml:space="preserve">Державне регулювання не передбачає утворення нового державного органу (або нового структурного підрозділу діючого органу), та не передбачає збільшення граничної чисельності працівників </w:t>
      </w:r>
      <w:r w:rsidR="00C7500A" w:rsidRPr="00DA6984">
        <w:rPr>
          <w:rFonts w:ascii="Times New Roman" w:hAnsi="Times New Roman" w:cs="Times New Roman"/>
          <w:sz w:val="28"/>
          <w:szCs w:val="28"/>
          <w:lang w:val="uk-UA"/>
        </w:rPr>
        <w:t>Державного лісового агентства України</w:t>
      </w:r>
      <w:r w:rsidRPr="00DA6984">
        <w:rPr>
          <w:rFonts w:ascii="Times New Roman" w:hAnsi="Times New Roman" w:cs="Times New Roman"/>
          <w:sz w:val="28"/>
          <w:szCs w:val="28"/>
          <w:lang w:val="uk-UA"/>
        </w:rPr>
        <w:t>.</w:t>
      </w:r>
      <w:r w:rsidR="00C7500A" w:rsidRPr="00DA6984">
        <w:rPr>
          <w:rFonts w:ascii="Times New Roman" w:hAnsi="Times New Roman" w:cs="Times New Roman"/>
          <w:sz w:val="28"/>
          <w:szCs w:val="28"/>
          <w:lang w:val="uk-UA"/>
        </w:rPr>
        <w:t xml:space="preserve"> Перевірка звіту буде здійсюватис</w:t>
      </w:r>
      <w:r w:rsidR="00837926" w:rsidRPr="00DA6984">
        <w:rPr>
          <w:rFonts w:ascii="Times New Roman" w:hAnsi="Times New Roman" w:cs="Times New Roman"/>
          <w:sz w:val="28"/>
          <w:szCs w:val="28"/>
          <w:lang w:val="uk-UA"/>
        </w:rPr>
        <w:t>я</w:t>
      </w:r>
      <w:r w:rsidR="00C7500A" w:rsidRPr="00DA6984">
        <w:rPr>
          <w:rFonts w:ascii="Times New Roman" w:hAnsi="Times New Roman" w:cs="Times New Roman"/>
          <w:sz w:val="28"/>
          <w:szCs w:val="28"/>
          <w:lang w:val="uk-UA"/>
        </w:rPr>
        <w:t xml:space="preserve"> в межах кошторисних витрат на утримання Державного лісового агентства України.</w:t>
      </w:r>
    </w:p>
    <w:p w14:paraId="28546150" w14:textId="4364DFA0" w:rsidR="008A5897" w:rsidRPr="00DA6984" w:rsidRDefault="008A5897" w:rsidP="00C64851">
      <w:pPr>
        <w:pStyle w:val="3"/>
        <w:widowControl w:val="0"/>
        <w:spacing w:before="0" w:beforeAutospacing="0" w:after="0" w:afterAutospacing="0"/>
        <w:ind w:firstLine="709"/>
        <w:jc w:val="both"/>
        <w:rPr>
          <w:b w:val="0"/>
          <w:sz w:val="28"/>
          <w:szCs w:val="28"/>
        </w:rPr>
      </w:pPr>
      <w:r w:rsidRPr="00DA6984">
        <w:rPr>
          <w:b w:val="0"/>
          <w:sz w:val="28"/>
          <w:szCs w:val="28"/>
        </w:rPr>
        <w:t xml:space="preserve">Тест малого підприємництва (М-тест) не проводився, оскільки проєкт наказу не поширюється </w:t>
      </w:r>
      <w:r w:rsidR="004D5A62" w:rsidRPr="00DA6984">
        <w:rPr>
          <w:b w:val="0"/>
          <w:sz w:val="28"/>
          <w:szCs w:val="28"/>
        </w:rPr>
        <w:t xml:space="preserve">на </w:t>
      </w:r>
      <w:r w:rsidRPr="00DA6984">
        <w:rPr>
          <w:b w:val="0"/>
          <w:sz w:val="28"/>
          <w:szCs w:val="28"/>
        </w:rPr>
        <w:t>суб’єктів малого підприємництва та однаково впливає на підприємства, що здійснюють заготівлю деревини і при цьому становлять суспільний інтерес.</w:t>
      </w:r>
    </w:p>
    <w:p w14:paraId="10921B31" w14:textId="15424392" w:rsidR="00C23B07" w:rsidRPr="00DA6984" w:rsidRDefault="00C23B07" w:rsidP="00C23B07">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Отже</w:t>
      </w:r>
      <w:r w:rsidR="004D5A62" w:rsidRPr="00DA6984">
        <w:rPr>
          <w:rFonts w:ascii="Times New Roman" w:hAnsi="Times New Roman" w:cs="Times New Roman"/>
          <w:sz w:val="28"/>
          <w:szCs w:val="28"/>
          <w:lang w:val="uk-UA"/>
        </w:rPr>
        <w:t>,</w:t>
      </w:r>
      <w:r w:rsidRPr="00DA6984">
        <w:rPr>
          <w:rFonts w:ascii="Times New Roman" w:hAnsi="Times New Roman" w:cs="Times New Roman"/>
          <w:sz w:val="28"/>
          <w:szCs w:val="28"/>
          <w:lang w:val="uk-UA"/>
        </w:rPr>
        <w:t xml:space="preserve"> </w:t>
      </w:r>
      <w:r w:rsidR="002D6B1A" w:rsidRPr="00DA6984">
        <w:rPr>
          <w:rFonts w:ascii="Times New Roman" w:hAnsi="Times New Roman" w:cs="Times New Roman"/>
          <w:sz w:val="28"/>
          <w:szCs w:val="28"/>
          <w:lang w:val="uk-UA"/>
        </w:rPr>
        <w:t>запровадження звіту про платежі на користь держави</w:t>
      </w:r>
      <w:r w:rsidRPr="00DA6984">
        <w:rPr>
          <w:rFonts w:ascii="Times New Roman" w:hAnsi="Times New Roman" w:cs="Times New Roman"/>
          <w:sz w:val="28"/>
          <w:szCs w:val="28"/>
          <w:lang w:val="uk-UA"/>
        </w:rPr>
        <w:t xml:space="preserve"> не потребуватиме додаткових фінансових витрат з Державного бюджету України. </w:t>
      </w:r>
    </w:p>
    <w:p w14:paraId="6A64C55F" w14:textId="77777777" w:rsidR="00A76ACD" w:rsidRPr="00DA6984" w:rsidRDefault="00A76ACD" w:rsidP="00D474C4">
      <w:pPr>
        <w:spacing w:after="0" w:line="240" w:lineRule="auto"/>
        <w:ind w:firstLine="567"/>
        <w:jc w:val="both"/>
        <w:rPr>
          <w:rFonts w:ascii="Times New Roman" w:hAnsi="Times New Roman" w:cs="Times New Roman"/>
          <w:sz w:val="28"/>
          <w:szCs w:val="28"/>
          <w:lang w:val="uk-UA"/>
        </w:rPr>
      </w:pPr>
    </w:p>
    <w:p w14:paraId="36F4AF38" w14:textId="77777777" w:rsidR="00D474C4" w:rsidRPr="00DA6984" w:rsidRDefault="00D474C4" w:rsidP="00A76ACD">
      <w:pPr>
        <w:spacing w:after="0" w:line="240" w:lineRule="auto"/>
        <w:ind w:firstLine="567"/>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VII. Обґрунтування запропонованого строку дії регуляторного акта</w:t>
      </w:r>
    </w:p>
    <w:p w14:paraId="63F2CBC9" w14:textId="77777777" w:rsidR="00D474C4" w:rsidRPr="00DA6984" w:rsidRDefault="00D474C4" w:rsidP="00D474C4">
      <w:pPr>
        <w:spacing w:after="0" w:line="240" w:lineRule="auto"/>
        <w:ind w:firstLine="567"/>
        <w:jc w:val="both"/>
        <w:rPr>
          <w:rFonts w:ascii="Times New Roman" w:hAnsi="Times New Roman" w:cs="Times New Roman"/>
          <w:sz w:val="28"/>
          <w:szCs w:val="28"/>
          <w:lang w:val="uk-UA"/>
        </w:rPr>
      </w:pPr>
    </w:p>
    <w:p w14:paraId="7480D30E" w14:textId="77777777" w:rsidR="00D474C4" w:rsidRPr="00DA6984" w:rsidRDefault="00D474C4" w:rsidP="00A76AC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Строк дії регуляторного акта є необмеженим, оскільки Закон, на виконанн</w:t>
      </w:r>
      <w:r w:rsidR="00A76ACD" w:rsidRPr="00DA6984">
        <w:rPr>
          <w:rFonts w:ascii="Times New Roman" w:hAnsi="Times New Roman" w:cs="Times New Roman"/>
          <w:sz w:val="28"/>
          <w:szCs w:val="28"/>
          <w:lang w:val="uk-UA"/>
        </w:rPr>
        <w:t>я положень якого розроблено проє</w:t>
      </w:r>
      <w:r w:rsidRPr="00DA6984">
        <w:rPr>
          <w:rFonts w:ascii="Times New Roman" w:hAnsi="Times New Roman" w:cs="Times New Roman"/>
          <w:sz w:val="28"/>
          <w:szCs w:val="28"/>
          <w:lang w:val="uk-UA"/>
        </w:rPr>
        <w:t>кт нак</w:t>
      </w:r>
      <w:r w:rsidR="00A76ACD" w:rsidRPr="00DA6984">
        <w:rPr>
          <w:rFonts w:ascii="Times New Roman" w:hAnsi="Times New Roman" w:cs="Times New Roman"/>
          <w:sz w:val="28"/>
          <w:szCs w:val="28"/>
          <w:lang w:val="uk-UA"/>
        </w:rPr>
        <w:t>азу, має необмежений строк дії.</w:t>
      </w:r>
    </w:p>
    <w:p w14:paraId="0D2DB5A7" w14:textId="77777777" w:rsidR="00B143D0" w:rsidRPr="00DA6984" w:rsidRDefault="00B143D0" w:rsidP="00B143D0">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Зважаючи на те, що регуляторний акт є актом, розробленим відповідно до норм Закону, у разі внесення змін до цього Закону регуляторний акт має бути приведений у відповідність з такими змінами.</w:t>
      </w:r>
    </w:p>
    <w:p w14:paraId="2D9E7AFF" w14:textId="77777777" w:rsidR="00D474C4" w:rsidRPr="00DA6984" w:rsidRDefault="00A76ACD" w:rsidP="00A76AC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Термін набрання чинності регуляторним актом – відповідно до законодавства – з дня його офіційного опублікування.</w:t>
      </w:r>
    </w:p>
    <w:p w14:paraId="33E14C5F" w14:textId="7AC6C08D" w:rsidR="00566D16" w:rsidRPr="00DA6984" w:rsidRDefault="00566D16" w:rsidP="00A76ACD">
      <w:pPr>
        <w:spacing w:after="0" w:line="240" w:lineRule="auto"/>
        <w:ind w:firstLine="567"/>
        <w:jc w:val="both"/>
        <w:rPr>
          <w:rFonts w:ascii="Times New Roman" w:hAnsi="Times New Roman" w:cs="Times New Roman"/>
          <w:sz w:val="28"/>
          <w:szCs w:val="28"/>
          <w:lang w:val="uk-UA"/>
        </w:rPr>
      </w:pPr>
    </w:p>
    <w:p w14:paraId="653BBA24" w14:textId="77777777" w:rsidR="00A76ACD" w:rsidRPr="00DA6984" w:rsidRDefault="00D474C4" w:rsidP="00A76ACD">
      <w:pPr>
        <w:spacing w:after="0" w:line="240" w:lineRule="auto"/>
        <w:ind w:firstLine="567"/>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 xml:space="preserve">VIII. Визначення показників результативності дії </w:t>
      </w:r>
    </w:p>
    <w:p w14:paraId="3F60EAEB" w14:textId="77777777" w:rsidR="00D474C4" w:rsidRPr="00DA6984" w:rsidRDefault="00D474C4" w:rsidP="00A76ACD">
      <w:pPr>
        <w:spacing w:after="0" w:line="240" w:lineRule="auto"/>
        <w:ind w:firstLine="567"/>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регуляторного акта</w:t>
      </w:r>
    </w:p>
    <w:p w14:paraId="04210C2C" w14:textId="77777777" w:rsidR="00D474C4" w:rsidRPr="00DA6984" w:rsidRDefault="00D474C4" w:rsidP="00D474C4">
      <w:pPr>
        <w:spacing w:after="0" w:line="240" w:lineRule="auto"/>
        <w:ind w:firstLine="567"/>
        <w:jc w:val="both"/>
        <w:rPr>
          <w:rFonts w:ascii="Times New Roman" w:hAnsi="Times New Roman" w:cs="Times New Roman"/>
          <w:sz w:val="28"/>
          <w:szCs w:val="28"/>
          <w:lang w:val="uk-UA"/>
        </w:rPr>
      </w:pPr>
    </w:p>
    <w:p w14:paraId="314D0D96" w14:textId="77777777" w:rsidR="00045B46" w:rsidRPr="00DA6984" w:rsidRDefault="00045B46" w:rsidP="00045B46">
      <w:pPr>
        <w:pStyle w:val="3"/>
        <w:widowControl w:val="0"/>
        <w:spacing w:before="0" w:beforeAutospacing="0" w:after="0" w:afterAutospacing="0"/>
        <w:ind w:firstLine="567"/>
        <w:contextualSpacing/>
        <w:jc w:val="both"/>
        <w:rPr>
          <w:b w:val="0"/>
          <w:sz w:val="28"/>
          <w:szCs w:val="28"/>
          <w:lang w:eastAsia="uk-UA"/>
        </w:rPr>
      </w:pPr>
      <w:r w:rsidRPr="00DA6984">
        <w:rPr>
          <w:b w:val="0"/>
          <w:sz w:val="28"/>
          <w:szCs w:val="28"/>
          <w:lang w:eastAsia="uk-UA"/>
        </w:rPr>
        <w:t>Розмір надходжень до Державного та місцевих бюджетів, пов’язаних з дією акта не передбачається.</w:t>
      </w:r>
    </w:p>
    <w:p w14:paraId="02DC9C73" w14:textId="77777777" w:rsidR="00A76ACD" w:rsidRPr="00DA6984" w:rsidRDefault="00D474C4" w:rsidP="00B143D0">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Дія регуляторного акта поширюватиметься на підприємства, </w:t>
      </w:r>
      <w:r w:rsidR="00A76ACD" w:rsidRPr="00DA6984">
        <w:rPr>
          <w:rFonts w:ascii="Times New Roman" w:hAnsi="Times New Roman" w:cs="Times New Roman"/>
          <w:sz w:val="28"/>
          <w:szCs w:val="28"/>
          <w:lang w:val="uk-UA"/>
        </w:rPr>
        <w:t>що здійснюють заготівлю деревини і при цьому становлять суспільний інтерес.</w:t>
      </w:r>
    </w:p>
    <w:p w14:paraId="2CB04D17" w14:textId="7004201F" w:rsidR="00F11BD9" w:rsidRPr="00DA6984" w:rsidRDefault="00F11BD9" w:rsidP="00F11BD9">
      <w:pPr>
        <w:spacing w:after="0" w:line="240" w:lineRule="auto"/>
        <w:ind w:firstLine="567"/>
        <w:jc w:val="both"/>
        <w:rPr>
          <w:rFonts w:ascii="Times New Roman" w:hAnsi="Times New Roman" w:cs="Times New Roman"/>
          <w:sz w:val="28"/>
          <w:szCs w:val="28"/>
          <w:lang w:val="uk-UA"/>
        </w:rPr>
      </w:pPr>
      <w:bookmarkStart w:id="1" w:name="n36"/>
      <w:bookmarkEnd w:id="1"/>
      <w:r w:rsidRPr="00DA6984">
        <w:rPr>
          <w:rFonts w:ascii="Times New Roman" w:hAnsi="Times New Roman" w:cs="Times New Roman"/>
          <w:sz w:val="28"/>
          <w:szCs w:val="28"/>
          <w:lang w:val="uk-UA"/>
        </w:rPr>
        <w:t>Показниками результативності дії регуляторного акта є:</w:t>
      </w:r>
    </w:p>
    <w:p w14:paraId="6A431FF7" w14:textId="27B064A7" w:rsidR="00045B46" w:rsidRPr="00DA6984" w:rsidRDefault="00F11BD9" w:rsidP="00F11BD9">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кількість суб’єктів господарювання, на яких поширюватиметься дія акта</w:t>
      </w:r>
      <w:r w:rsidR="00045B46" w:rsidRPr="00DA6984">
        <w:rPr>
          <w:rFonts w:ascii="Times New Roman" w:hAnsi="Times New Roman" w:cs="Times New Roman"/>
          <w:sz w:val="28"/>
          <w:szCs w:val="28"/>
          <w:lang w:val="uk-UA"/>
        </w:rPr>
        <w:t>;</w:t>
      </w:r>
      <w:r w:rsidR="00727FCF" w:rsidRPr="00DA6984">
        <w:rPr>
          <w:rFonts w:ascii="Times New Roman" w:hAnsi="Times New Roman" w:cs="Times New Roman"/>
          <w:sz w:val="28"/>
          <w:szCs w:val="28"/>
          <w:lang w:val="uk-UA"/>
        </w:rPr>
        <w:t xml:space="preserve"> </w:t>
      </w:r>
    </w:p>
    <w:p w14:paraId="0B59FA30" w14:textId="00C03F25" w:rsidR="00F11BD9" w:rsidRPr="00DA6984" w:rsidRDefault="00F11BD9" w:rsidP="00F11BD9">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кількість запитів суб’єктів господарювання щодо складання </w:t>
      </w:r>
      <w:r w:rsidR="000D4817" w:rsidRPr="00DA6984">
        <w:rPr>
          <w:rFonts w:ascii="Times New Roman" w:hAnsi="Times New Roman" w:cs="Times New Roman"/>
          <w:sz w:val="28"/>
          <w:szCs w:val="28"/>
          <w:lang w:val="uk-UA"/>
        </w:rPr>
        <w:t>звіту про платежі на користь держави</w:t>
      </w:r>
      <w:r w:rsidRPr="00DA6984">
        <w:rPr>
          <w:rFonts w:ascii="Times New Roman" w:hAnsi="Times New Roman" w:cs="Times New Roman"/>
          <w:sz w:val="28"/>
          <w:szCs w:val="28"/>
          <w:lang w:val="uk-UA"/>
        </w:rPr>
        <w:t>;</w:t>
      </w:r>
    </w:p>
    <w:p w14:paraId="15DFB891" w14:textId="525678BE" w:rsidR="00F11BD9" w:rsidRPr="00DA6984" w:rsidRDefault="00F11BD9" w:rsidP="00F11BD9">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кількість органів місцевого самоврядування, до яких сплачуються платежі</w:t>
      </w:r>
      <w:r w:rsidR="00727FCF" w:rsidRPr="00DA6984">
        <w:rPr>
          <w:rFonts w:ascii="Times New Roman" w:hAnsi="Times New Roman" w:cs="Times New Roman"/>
          <w:sz w:val="28"/>
          <w:szCs w:val="28"/>
          <w:lang w:val="uk-UA"/>
        </w:rPr>
        <w:t>;</w:t>
      </w:r>
    </w:p>
    <w:p w14:paraId="42B854D4" w14:textId="5A62E83D" w:rsidR="00F11BD9" w:rsidRPr="00DA6984" w:rsidRDefault="00727FCF" w:rsidP="00F11BD9">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р</w:t>
      </w:r>
      <w:r w:rsidR="00F11BD9" w:rsidRPr="00DA6984">
        <w:rPr>
          <w:rFonts w:ascii="Times New Roman" w:hAnsi="Times New Roman" w:cs="Times New Roman"/>
          <w:sz w:val="28"/>
          <w:szCs w:val="28"/>
          <w:lang w:val="uk-UA"/>
        </w:rPr>
        <w:t>івень поінформованості суб’єктів господарювання стосовно основних положень регуляторного акта – високий.</w:t>
      </w:r>
    </w:p>
    <w:p w14:paraId="349B2285" w14:textId="77777777" w:rsidR="00D474C4" w:rsidRPr="00DA6984" w:rsidRDefault="00F11BD9" w:rsidP="00F11BD9">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lastRenderedPageBreak/>
        <w:t>Проєкт акта розміщено на офіційному вебсайті Міністерства фінансів України (</w:t>
      </w:r>
      <w:hyperlink r:id="rId7" w:history="1">
        <w:r w:rsidRPr="00DA6984">
          <w:rPr>
            <w:rStyle w:val="a6"/>
            <w:rFonts w:ascii="Times New Roman" w:hAnsi="Times New Roman" w:cs="Times New Roman"/>
            <w:color w:val="auto"/>
            <w:sz w:val="28"/>
            <w:szCs w:val="28"/>
            <w:lang w:val="uk-UA"/>
          </w:rPr>
          <w:t>https://mof.gov.ua/</w:t>
        </w:r>
      </w:hyperlink>
      <w:r w:rsidRPr="00DA6984">
        <w:rPr>
          <w:rFonts w:ascii="Times New Roman" w:hAnsi="Times New Roman" w:cs="Times New Roman"/>
          <w:sz w:val="28"/>
          <w:szCs w:val="28"/>
          <w:lang w:val="uk-UA"/>
        </w:rPr>
        <w:t>).</w:t>
      </w:r>
    </w:p>
    <w:p w14:paraId="3E880DDA" w14:textId="77777777" w:rsidR="00F11BD9" w:rsidRPr="00DA6984" w:rsidRDefault="00F11BD9" w:rsidP="00F11BD9">
      <w:pPr>
        <w:spacing w:after="0" w:line="240" w:lineRule="auto"/>
        <w:ind w:firstLine="567"/>
        <w:jc w:val="both"/>
        <w:rPr>
          <w:rFonts w:ascii="Times New Roman" w:hAnsi="Times New Roman" w:cs="Times New Roman"/>
          <w:sz w:val="28"/>
          <w:szCs w:val="28"/>
          <w:lang w:val="uk-UA"/>
        </w:rPr>
      </w:pPr>
    </w:p>
    <w:p w14:paraId="04882D41" w14:textId="77777777" w:rsidR="00D474C4" w:rsidRPr="00DA6984" w:rsidRDefault="00D474C4" w:rsidP="00A76ACD">
      <w:pPr>
        <w:spacing w:after="0" w:line="240" w:lineRule="auto"/>
        <w:ind w:firstLine="567"/>
        <w:jc w:val="center"/>
        <w:rPr>
          <w:rFonts w:ascii="Times New Roman" w:hAnsi="Times New Roman" w:cs="Times New Roman"/>
          <w:b/>
          <w:sz w:val="28"/>
          <w:szCs w:val="28"/>
          <w:lang w:val="uk-UA"/>
        </w:rPr>
      </w:pPr>
      <w:r w:rsidRPr="00DA6984">
        <w:rPr>
          <w:rFonts w:ascii="Times New Roman" w:hAnsi="Times New Roman" w:cs="Times New Roman"/>
          <w:b/>
          <w:sz w:val="28"/>
          <w:szCs w:val="28"/>
          <w:lang w:val="uk-UA"/>
        </w:rPr>
        <w:t>IX. Визначення заходів, за допомогою яки</w:t>
      </w:r>
      <w:r w:rsidR="00A76ACD" w:rsidRPr="00DA6984">
        <w:rPr>
          <w:rFonts w:ascii="Times New Roman" w:hAnsi="Times New Roman" w:cs="Times New Roman"/>
          <w:b/>
          <w:sz w:val="28"/>
          <w:szCs w:val="28"/>
          <w:lang w:val="uk-UA"/>
        </w:rPr>
        <w:t xml:space="preserve">х здійснюватиметься відстеження </w:t>
      </w:r>
      <w:r w:rsidRPr="00DA6984">
        <w:rPr>
          <w:rFonts w:ascii="Times New Roman" w:hAnsi="Times New Roman" w:cs="Times New Roman"/>
          <w:b/>
          <w:sz w:val="28"/>
          <w:szCs w:val="28"/>
          <w:lang w:val="uk-UA"/>
        </w:rPr>
        <w:t>результативності дії регуляторного акта</w:t>
      </w:r>
    </w:p>
    <w:p w14:paraId="773CCDE8" w14:textId="77777777" w:rsidR="00D474C4" w:rsidRPr="00DA6984" w:rsidRDefault="00D474C4" w:rsidP="00D474C4">
      <w:pPr>
        <w:spacing w:after="0" w:line="240" w:lineRule="auto"/>
        <w:ind w:firstLine="567"/>
        <w:jc w:val="both"/>
        <w:rPr>
          <w:rFonts w:ascii="Times New Roman" w:hAnsi="Times New Roman" w:cs="Times New Roman"/>
          <w:sz w:val="28"/>
          <w:szCs w:val="28"/>
          <w:lang w:val="uk-UA"/>
        </w:rPr>
      </w:pPr>
    </w:p>
    <w:p w14:paraId="72B43F6E" w14:textId="77777777" w:rsidR="00D474C4" w:rsidRPr="00DA6984" w:rsidRDefault="00D474C4" w:rsidP="00A76AC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Відстеження результативності регуляторного акта (у разі його прийняття) здійснюватиметься з періодичністю, визначеною Законом України «Про засади державної регуляторної політики у с</w:t>
      </w:r>
      <w:r w:rsidR="00A76ACD" w:rsidRPr="00DA6984">
        <w:rPr>
          <w:rFonts w:ascii="Times New Roman" w:hAnsi="Times New Roman" w:cs="Times New Roman"/>
          <w:sz w:val="28"/>
          <w:szCs w:val="28"/>
          <w:lang w:val="uk-UA"/>
        </w:rPr>
        <w:t>фері господарської діяльності».</w:t>
      </w:r>
    </w:p>
    <w:p w14:paraId="07F24C6F" w14:textId="5B85AAB2" w:rsidR="00D474C4" w:rsidRPr="00DA6984" w:rsidRDefault="00D474C4" w:rsidP="00A76AC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 xml:space="preserve">Відстеження результативності регуляторного акта буде проведено статистичним методом шляхом аналізу даних з інформаційних систем Міністерства фінансів України </w:t>
      </w:r>
      <w:r w:rsidR="004D5A62" w:rsidRPr="00DA6984">
        <w:rPr>
          <w:rFonts w:ascii="Times New Roman" w:hAnsi="Times New Roman" w:cs="Times New Roman"/>
          <w:sz w:val="28"/>
          <w:szCs w:val="28"/>
          <w:lang w:val="uk-UA"/>
        </w:rPr>
        <w:t>та Державного агентства лісових ресурсів України</w:t>
      </w:r>
      <w:r w:rsidR="00A76ACD" w:rsidRPr="00DA6984">
        <w:rPr>
          <w:rFonts w:ascii="Times New Roman" w:hAnsi="Times New Roman" w:cs="Times New Roman"/>
          <w:sz w:val="28"/>
          <w:szCs w:val="28"/>
          <w:lang w:val="uk-UA"/>
        </w:rPr>
        <w:t>.</w:t>
      </w:r>
    </w:p>
    <w:p w14:paraId="756B0055" w14:textId="77777777" w:rsidR="00B90B34" w:rsidRPr="00DA6984" w:rsidRDefault="00B90B34" w:rsidP="00DC1BC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Базове відстеження результативності регуляторного акта буде проводитись з дня прийняття регуляторного акта.</w:t>
      </w:r>
    </w:p>
    <w:p w14:paraId="24F8BE0F" w14:textId="77777777" w:rsidR="00B90B34" w:rsidRPr="00DA6984" w:rsidRDefault="00B90B34" w:rsidP="00DC1BC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Повторне відстеження буде здійснюватися через рік але не пізніше двох років з дня прийняття регуляторного акта.</w:t>
      </w:r>
    </w:p>
    <w:p w14:paraId="759FFE9E" w14:textId="77777777" w:rsidR="00D474C4" w:rsidRPr="00DA6984" w:rsidRDefault="00DC1BCD" w:rsidP="00DC1BCD">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Періодичні відстеження здійснюватимуться у встановлені законодавством терміни.</w:t>
      </w:r>
    </w:p>
    <w:p w14:paraId="15F7E3F2" w14:textId="77777777" w:rsidR="00C71F27" w:rsidRPr="00DA6984" w:rsidRDefault="00C71F27" w:rsidP="00C71F27">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У разі виявлення неврегульованих та/або проблемних питань на підставі аналізу зауважень та пропозицій державних органів, суб’єктів господарювання ці питання будуть врегульовані шляхом унесення відповідних змін до регуляторного акта.</w:t>
      </w:r>
    </w:p>
    <w:p w14:paraId="61F067CB" w14:textId="77777777" w:rsidR="00D474C4" w:rsidRPr="00DA6984" w:rsidRDefault="00C71F27" w:rsidP="00C71F27">
      <w:pPr>
        <w:spacing w:after="0" w:line="240" w:lineRule="auto"/>
        <w:ind w:firstLine="567"/>
        <w:jc w:val="both"/>
        <w:rPr>
          <w:rFonts w:ascii="Times New Roman" w:hAnsi="Times New Roman" w:cs="Times New Roman"/>
          <w:sz w:val="28"/>
          <w:szCs w:val="28"/>
          <w:lang w:val="uk-UA"/>
        </w:rPr>
      </w:pPr>
      <w:r w:rsidRPr="00DA6984">
        <w:rPr>
          <w:rFonts w:ascii="Times New Roman" w:hAnsi="Times New Roman" w:cs="Times New Roman"/>
          <w:sz w:val="28"/>
          <w:szCs w:val="28"/>
          <w:lang w:val="uk-UA"/>
        </w:rPr>
        <w:t>Виконавцем заходів з відстеження результативності дії регуляторного акта є Міністерство фінансів України.</w:t>
      </w:r>
    </w:p>
    <w:p w14:paraId="5ECACF61" w14:textId="77777777" w:rsidR="00DC1BCD" w:rsidRPr="00DA6984" w:rsidRDefault="00DC1BCD" w:rsidP="00D474C4">
      <w:pPr>
        <w:spacing w:after="0" w:line="240" w:lineRule="auto"/>
        <w:ind w:firstLine="567"/>
        <w:jc w:val="both"/>
        <w:rPr>
          <w:rFonts w:ascii="Times New Roman" w:hAnsi="Times New Roman" w:cs="Times New Roman"/>
          <w:sz w:val="28"/>
          <w:szCs w:val="28"/>
          <w:lang w:val="uk-UA"/>
        </w:rPr>
      </w:pPr>
    </w:p>
    <w:p w14:paraId="66583B44" w14:textId="77777777" w:rsidR="00C7500A" w:rsidRPr="00DA6984" w:rsidRDefault="00C7500A" w:rsidP="00DC1BCD">
      <w:pPr>
        <w:spacing w:after="0" w:line="240" w:lineRule="auto"/>
        <w:jc w:val="both"/>
        <w:rPr>
          <w:rFonts w:ascii="Times New Roman" w:hAnsi="Times New Roman" w:cs="Times New Roman"/>
          <w:b/>
          <w:sz w:val="28"/>
          <w:szCs w:val="28"/>
          <w:lang w:val="uk-UA"/>
        </w:rPr>
      </w:pPr>
    </w:p>
    <w:p w14:paraId="74EA7AC4" w14:textId="41B9CBC8" w:rsidR="003C24DA" w:rsidRPr="00DA6984" w:rsidRDefault="00DA6984" w:rsidP="003C24DA">
      <w:pPr>
        <w:tabs>
          <w:tab w:val="left" w:pos="3570"/>
        </w:tabs>
        <w:ind w:right="-144"/>
        <w:rPr>
          <w:rFonts w:ascii="Times New Roman" w:hAnsi="Times New Roman" w:cs="Times New Roman"/>
          <w:b/>
          <w:sz w:val="28"/>
          <w:szCs w:val="28"/>
          <w:lang w:val="uk-UA"/>
        </w:rPr>
      </w:pPr>
      <w:r w:rsidRPr="00DA6984">
        <w:rPr>
          <w:rFonts w:ascii="Times New Roman" w:hAnsi="Times New Roman" w:cs="Times New Roman"/>
          <w:b/>
          <w:sz w:val="28"/>
          <w:szCs w:val="28"/>
          <w:lang w:val="uk-UA"/>
        </w:rPr>
        <w:t>Заступник Міністра</w:t>
      </w:r>
      <w:r w:rsidR="003C24DA" w:rsidRPr="00DA6984">
        <w:rPr>
          <w:rFonts w:ascii="Times New Roman" w:hAnsi="Times New Roman" w:cs="Times New Roman"/>
          <w:b/>
          <w:sz w:val="28"/>
          <w:szCs w:val="28"/>
          <w:lang w:val="uk-UA"/>
        </w:rPr>
        <w:t xml:space="preserve"> </w:t>
      </w:r>
      <w:r w:rsidR="003C24DA" w:rsidRPr="00DA6984">
        <w:rPr>
          <w:rFonts w:ascii="Times New Roman" w:hAnsi="Times New Roman" w:cs="Times New Roman"/>
          <w:b/>
          <w:sz w:val="28"/>
          <w:szCs w:val="28"/>
          <w:lang w:val="uk-UA"/>
        </w:rPr>
        <w:tab/>
      </w:r>
      <w:r w:rsidR="003C24DA" w:rsidRPr="00DA6984">
        <w:rPr>
          <w:rFonts w:ascii="Times New Roman" w:hAnsi="Times New Roman" w:cs="Times New Roman"/>
          <w:b/>
          <w:sz w:val="28"/>
          <w:szCs w:val="28"/>
          <w:lang w:val="uk-UA"/>
        </w:rPr>
        <w:tab/>
      </w:r>
      <w:r w:rsidR="003C24DA" w:rsidRPr="00DA6984">
        <w:rPr>
          <w:rFonts w:ascii="Times New Roman" w:hAnsi="Times New Roman" w:cs="Times New Roman"/>
          <w:b/>
          <w:sz w:val="28"/>
          <w:szCs w:val="28"/>
          <w:lang w:val="uk-UA"/>
        </w:rPr>
        <w:tab/>
      </w:r>
      <w:r w:rsidR="003C24DA" w:rsidRPr="00DA6984">
        <w:rPr>
          <w:rFonts w:ascii="Times New Roman" w:hAnsi="Times New Roman" w:cs="Times New Roman"/>
          <w:b/>
          <w:sz w:val="28"/>
          <w:szCs w:val="28"/>
          <w:lang w:val="uk-UA"/>
        </w:rPr>
        <w:tab/>
        <w:t xml:space="preserve">                 </w:t>
      </w:r>
      <w:r w:rsidRPr="00DA6984">
        <w:rPr>
          <w:rFonts w:ascii="Times New Roman" w:hAnsi="Times New Roman" w:cs="Times New Roman"/>
          <w:b/>
          <w:sz w:val="28"/>
          <w:szCs w:val="28"/>
          <w:lang w:val="uk-UA"/>
        </w:rPr>
        <w:t xml:space="preserve"> </w:t>
      </w:r>
      <w:r w:rsidR="003C24DA" w:rsidRPr="00DA6984">
        <w:rPr>
          <w:rFonts w:ascii="Times New Roman" w:hAnsi="Times New Roman" w:cs="Times New Roman"/>
          <w:b/>
          <w:sz w:val="28"/>
          <w:szCs w:val="28"/>
          <w:lang w:val="uk-UA"/>
        </w:rPr>
        <w:t xml:space="preserve">  </w:t>
      </w:r>
      <w:r w:rsidRPr="00DA6984">
        <w:rPr>
          <w:rFonts w:ascii="Times New Roman" w:hAnsi="Times New Roman" w:cs="Times New Roman"/>
          <w:b/>
          <w:sz w:val="28"/>
          <w:szCs w:val="28"/>
          <w:lang w:val="uk-UA"/>
        </w:rPr>
        <w:t>Світлана ВОРОБЕЙ</w:t>
      </w:r>
    </w:p>
    <w:p w14:paraId="693EA1DD" w14:textId="7FECC6A0" w:rsidR="00D474C4" w:rsidRPr="006C6947" w:rsidRDefault="00D474C4" w:rsidP="00D474C4">
      <w:pPr>
        <w:spacing w:after="0" w:line="240" w:lineRule="auto"/>
        <w:ind w:firstLine="567"/>
        <w:jc w:val="both"/>
        <w:rPr>
          <w:rFonts w:ascii="Times New Roman" w:hAnsi="Times New Roman" w:cs="Times New Roman"/>
          <w:sz w:val="28"/>
          <w:szCs w:val="28"/>
          <w:lang w:val="uk-UA"/>
        </w:rPr>
      </w:pPr>
      <w:r w:rsidRPr="006C6947">
        <w:rPr>
          <w:rFonts w:ascii="Times New Roman" w:hAnsi="Times New Roman" w:cs="Times New Roman"/>
          <w:sz w:val="28"/>
          <w:szCs w:val="28"/>
          <w:lang w:val="uk-UA"/>
        </w:rPr>
        <w:tab/>
      </w:r>
      <w:r w:rsidR="003C24DA">
        <w:rPr>
          <w:rFonts w:ascii="Times New Roman" w:hAnsi="Times New Roman" w:cs="Times New Roman"/>
          <w:sz w:val="28"/>
          <w:szCs w:val="28"/>
          <w:lang w:val="uk-UA"/>
        </w:rPr>
        <w:t xml:space="preserve"> </w:t>
      </w:r>
    </w:p>
    <w:sectPr w:rsidR="00D474C4" w:rsidRPr="006C6947" w:rsidSect="0083792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A7262" w14:textId="77777777" w:rsidR="002B0504" w:rsidRDefault="002B0504" w:rsidP="00914D95">
      <w:pPr>
        <w:spacing w:after="0" w:line="240" w:lineRule="auto"/>
      </w:pPr>
      <w:r>
        <w:separator/>
      </w:r>
    </w:p>
  </w:endnote>
  <w:endnote w:type="continuationSeparator" w:id="0">
    <w:p w14:paraId="6773664D" w14:textId="77777777" w:rsidR="002B0504" w:rsidRDefault="002B0504" w:rsidP="0091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736D" w14:textId="77777777" w:rsidR="002B0504" w:rsidRDefault="002B0504" w:rsidP="00914D95">
      <w:pPr>
        <w:spacing w:after="0" w:line="240" w:lineRule="auto"/>
      </w:pPr>
      <w:r>
        <w:separator/>
      </w:r>
    </w:p>
  </w:footnote>
  <w:footnote w:type="continuationSeparator" w:id="0">
    <w:p w14:paraId="76773142" w14:textId="77777777" w:rsidR="002B0504" w:rsidRDefault="002B0504" w:rsidP="00914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267124"/>
      <w:docPartObj>
        <w:docPartGallery w:val="Page Numbers (Top of Page)"/>
        <w:docPartUnique/>
      </w:docPartObj>
    </w:sdtPr>
    <w:sdtEndPr/>
    <w:sdtContent>
      <w:p w14:paraId="1D2A768B" w14:textId="38BA4683" w:rsidR="00135435" w:rsidRDefault="00135435">
        <w:pPr>
          <w:pStyle w:val="ae"/>
          <w:jc w:val="center"/>
        </w:pPr>
        <w:r>
          <w:fldChar w:fldCharType="begin"/>
        </w:r>
        <w:r>
          <w:instrText>PAGE   \* MERGEFORMAT</w:instrText>
        </w:r>
        <w:r>
          <w:fldChar w:fldCharType="separate"/>
        </w:r>
        <w:r w:rsidR="008720B2" w:rsidRPr="008720B2">
          <w:rPr>
            <w:noProof/>
            <w:lang w:val="uk-UA"/>
          </w:rPr>
          <w:t>13</w:t>
        </w:r>
        <w:r>
          <w:fldChar w:fldCharType="end"/>
        </w:r>
      </w:p>
    </w:sdtContent>
  </w:sdt>
  <w:p w14:paraId="0112872B" w14:textId="77777777" w:rsidR="00135435" w:rsidRDefault="0013543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2082"/>
    <w:multiLevelType w:val="hybridMultilevel"/>
    <w:tmpl w:val="2A2069AA"/>
    <w:lvl w:ilvl="0" w:tplc="D9147FD8">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E992F56"/>
    <w:multiLevelType w:val="hybridMultilevel"/>
    <w:tmpl w:val="E5405DA6"/>
    <w:lvl w:ilvl="0" w:tplc="DA347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2637A09"/>
    <w:multiLevelType w:val="hybridMultilevel"/>
    <w:tmpl w:val="51C2FE66"/>
    <w:lvl w:ilvl="0" w:tplc="F7A07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CE210E7"/>
    <w:multiLevelType w:val="hybridMultilevel"/>
    <w:tmpl w:val="7AC08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93D41"/>
    <w:multiLevelType w:val="hybridMultilevel"/>
    <w:tmpl w:val="E2B26E9C"/>
    <w:lvl w:ilvl="0" w:tplc="3D74178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9E25ADF"/>
    <w:multiLevelType w:val="hybridMultilevel"/>
    <w:tmpl w:val="E3224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9F31B7"/>
    <w:multiLevelType w:val="hybridMultilevel"/>
    <w:tmpl w:val="A7CE0F0A"/>
    <w:lvl w:ilvl="0" w:tplc="632AA4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AE06629"/>
    <w:multiLevelType w:val="hybridMultilevel"/>
    <w:tmpl w:val="FB9AD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DB0D01"/>
    <w:multiLevelType w:val="hybridMultilevel"/>
    <w:tmpl w:val="68A89114"/>
    <w:lvl w:ilvl="0" w:tplc="D4F425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5BE5618"/>
    <w:multiLevelType w:val="hybridMultilevel"/>
    <w:tmpl w:val="712C0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5"/>
  </w:num>
  <w:num w:numId="5">
    <w:abstractNumId w:val="7"/>
  </w:num>
  <w:num w:numId="6">
    <w:abstractNumId w:val="3"/>
  </w:num>
  <w:num w:numId="7">
    <w:abstractNumId w:val="6"/>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71"/>
    <w:rsid w:val="00010903"/>
    <w:rsid w:val="00017F48"/>
    <w:rsid w:val="0002465E"/>
    <w:rsid w:val="00045B46"/>
    <w:rsid w:val="00053B45"/>
    <w:rsid w:val="00073368"/>
    <w:rsid w:val="00090E38"/>
    <w:rsid w:val="000910F4"/>
    <w:rsid w:val="000B3EC4"/>
    <w:rsid w:val="000B429C"/>
    <w:rsid w:val="000D4817"/>
    <w:rsid w:val="000E03A6"/>
    <w:rsid w:val="000E41B8"/>
    <w:rsid w:val="000F4687"/>
    <w:rsid w:val="000F658E"/>
    <w:rsid w:val="000F6C75"/>
    <w:rsid w:val="00101BB5"/>
    <w:rsid w:val="00115E9E"/>
    <w:rsid w:val="00135435"/>
    <w:rsid w:val="0013763E"/>
    <w:rsid w:val="00160B19"/>
    <w:rsid w:val="00162882"/>
    <w:rsid w:val="001B5B36"/>
    <w:rsid w:val="001D62F7"/>
    <w:rsid w:val="001F2AA6"/>
    <w:rsid w:val="0022146D"/>
    <w:rsid w:val="00234F6F"/>
    <w:rsid w:val="002400E3"/>
    <w:rsid w:val="00251BCA"/>
    <w:rsid w:val="00256D32"/>
    <w:rsid w:val="00262CC5"/>
    <w:rsid w:val="002731A3"/>
    <w:rsid w:val="002A21E1"/>
    <w:rsid w:val="002B0504"/>
    <w:rsid w:val="002B4EF8"/>
    <w:rsid w:val="002D6B1A"/>
    <w:rsid w:val="002E7374"/>
    <w:rsid w:val="00324630"/>
    <w:rsid w:val="0036150D"/>
    <w:rsid w:val="003876B1"/>
    <w:rsid w:val="003974C0"/>
    <w:rsid w:val="003A5713"/>
    <w:rsid w:val="003B703F"/>
    <w:rsid w:val="003C24DA"/>
    <w:rsid w:val="003D69CE"/>
    <w:rsid w:val="003F18FF"/>
    <w:rsid w:val="003F1A7C"/>
    <w:rsid w:val="003F3192"/>
    <w:rsid w:val="00403B01"/>
    <w:rsid w:val="00407557"/>
    <w:rsid w:val="00426CE3"/>
    <w:rsid w:val="00435B01"/>
    <w:rsid w:val="00436065"/>
    <w:rsid w:val="004363D7"/>
    <w:rsid w:val="004502A9"/>
    <w:rsid w:val="0045251B"/>
    <w:rsid w:val="00455EC2"/>
    <w:rsid w:val="00462191"/>
    <w:rsid w:val="0047001B"/>
    <w:rsid w:val="004865AE"/>
    <w:rsid w:val="00486BD4"/>
    <w:rsid w:val="004961FD"/>
    <w:rsid w:val="004D5A62"/>
    <w:rsid w:val="004E121E"/>
    <w:rsid w:val="004E6371"/>
    <w:rsid w:val="004F1E5F"/>
    <w:rsid w:val="005006B9"/>
    <w:rsid w:val="005133E7"/>
    <w:rsid w:val="00530502"/>
    <w:rsid w:val="00550439"/>
    <w:rsid w:val="00561ECE"/>
    <w:rsid w:val="00566D16"/>
    <w:rsid w:val="0057690D"/>
    <w:rsid w:val="0059162A"/>
    <w:rsid w:val="005927EE"/>
    <w:rsid w:val="00594CDB"/>
    <w:rsid w:val="005A7F76"/>
    <w:rsid w:val="005C1362"/>
    <w:rsid w:val="005D1D51"/>
    <w:rsid w:val="005E36E7"/>
    <w:rsid w:val="005E43A4"/>
    <w:rsid w:val="005E6AF1"/>
    <w:rsid w:val="00602C82"/>
    <w:rsid w:val="006265F4"/>
    <w:rsid w:val="0062727B"/>
    <w:rsid w:val="00630D38"/>
    <w:rsid w:val="00695C28"/>
    <w:rsid w:val="006B498D"/>
    <w:rsid w:val="006B51B6"/>
    <w:rsid w:val="006C0E28"/>
    <w:rsid w:val="006C6947"/>
    <w:rsid w:val="006E7BFD"/>
    <w:rsid w:val="007226DF"/>
    <w:rsid w:val="0072606B"/>
    <w:rsid w:val="00727FCF"/>
    <w:rsid w:val="00730761"/>
    <w:rsid w:val="00743CD9"/>
    <w:rsid w:val="00747CFE"/>
    <w:rsid w:val="00762212"/>
    <w:rsid w:val="007727FB"/>
    <w:rsid w:val="0079358B"/>
    <w:rsid w:val="0079571D"/>
    <w:rsid w:val="007A369D"/>
    <w:rsid w:val="007A7AE1"/>
    <w:rsid w:val="007C5F23"/>
    <w:rsid w:val="007D67A1"/>
    <w:rsid w:val="00801295"/>
    <w:rsid w:val="00816F85"/>
    <w:rsid w:val="00837926"/>
    <w:rsid w:val="00850382"/>
    <w:rsid w:val="00851699"/>
    <w:rsid w:val="00853C45"/>
    <w:rsid w:val="008720B2"/>
    <w:rsid w:val="00877480"/>
    <w:rsid w:val="008A5897"/>
    <w:rsid w:val="008A7C2B"/>
    <w:rsid w:val="008D0D10"/>
    <w:rsid w:val="008D2CC4"/>
    <w:rsid w:val="008E36A8"/>
    <w:rsid w:val="008E7823"/>
    <w:rsid w:val="008F5348"/>
    <w:rsid w:val="009119DA"/>
    <w:rsid w:val="00914D95"/>
    <w:rsid w:val="00924E6F"/>
    <w:rsid w:val="00931736"/>
    <w:rsid w:val="009340B0"/>
    <w:rsid w:val="00935D4C"/>
    <w:rsid w:val="00936059"/>
    <w:rsid w:val="00936878"/>
    <w:rsid w:val="009403FA"/>
    <w:rsid w:val="009570AE"/>
    <w:rsid w:val="00964939"/>
    <w:rsid w:val="00970F55"/>
    <w:rsid w:val="009914DD"/>
    <w:rsid w:val="00994CEF"/>
    <w:rsid w:val="009B65B4"/>
    <w:rsid w:val="009C0C74"/>
    <w:rsid w:val="009C3736"/>
    <w:rsid w:val="009C5DF8"/>
    <w:rsid w:val="009D14CD"/>
    <w:rsid w:val="009E2DD9"/>
    <w:rsid w:val="009F0F52"/>
    <w:rsid w:val="009F7338"/>
    <w:rsid w:val="00A10816"/>
    <w:rsid w:val="00A32413"/>
    <w:rsid w:val="00A76ACD"/>
    <w:rsid w:val="00A92275"/>
    <w:rsid w:val="00A955F4"/>
    <w:rsid w:val="00AB5C01"/>
    <w:rsid w:val="00AD0A88"/>
    <w:rsid w:val="00AF3ACC"/>
    <w:rsid w:val="00B020A0"/>
    <w:rsid w:val="00B143D0"/>
    <w:rsid w:val="00B263D4"/>
    <w:rsid w:val="00B425BA"/>
    <w:rsid w:val="00B5090F"/>
    <w:rsid w:val="00B5142F"/>
    <w:rsid w:val="00B627A3"/>
    <w:rsid w:val="00B64F5C"/>
    <w:rsid w:val="00B74175"/>
    <w:rsid w:val="00B84434"/>
    <w:rsid w:val="00B84B65"/>
    <w:rsid w:val="00B90B34"/>
    <w:rsid w:val="00B97B63"/>
    <w:rsid w:val="00BA0E18"/>
    <w:rsid w:val="00C0079D"/>
    <w:rsid w:val="00C23B07"/>
    <w:rsid w:val="00C24E2A"/>
    <w:rsid w:val="00C31CB5"/>
    <w:rsid w:val="00C42DE0"/>
    <w:rsid w:val="00C53AE6"/>
    <w:rsid w:val="00C55CE2"/>
    <w:rsid w:val="00C64851"/>
    <w:rsid w:val="00C71F27"/>
    <w:rsid w:val="00C7500A"/>
    <w:rsid w:val="00C85397"/>
    <w:rsid w:val="00C92444"/>
    <w:rsid w:val="00CC1720"/>
    <w:rsid w:val="00CD01BF"/>
    <w:rsid w:val="00CD6557"/>
    <w:rsid w:val="00CE096A"/>
    <w:rsid w:val="00CE407D"/>
    <w:rsid w:val="00D43E9D"/>
    <w:rsid w:val="00D474C4"/>
    <w:rsid w:val="00D47938"/>
    <w:rsid w:val="00D64302"/>
    <w:rsid w:val="00D64373"/>
    <w:rsid w:val="00D675D2"/>
    <w:rsid w:val="00D72A6E"/>
    <w:rsid w:val="00DA5755"/>
    <w:rsid w:val="00DA6984"/>
    <w:rsid w:val="00DB1442"/>
    <w:rsid w:val="00DC1BCD"/>
    <w:rsid w:val="00DD3793"/>
    <w:rsid w:val="00DE0C07"/>
    <w:rsid w:val="00DE29C6"/>
    <w:rsid w:val="00DF631A"/>
    <w:rsid w:val="00E02FC7"/>
    <w:rsid w:val="00E1323D"/>
    <w:rsid w:val="00E377FD"/>
    <w:rsid w:val="00E50743"/>
    <w:rsid w:val="00E51056"/>
    <w:rsid w:val="00E523A7"/>
    <w:rsid w:val="00E73845"/>
    <w:rsid w:val="00E958A0"/>
    <w:rsid w:val="00EB6DDD"/>
    <w:rsid w:val="00EC5EAA"/>
    <w:rsid w:val="00EC6E53"/>
    <w:rsid w:val="00ED3ADF"/>
    <w:rsid w:val="00ED4ECE"/>
    <w:rsid w:val="00EF3FB6"/>
    <w:rsid w:val="00F01EEA"/>
    <w:rsid w:val="00F11BD9"/>
    <w:rsid w:val="00F1211E"/>
    <w:rsid w:val="00F32431"/>
    <w:rsid w:val="00F4636E"/>
    <w:rsid w:val="00F53C61"/>
    <w:rsid w:val="00F6360B"/>
    <w:rsid w:val="00FA27C5"/>
    <w:rsid w:val="00FA34E1"/>
    <w:rsid w:val="00FA6591"/>
    <w:rsid w:val="00FB1C00"/>
    <w:rsid w:val="00FB4729"/>
    <w:rsid w:val="00FB475F"/>
    <w:rsid w:val="00FB7344"/>
    <w:rsid w:val="00FC3407"/>
    <w:rsid w:val="00FD35FF"/>
    <w:rsid w:val="00FD645D"/>
    <w:rsid w:val="00FE16A7"/>
    <w:rsid w:val="00FE46F3"/>
    <w:rsid w:val="00FF3CD7"/>
    <w:rsid w:val="00FF3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167C"/>
  <w15:docId w15:val="{DAE46295-EAA5-4070-A473-60608CB5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9"/>
    <w:qFormat/>
    <w:rsid w:val="00931736"/>
    <w:pPr>
      <w:spacing w:before="100" w:beforeAutospacing="1" w:after="100" w:afterAutospacing="1" w:line="240" w:lineRule="auto"/>
      <w:outlineLvl w:val="2"/>
    </w:pPr>
    <w:rPr>
      <w:rFonts w:ascii="Times New Roman" w:eastAsia="Times New Roman" w:hAnsi="Times New Roman" w:cs="Times New Roman"/>
      <w:b/>
      <w:bCs/>
      <w:sz w:val="27"/>
      <w:szCs w:val="27"/>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31736"/>
    <w:rPr>
      <w:rFonts w:ascii="Times New Roman" w:eastAsia="Times New Roman" w:hAnsi="Times New Roman" w:cs="Times New Roman"/>
      <w:b/>
      <w:bCs/>
      <w:sz w:val="27"/>
      <w:szCs w:val="27"/>
      <w:lang w:val="uk-UA" w:eastAsia="ru-RU"/>
    </w:rPr>
  </w:style>
  <w:style w:type="paragraph" w:styleId="a3">
    <w:name w:val="List Paragraph"/>
    <w:basedOn w:val="a"/>
    <w:uiPriority w:val="34"/>
    <w:qFormat/>
    <w:rsid w:val="00FB7344"/>
    <w:pPr>
      <w:ind w:left="720"/>
      <w:contextualSpacing/>
    </w:pPr>
  </w:style>
  <w:style w:type="paragraph" w:styleId="a4">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5"/>
    <w:uiPriority w:val="99"/>
    <w:rsid w:val="00FB734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a5">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4"/>
    <w:uiPriority w:val="99"/>
    <w:rsid w:val="00FB7344"/>
    <w:rPr>
      <w:rFonts w:ascii="Times New Roman" w:eastAsia="Times New Roman" w:hAnsi="Times New Roman" w:cs="Times New Roman"/>
      <w:sz w:val="24"/>
      <w:szCs w:val="24"/>
      <w:lang w:val="uk-UA" w:eastAsia="ru-RU"/>
    </w:rPr>
  </w:style>
  <w:style w:type="character" w:styleId="a6">
    <w:name w:val="Hyperlink"/>
    <w:basedOn w:val="a0"/>
    <w:uiPriority w:val="99"/>
    <w:unhideWhenUsed/>
    <w:rsid w:val="00F11BD9"/>
    <w:rPr>
      <w:color w:val="0000FF" w:themeColor="hyperlink"/>
      <w:u w:val="single"/>
    </w:rPr>
  </w:style>
  <w:style w:type="character" w:styleId="a7">
    <w:name w:val="annotation reference"/>
    <w:basedOn w:val="a0"/>
    <w:uiPriority w:val="99"/>
    <w:semiHidden/>
    <w:unhideWhenUsed/>
    <w:rsid w:val="00B5142F"/>
    <w:rPr>
      <w:sz w:val="16"/>
      <w:szCs w:val="16"/>
    </w:rPr>
  </w:style>
  <w:style w:type="paragraph" w:styleId="a8">
    <w:name w:val="annotation text"/>
    <w:basedOn w:val="a"/>
    <w:link w:val="a9"/>
    <w:uiPriority w:val="99"/>
    <w:semiHidden/>
    <w:unhideWhenUsed/>
    <w:rsid w:val="00B5142F"/>
    <w:pPr>
      <w:spacing w:line="240" w:lineRule="auto"/>
    </w:pPr>
    <w:rPr>
      <w:sz w:val="20"/>
      <w:szCs w:val="20"/>
    </w:rPr>
  </w:style>
  <w:style w:type="character" w:customStyle="1" w:styleId="a9">
    <w:name w:val="Текст примітки Знак"/>
    <w:basedOn w:val="a0"/>
    <w:link w:val="a8"/>
    <w:uiPriority w:val="99"/>
    <w:semiHidden/>
    <w:rsid w:val="00B5142F"/>
    <w:rPr>
      <w:sz w:val="20"/>
      <w:szCs w:val="20"/>
    </w:rPr>
  </w:style>
  <w:style w:type="paragraph" w:styleId="aa">
    <w:name w:val="annotation subject"/>
    <w:basedOn w:val="a8"/>
    <w:next w:val="a8"/>
    <w:link w:val="ab"/>
    <w:uiPriority w:val="99"/>
    <w:semiHidden/>
    <w:unhideWhenUsed/>
    <w:rsid w:val="00B5142F"/>
    <w:rPr>
      <w:b/>
      <w:bCs/>
    </w:rPr>
  </w:style>
  <w:style w:type="character" w:customStyle="1" w:styleId="ab">
    <w:name w:val="Тема примітки Знак"/>
    <w:basedOn w:val="a9"/>
    <w:link w:val="aa"/>
    <w:uiPriority w:val="99"/>
    <w:semiHidden/>
    <w:rsid w:val="00B5142F"/>
    <w:rPr>
      <w:b/>
      <w:bCs/>
      <w:sz w:val="20"/>
      <w:szCs w:val="20"/>
    </w:rPr>
  </w:style>
  <w:style w:type="paragraph" w:styleId="ac">
    <w:name w:val="Balloon Text"/>
    <w:basedOn w:val="a"/>
    <w:link w:val="ad"/>
    <w:uiPriority w:val="99"/>
    <w:semiHidden/>
    <w:unhideWhenUsed/>
    <w:rsid w:val="00B5142F"/>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5142F"/>
    <w:rPr>
      <w:rFonts w:ascii="Segoe UI" w:hAnsi="Segoe UI" w:cs="Segoe UI"/>
      <w:sz w:val="18"/>
      <w:szCs w:val="18"/>
    </w:rPr>
  </w:style>
  <w:style w:type="paragraph" w:styleId="ae">
    <w:name w:val="header"/>
    <w:basedOn w:val="a"/>
    <w:link w:val="af"/>
    <w:uiPriority w:val="99"/>
    <w:unhideWhenUsed/>
    <w:rsid w:val="00914D95"/>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914D95"/>
  </w:style>
  <w:style w:type="paragraph" w:styleId="af0">
    <w:name w:val="footer"/>
    <w:basedOn w:val="a"/>
    <w:link w:val="af1"/>
    <w:uiPriority w:val="99"/>
    <w:unhideWhenUsed/>
    <w:rsid w:val="00914D95"/>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91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781">
      <w:bodyDiv w:val="1"/>
      <w:marLeft w:val="0"/>
      <w:marRight w:val="0"/>
      <w:marTop w:val="0"/>
      <w:marBottom w:val="0"/>
      <w:divBdr>
        <w:top w:val="none" w:sz="0" w:space="0" w:color="auto"/>
        <w:left w:val="none" w:sz="0" w:space="0" w:color="auto"/>
        <w:bottom w:val="none" w:sz="0" w:space="0" w:color="auto"/>
        <w:right w:val="none" w:sz="0" w:space="0" w:color="auto"/>
      </w:divBdr>
    </w:div>
    <w:div w:id="307516387">
      <w:bodyDiv w:val="1"/>
      <w:marLeft w:val="0"/>
      <w:marRight w:val="0"/>
      <w:marTop w:val="0"/>
      <w:marBottom w:val="0"/>
      <w:divBdr>
        <w:top w:val="none" w:sz="0" w:space="0" w:color="auto"/>
        <w:left w:val="none" w:sz="0" w:space="0" w:color="auto"/>
        <w:bottom w:val="none" w:sz="0" w:space="0" w:color="auto"/>
        <w:right w:val="none" w:sz="0" w:space="0" w:color="auto"/>
      </w:divBdr>
    </w:div>
    <w:div w:id="1443304443">
      <w:bodyDiv w:val="1"/>
      <w:marLeft w:val="0"/>
      <w:marRight w:val="0"/>
      <w:marTop w:val="0"/>
      <w:marBottom w:val="0"/>
      <w:divBdr>
        <w:top w:val="none" w:sz="0" w:space="0" w:color="auto"/>
        <w:left w:val="none" w:sz="0" w:space="0" w:color="auto"/>
        <w:bottom w:val="none" w:sz="0" w:space="0" w:color="auto"/>
        <w:right w:val="none" w:sz="0" w:space="0" w:color="auto"/>
      </w:divBdr>
    </w:div>
    <w:div w:id="2009554417">
      <w:bodyDiv w:val="1"/>
      <w:marLeft w:val="0"/>
      <w:marRight w:val="0"/>
      <w:marTop w:val="0"/>
      <w:marBottom w:val="0"/>
      <w:divBdr>
        <w:top w:val="none" w:sz="0" w:space="0" w:color="auto"/>
        <w:left w:val="none" w:sz="0" w:space="0" w:color="auto"/>
        <w:bottom w:val="none" w:sz="0" w:space="0" w:color="auto"/>
        <w:right w:val="none" w:sz="0" w:space="0" w:color="auto"/>
      </w:divBdr>
    </w:div>
    <w:div w:id="20572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f.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15742</Words>
  <Characters>8973</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Ганнисик Людмила Василівна</cp:lastModifiedBy>
  <cp:revision>2</cp:revision>
  <dcterms:created xsi:type="dcterms:W3CDTF">2020-06-04T07:50:00Z</dcterms:created>
  <dcterms:modified xsi:type="dcterms:W3CDTF">2020-06-04T07:50:00Z</dcterms:modified>
</cp:coreProperties>
</file>