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B2" w:rsidRPr="00DD6014" w:rsidRDefault="00F93AED" w:rsidP="008A7B86">
      <w:pPr>
        <w:pBdr>
          <w:top w:val="nil"/>
          <w:left w:val="nil"/>
          <w:bottom w:val="nil"/>
          <w:right w:val="nil"/>
          <w:between w:val="nil"/>
        </w:pBdr>
        <w:rPr>
          <w:b/>
          <w:sz w:val="28"/>
          <w:szCs w:val="28"/>
          <w:highlight w:val="white"/>
        </w:rPr>
      </w:pPr>
      <w:r w:rsidRPr="00DD6014">
        <w:rPr>
          <w:b/>
          <w:sz w:val="28"/>
          <w:szCs w:val="28"/>
          <w:highlight w:val="white"/>
        </w:rPr>
        <w:t xml:space="preserve"> </w:t>
      </w:r>
    </w:p>
    <w:p w:rsidR="00AE0FB2" w:rsidRPr="00DD6014" w:rsidRDefault="00F93AED" w:rsidP="008A7B86">
      <w:pPr>
        <w:pBdr>
          <w:top w:val="nil"/>
          <w:left w:val="nil"/>
          <w:bottom w:val="nil"/>
          <w:right w:val="nil"/>
          <w:between w:val="nil"/>
        </w:pBdr>
        <w:jc w:val="center"/>
        <w:rPr>
          <w:b/>
          <w:sz w:val="28"/>
          <w:szCs w:val="28"/>
          <w:highlight w:val="white"/>
        </w:rPr>
      </w:pPr>
      <w:r w:rsidRPr="00DD6014">
        <w:rPr>
          <w:b/>
          <w:sz w:val="28"/>
          <w:szCs w:val="28"/>
          <w:highlight w:val="white"/>
        </w:rPr>
        <w:t>АНАЛІЗ РЕГУЛЯТОРНОГО ВПЛИВУ</w:t>
      </w:r>
    </w:p>
    <w:p w:rsidR="008A451B" w:rsidRPr="00DD6014" w:rsidRDefault="008A451B" w:rsidP="008A7B86">
      <w:pPr>
        <w:pBdr>
          <w:top w:val="nil"/>
          <w:left w:val="nil"/>
          <w:bottom w:val="nil"/>
          <w:right w:val="nil"/>
          <w:between w:val="nil"/>
        </w:pBdr>
        <w:jc w:val="center"/>
        <w:rPr>
          <w:b/>
          <w:sz w:val="28"/>
          <w:szCs w:val="28"/>
        </w:rPr>
      </w:pPr>
      <w:proofErr w:type="spellStart"/>
      <w:r w:rsidRPr="00DD6014">
        <w:rPr>
          <w:b/>
          <w:sz w:val="28"/>
          <w:szCs w:val="28"/>
        </w:rPr>
        <w:t>проєкту</w:t>
      </w:r>
      <w:proofErr w:type="spellEnd"/>
      <w:r w:rsidRPr="00DD6014">
        <w:rPr>
          <w:b/>
          <w:sz w:val="28"/>
          <w:szCs w:val="28"/>
        </w:rPr>
        <w:t xml:space="preserve"> наказу Міністерства фінансів України</w:t>
      </w:r>
    </w:p>
    <w:p w:rsidR="00AE0FB2" w:rsidRPr="00DD6014" w:rsidRDefault="008A451B" w:rsidP="008A7B86">
      <w:pPr>
        <w:pBdr>
          <w:top w:val="nil"/>
          <w:left w:val="nil"/>
          <w:bottom w:val="nil"/>
          <w:right w:val="nil"/>
          <w:between w:val="nil"/>
        </w:pBdr>
        <w:jc w:val="center"/>
        <w:rPr>
          <w:b/>
          <w:sz w:val="28"/>
          <w:szCs w:val="28"/>
          <w:highlight w:val="white"/>
        </w:rPr>
      </w:pPr>
      <w:r w:rsidRPr="00DD6014">
        <w:rPr>
          <w:b/>
          <w:sz w:val="28"/>
          <w:szCs w:val="28"/>
        </w:rPr>
        <w:t>«Про затвердження Змін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w:t>
      </w:r>
    </w:p>
    <w:p w:rsidR="00AE0FB2" w:rsidRPr="00DD6014" w:rsidRDefault="00AE0FB2" w:rsidP="008A7B86">
      <w:pPr>
        <w:pBdr>
          <w:top w:val="nil"/>
          <w:left w:val="nil"/>
          <w:bottom w:val="nil"/>
          <w:right w:val="nil"/>
          <w:between w:val="nil"/>
        </w:pBdr>
        <w:rPr>
          <w:b/>
          <w:sz w:val="28"/>
          <w:szCs w:val="28"/>
          <w:highlight w:val="white"/>
        </w:rPr>
      </w:pPr>
    </w:p>
    <w:p w:rsidR="00AE0FB2" w:rsidRPr="00DD6014" w:rsidRDefault="00F93AED" w:rsidP="008A7B86">
      <w:pPr>
        <w:pBdr>
          <w:top w:val="nil"/>
          <w:left w:val="nil"/>
          <w:bottom w:val="nil"/>
          <w:right w:val="nil"/>
          <w:between w:val="nil"/>
        </w:pBdr>
        <w:tabs>
          <w:tab w:val="left" w:pos="3261"/>
          <w:tab w:val="left" w:pos="3544"/>
        </w:tabs>
        <w:jc w:val="center"/>
        <w:rPr>
          <w:b/>
          <w:sz w:val="28"/>
          <w:szCs w:val="28"/>
          <w:highlight w:val="white"/>
        </w:rPr>
      </w:pPr>
      <w:r w:rsidRPr="00DD6014">
        <w:rPr>
          <w:b/>
          <w:sz w:val="28"/>
          <w:szCs w:val="28"/>
          <w:highlight w:val="white"/>
        </w:rPr>
        <w:t>І. Визначення проблеми</w:t>
      </w:r>
    </w:p>
    <w:p w:rsidR="005F520D" w:rsidRPr="00DD6014" w:rsidRDefault="005F520D" w:rsidP="003C44A2">
      <w:pPr>
        <w:widowControl w:val="0"/>
        <w:tabs>
          <w:tab w:val="left" w:pos="1110"/>
        </w:tabs>
        <w:ind w:firstLine="566"/>
        <w:jc w:val="both"/>
        <w:rPr>
          <w:sz w:val="28"/>
          <w:szCs w:val="28"/>
          <w:highlight w:val="white"/>
        </w:rPr>
      </w:pPr>
      <w:r w:rsidRPr="00DD6014">
        <w:rPr>
          <w:sz w:val="28"/>
          <w:szCs w:val="28"/>
          <w:highlight w:val="white"/>
        </w:rPr>
        <w:t xml:space="preserve">Система зупинення реєстрації </w:t>
      </w:r>
      <w:r w:rsidRPr="00DD6014">
        <w:rPr>
          <w:sz w:val="28"/>
          <w:szCs w:val="28"/>
        </w:rPr>
        <w:t xml:space="preserve">податкової накладної / розрахунку коригування </w:t>
      </w:r>
      <w:r w:rsidR="00E5552A" w:rsidRPr="00DD6014">
        <w:rPr>
          <w:sz w:val="28"/>
          <w:szCs w:val="28"/>
        </w:rPr>
        <w:t>в Єдиному реєстрі податкових накладних (далі – Реєстр)</w:t>
      </w:r>
      <w:r w:rsidR="003925CB" w:rsidRPr="00DD6014">
        <w:rPr>
          <w:sz w:val="28"/>
          <w:szCs w:val="28"/>
        </w:rPr>
        <w:t>,</w:t>
      </w:r>
      <w:r w:rsidR="00E5552A" w:rsidRPr="00DD6014">
        <w:rPr>
          <w:sz w:val="28"/>
          <w:szCs w:val="28"/>
        </w:rPr>
        <w:t xml:space="preserve"> </w:t>
      </w:r>
      <w:r w:rsidRPr="00DD6014">
        <w:rPr>
          <w:sz w:val="28"/>
          <w:szCs w:val="28"/>
          <w:highlight w:val="white"/>
        </w:rPr>
        <w:t>затверджена постановою Кабінету Міністрів України від 11.12.2019 № 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постанова № 1165)</w:t>
      </w:r>
      <w:r w:rsidR="003925CB" w:rsidRPr="00DD6014">
        <w:rPr>
          <w:sz w:val="28"/>
          <w:szCs w:val="28"/>
        </w:rPr>
        <w:t>,</w:t>
      </w:r>
      <w:r w:rsidRPr="00DD6014">
        <w:rPr>
          <w:sz w:val="28"/>
          <w:szCs w:val="28"/>
        </w:rPr>
        <w:t xml:space="preserve"> </w:t>
      </w:r>
      <w:r w:rsidRPr="00DD6014">
        <w:rPr>
          <w:sz w:val="28"/>
          <w:szCs w:val="28"/>
          <w:highlight w:val="white"/>
        </w:rPr>
        <w:t>спрямована на здійснення контролю за нарахуванням податкових зобов’язань з податку на додану вартість</w:t>
      </w:r>
      <w:r w:rsidR="003925CB" w:rsidRPr="00DD6014">
        <w:rPr>
          <w:sz w:val="28"/>
          <w:szCs w:val="28"/>
          <w:highlight w:val="white"/>
        </w:rPr>
        <w:t xml:space="preserve"> та</w:t>
      </w:r>
      <w:r w:rsidRPr="00DD6014">
        <w:rPr>
          <w:sz w:val="28"/>
          <w:szCs w:val="28"/>
          <w:highlight w:val="white"/>
        </w:rPr>
        <w:t xml:space="preserve"> забезпеч</w:t>
      </w:r>
      <w:r w:rsidR="003925CB" w:rsidRPr="00DD6014">
        <w:rPr>
          <w:sz w:val="28"/>
          <w:szCs w:val="28"/>
          <w:highlight w:val="white"/>
        </w:rPr>
        <w:t>ення</w:t>
      </w:r>
      <w:r w:rsidRPr="00DD6014">
        <w:rPr>
          <w:sz w:val="28"/>
          <w:szCs w:val="28"/>
          <w:highlight w:val="white"/>
        </w:rPr>
        <w:t xml:space="preserve"> повнот</w:t>
      </w:r>
      <w:r w:rsidR="003925CB" w:rsidRPr="00DD6014">
        <w:rPr>
          <w:sz w:val="28"/>
          <w:szCs w:val="28"/>
          <w:highlight w:val="white"/>
        </w:rPr>
        <w:t>и</w:t>
      </w:r>
      <w:r w:rsidRPr="00DD6014">
        <w:rPr>
          <w:sz w:val="28"/>
          <w:szCs w:val="28"/>
          <w:highlight w:val="white"/>
        </w:rPr>
        <w:t xml:space="preserve"> надходжень податку до бюджету, що зі свого боку забезпечує можливість державі своєчасно виконувати свої зобов’язання перед платниками податку в частині відшкодування податку на додану</w:t>
      </w:r>
      <w:bookmarkStart w:id="0" w:name="_GoBack"/>
      <w:bookmarkEnd w:id="0"/>
      <w:r w:rsidRPr="00DD6014">
        <w:rPr>
          <w:sz w:val="28"/>
          <w:szCs w:val="28"/>
          <w:highlight w:val="white"/>
        </w:rPr>
        <w:t xml:space="preserve"> вартість з бюджету.</w:t>
      </w:r>
    </w:p>
    <w:p w:rsidR="008A451B" w:rsidRPr="00DD6014" w:rsidRDefault="008A451B" w:rsidP="003C44A2">
      <w:pPr>
        <w:pBdr>
          <w:top w:val="nil"/>
          <w:left w:val="nil"/>
          <w:bottom w:val="nil"/>
          <w:right w:val="nil"/>
          <w:between w:val="nil"/>
        </w:pBdr>
        <w:ind w:firstLine="567"/>
        <w:jc w:val="both"/>
        <w:rPr>
          <w:sz w:val="28"/>
          <w:szCs w:val="28"/>
        </w:rPr>
      </w:pPr>
      <w:r w:rsidRPr="00DD6014">
        <w:rPr>
          <w:sz w:val="28"/>
          <w:szCs w:val="28"/>
        </w:rPr>
        <w:t xml:space="preserve">Відповідно до пункту 4 Порядку прийняття рішень про реєстрацію / відмову в реєстрації податкових накладних / розрахунків коригування в </w:t>
      </w:r>
      <w:r w:rsidR="00E5552A" w:rsidRPr="00DD6014">
        <w:rPr>
          <w:sz w:val="28"/>
          <w:szCs w:val="28"/>
        </w:rPr>
        <w:t>Реєстрі</w:t>
      </w:r>
      <w:r w:rsidRPr="00DD6014">
        <w:rPr>
          <w:sz w:val="28"/>
          <w:szCs w:val="28"/>
        </w:rPr>
        <w:t>, затвердженого наказом Міністерства фінансів України від 12.12.2019 № 520, зареєстрованого в Міністерстві юстиції України 13.12.2019 за № 1245/34216 (далі – Порядок), у разі зупинення реєстрації податкової накладної / розрахунку коригування в Реєстр</w:t>
      </w:r>
      <w:r w:rsidR="00E5552A" w:rsidRPr="00DD6014">
        <w:rPr>
          <w:sz w:val="28"/>
          <w:szCs w:val="28"/>
        </w:rPr>
        <w:t>і</w:t>
      </w:r>
      <w:r w:rsidRPr="00DD6014">
        <w:rPr>
          <w:sz w:val="28"/>
          <w:szCs w:val="28"/>
        </w:rPr>
        <w:t xml:space="preserve"> платник податку має право подати копії документів та письмові пояснення стосовно підтвердження інформації, зазначеної у податковій накладній / розрахунку коригування, для розгляду питання прийняття комісією з питань зупинення реєстрації податкової накладної / розрахунку коригування в Реєстрі територіальних органів ДПС (далі – комісія регіонального рівня) рішення про реєстрацію / відмову в реєстрації податкової накладної / розрахунку коригування в Реєстрі. </w:t>
      </w:r>
    </w:p>
    <w:p w:rsidR="008A451B" w:rsidRPr="00DD6014" w:rsidRDefault="008A451B" w:rsidP="003C44A2">
      <w:pPr>
        <w:pBdr>
          <w:top w:val="nil"/>
          <w:left w:val="nil"/>
          <w:bottom w:val="nil"/>
          <w:right w:val="nil"/>
          <w:between w:val="nil"/>
        </w:pBdr>
        <w:ind w:firstLine="567"/>
        <w:jc w:val="both"/>
        <w:rPr>
          <w:sz w:val="28"/>
          <w:szCs w:val="28"/>
        </w:rPr>
      </w:pPr>
      <w:r w:rsidRPr="00DD6014">
        <w:rPr>
          <w:sz w:val="28"/>
          <w:szCs w:val="28"/>
        </w:rPr>
        <w:t>Водночас між платниками податку та контролюючими органами виникають непорозуміння, а саме відсутність в отримувача (покупця) інформації щодо подання пояснень та копій документів постачальником (продавцем) до розрахунків коригування, у яких передбачено зменшення суми компенсації вартості товарів / послуг їх постачальнику, та результату розгляду таких пояснень та копій документів комісією регіонального рівня і подання платниками податку пояснень та копій документів виключно за кодами товарів згідно з Українською класифікацією товарів зовнішньоекономічної діяльності (УКТ ЗЕД) або кодами послуг згідно з Державним класифікатором продукції та послуг (ДКПП) у разі зазначення у квитанції про зупинення реєстрації податкової накладної / розрахунку коригування Реєстрі.</w:t>
      </w:r>
    </w:p>
    <w:p w:rsidR="008A451B" w:rsidRPr="00DD6014" w:rsidRDefault="008A451B" w:rsidP="003C44A2">
      <w:pPr>
        <w:pBdr>
          <w:top w:val="nil"/>
          <w:left w:val="nil"/>
          <w:bottom w:val="nil"/>
          <w:right w:val="nil"/>
          <w:between w:val="nil"/>
        </w:pBdr>
        <w:ind w:firstLine="567"/>
        <w:jc w:val="both"/>
        <w:rPr>
          <w:sz w:val="28"/>
          <w:szCs w:val="28"/>
        </w:rPr>
      </w:pPr>
      <w:r w:rsidRPr="00DD6014">
        <w:rPr>
          <w:sz w:val="28"/>
          <w:szCs w:val="28"/>
        </w:rPr>
        <w:t xml:space="preserve">Метою прийняття </w:t>
      </w:r>
      <w:proofErr w:type="spellStart"/>
      <w:r w:rsidRPr="00DD6014">
        <w:rPr>
          <w:sz w:val="28"/>
          <w:szCs w:val="28"/>
        </w:rPr>
        <w:t>проєкту</w:t>
      </w:r>
      <w:proofErr w:type="spellEnd"/>
      <w:r w:rsidRPr="00DD6014">
        <w:rPr>
          <w:sz w:val="28"/>
          <w:szCs w:val="28"/>
        </w:rPr>
        <w:t xml:space="preserve"> наказу Міністерства фінансів України «Про затвердження Змін до Порядку прийняття рішень про реєстрацію / відмову в реєстрації податкових накладних / розрахунків коригування в Єдиному реєстрі </w:t>
      </w:r>
      <w:r w:rsidRPr="00DD6014">
        <w:rPr>
          <w:sz w:val="28"/>
          <w:szCs w:val="28"/>
        </w:rPr>
        <w:lastRenderedPageBreak/>
        <w:t xml:space="preserve">податкових накладних» (далі – </w:t>
      </w:r>
      <w:proofErr w:type="spellStart"/>
      <w:r w:rsidRPr="00DD6014">
        <w:rPr>
          <w:sz w:val="28"/>
          <w:szCs w:val="28"/>
        </w:rPr>
        <w:t>проєкт</w:t>
      </w:r>
      <w:proofErr w:type="spellEnd"/>
      <w:r w:rsidRPr="00DD6014">
        <w:rPr>
          <w:sz w:val="28"/>
          <w:szCs w:val="28"/>
        </w:rPr>
        <w:t xml:space="preserve"> </w:t>
      </w:r>
      <w:proofErr w:type="spellStart"/>
      <w:r w:rsidRPr="00DD6014">
        <w:rPr>
          <w:sz w:val="28"/>
          <w:szCs w:val="28"/>
        </w:rPr>
        <w:t>акта</w:t>
      </w:r>
      <w:proofErr w:type="spellEnd"/>
      <w:r w:rsidRPr="00DD6014">
        <w:rPr>
          <w:sz w:val="28"/>
          <w:szCs w:val="28"/>
        </w:rPr>
        <w:t>) є створення сприятливих умов для реєстрації податкових накладних / розрахунків коригування в Реєстрі, усунення непорозумінь між платниками податку та контролюючими органами.</w:t>
      </w:r>
    </w:p>
    <w:p w:rsidR="00AE0FB2" w:rsidRPr="00DD6014" w:rsidRDefault="00F93AED" w:rsidP="003C44A2">
      <w:pPr>
        <w:pBdr>
          <w:top w:val="nil"/>
          <w:left w:val="nil"/>
          <w:bottom w:val="nil"/>
          <w:right w:val="nil"/>
          <w:between w:val="nil"/>
        </w:pBdr>
        <w:ind w:firstLine="567"/>
        <w:jc w:val="both"/>
        <w:rPr>
          <w:sz w:val="28"/>
          <w:szCs w:val="28"/>
        </w:rPr>
      </w:pPr>
      <w:r w:rsidRPr="00DD6014">
        <w:rPr>
          <w:sz w:val="28"/>
          <w:szCs w:val="28"/>
        </w:rPr>
        <w:t>Інформація про кількість суб’єктів господарювання, які зареєстровані платниками податку на додану вартість:</w:t>
      </w:r>
    </w:p>
    <w:tbl>
      <w:tblPr>
        <w:tblStyle w:val="af3"/>
        <w:tblW w:w="97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2961"/>
        <w:gridCol w:w="3636"/>
      </w:tblGrid>
      <w:tr w:rsidR="00DD6014" w:rsidRPr="00DD6014" w:rsidTr="005F520D">
        <w:tc>
          <w:tcPr>
            <w:tcW w:w="9735" w:type="dxa"/>
            <w:gridSpan w:val="3"/>
          </w:tcPr>
          <w:p w:rsidR="00AE0FB2" w:rsidRPr="00DD6014" w:rsidRDefault="00F93AED" w:rsidP="003C44A2">
            <w:pPr>
              <w:widowControl w:val="0"/>
              <w:tabs>
                <w:tab w:val="left" w:pos="9411"/>
                <w:tab w:val="left" w:pos="9741"/>
              </w:tabs>
              <w:jc w:val="center"/>
              <w:rPr>
                <w:sz w:val="28"/>
                <w:szCs w:val="24"/>
              </w:rPr>
            </w:pPr>
            <w:r w:rsidRPr="00DD6014">
              <w:rPr>
                <w:sz w:val="28"/>
                <w:szCs w:val="24"/>
              </w:rPr>
              <w:t>Кількість суб’єктів господарювання</w:t>
            </w:r>
            <w:r w:rsidRPr="00DD6014">
              <w:rPr>
                <w:sz w:val="28"/>
                <w:szCs w:val="24"/>
                <w:vertAlign w:val="superscript"/>
              </w:rPr>
              <w:t xml:space="preserve"> </w:t>
            </w:r>
            <w:r w:rsidR="0066042C" w:rsidRPr="00DD6014">
              <w:rPr>
                <w:sz w:val="28"/>
                <w:szCs w:val="24"/>
              </w:rPr>
              <w:t>станом на 01.01.2023</w:t>
            </w:r>
          </w:p>
        </w:tc>
      </w:tr>
      <w:tr w:rsidR="00DD6014" w:rsidRPr="00DD6014" w:rsidTr="005F520D">
        <w:tc>
          <w:tcPr>
            <w:tcW w:w="3138" w:type="dxa"/>
          </w:tcPr>
          <w:p w:rsidR="00AE0FB2" w:rsidRPr="00DD6014" w:rsidRDefault="00F93AED" w:rsidP="003C44A2">
            <w:pPr>
              <w:widowControl w:val="0"/>
              <w:tabs>
                <w:tab w:val="left" w:pos="9411"/>
                <w:tab w:val="left" w:pos="9741"/>
              </w:tabs>
              <w:jc w:val="center"/>
              <w:rPr>
                <w:sz w:val="28"/>
                <w:szCs w:val="24"/>
              </w:rPr>
            </w:pPr>
            <w:r w:rsidRPr="00DD6014">
              <w:rPr>
                <w:sz w:val="28"/>
                <w:szCs w:val="24"/>
              </w:rPr>
              <w:t>Всього</w:t>
            </w:r>
          </w:p>
        </w:tc>
        <w:tc>
          <w:tcPr>
            <w:tcW w:w="2961" w:type="dxa"/>
          </w:tcPr>
          <w:p w:rsidR="00AE0FB2" w:rsidRPr="00DD6014" w:rsidRDefault="00F93AED" w:rsidP="003C44A2">
            <w:pPr>
              <w:widowControl w:val="0"/>
              <w:tabs>
                <w:tab w:val="left" w:pos="9411"/>
                <w:tab w:val="left" w:pos="9741"/>
              </w:tabs>
              <w:jc w:val="center"/>
              <w:rPr>
                <w:sz w:val="28"/>
                <w:szCs w:val="24"/>
              </w:rPr>
            </w:pPr>
            <w:r w:rsidRPr="00DD6014">
              <w:rPr>
                <w:sz w:val="28"/>
                <w:szCs w:val="24"/>
              </w:rPr>
              <w:t>Юридичних осіб</w:t>
            </w:r>
          </w:p>
        </w:tc>
        <w:tc>
          <w:tcPr>
            <w:tcW w:w="3636" w:type="dxa"/>
          </w:tcPr>
          <w:p w:rsidR="00AE0FB2" w:rsidRPr="00DD6014" w:rsidRDefault="00F93AED" w:rsidP="003C44A2">
            <w:pPr>
              <w:widowControl w:val="0"/>
              <w:tabs>
                <w:tab w:val="left" w:pos="9411"/>
                <w:tab w:val="left" w:pos="9741"/>
              </w:tabs>
              <w:jc w:val="center"/>
              <w:rPr>
                <w:sz w:val="28"/>
                <w:szCs w:val="24"/>
              </w:rPr>
            </w:pPr>
            <w:r w:rsidRPr="00DD6014">
              <w:rPr>
                <w:sz w:val="28"/>
                <w:szCs w:val="24"/>
              </w:rPr>
              <w:t>Фізичних осіб – підприємців</w:t>
            </w:r>
          </w:p>
        </w:tc>
      </w:tr>
      <w:tr w:rsidR="00DD6014" w:rsidRPr="00DD6014" w:rsidTr="005F520D">
        <w:trPr>
          <w:trHeight w:val="187"/>
        </w:trPr>
        <w:tc>
          <w:tcPr>
            <w:tcW w:w="3138" w:type="dxa"/>
            <w:vAlign w:val="center"/>
          </w:tcPr>
          <w:p w:rsidR="0066042C" w:rsidRPr="00DD6014" w:rsidRDefault="0066042C" w:rsidP="003C44A2">
            <w:pPr>
              <w:jc w:val="center"/>
              <w:rPr>
                <w:sz w:val="28"/>
                <w:szCs w:val="28"/>
              </w:rPr>
            </w:pPr>
            <w:r w:rsidRPr="00DD6014">
              <w:rPr>
                <w:sz w:val="28"/>
                <w:szCs w:val="28"/>
              </w:rPr>
              <w:t>260 723</w:t>
            </w:r>
          </w:p>
        </w:tc>
        <w:tc>
          <w:tcPr>
            <w:tcW w:w="2961" w:type="dxa"/>
            <w:vAlign w:val="center"/>
          </w:tcPr>
          <w:p w:rsidR="0066042C" w:rsidRPr="00DD6014" w:rsidRDefault="0066042C" w:rsidP="003C44A2">
            <w:pPr>
              <w:jc w:val="center"/>
              <w:rPr>
                <w:sz w:val="28"/>
                <w:szCs w:val="28"/>
              </w:rPr>
            </w:pPr>
            <w:r w:rsidRPr="00DD6014">
              <w:rPr>
                <w:sz w:val="28"/>
                <w:szCs w:val="28"/>
              </w:rPr>
              <w:t>237 260</w:t>
            </w:r>
          </w:p>
        </w:tc>
        <w:tc>
          <w:tcPr>
            <w:tcW w:w="3636" w:type="dxa"/>
            <w:vAlign w:val="center"/>
          </w:tcPr>
          <w:p w:rsidR="0066042C" w:rsidRPr="00DD6014" w:rsidRDefault="0066042C" w:rsidP="003C44A2">
            <w:pPr>
              <w:jc w:val="center"/>
              <w:rPr>
                <w:sz w:val="28"/>
                <w:szCs w:val="28"/>
              </w:rPr>
            </w:pPr>
            <w:r w:rsidRPr="00DD6014">
              <w:rPr>
                <w:sz w:val="28"/>
                <w:szCs w:val="28"/>
              </w:rPr>
              <w:t>23 463</w:t>
            </w:r>
          </w:p>
        </w:tc>
      </w:tr>
    </w:tbl>
    <w:p w:rsidR="00AE0FB2" w:rsidRPr="00DD6014" w:rsidRDefault="00F93AED" w:rsidP="003C44A2">
      <w:pPr>
        <w:widowControl w:val="0"/>
        <w:tabs>
          <w:tab w:val="left" w:pos="1110"/>
        </w:tabs>
        <w:ind w:firstLine="566"/>
        <w:jc w:val="both"/>
        <w:rPr>
          <w:sz w:val="28"/>
          <w:szCs w:val="28"/>
        </w:rPr>
      </w:pPr>
      <w:r w:rsidRPr="00DD6014">
        <w:rPr>
          <w:sz w:val="28"/>
          <w:szCs w:val="28"/>
        </w:rPr>
        <w:t>За наявною в Міністерстві фінансів України інформацією, протягом 202</w:t>
      </w:r>
      <w:r w:rsidR="00936CA4" w:rsidRPr="00DD6014">
        <w:rPr>
          <w:sz w:val="28"/>
          <w:szCs w:val="28"/>
        </w:rPr>
        <w:t>1</w:t>
      </w:r>
      <w:r w:rsidR="008A7B86" w:rsidRPr="00DD6014">
        <w:rPr>
          <w:sz w:val="28"/>
          <w:szCs w:val="28"/>
        </w:rPr>
        <w:t> </w:t>
      </w:r>
      <w:r w:rsidRPr="00DD6014">
        <w:rPr>
          <w:sz w:val="28"/>
          <w:szCs w:val="28"/>
        </w:rPr>
        <w:t xml:space="preserve">року кількість платників податку на додану вартість, яким було </w:t>
      </w:r>
      <w:proofErr w:type="spellStart"/>
      <w:r w:rsidRPr="00DD6014">
        <w:rPr>
          <w:sz w:val="28"/>
          <w:szCs w:val="28"/>
        </w:rPr>
        <w:t>зупинено</w:t>
      </w:r>
      <w:proofErr w:type="spellEnd"/>
      <w:r w:rsidRPr="00DD6014">
        <w:rPr>
          <w:sz w:val="28"/>
          <w:szCs w:val="28"/>
        </w:rPr>
        <w:t xml:space="preserve"> реєстрацію податкових накладних / розрахунків коригування в Реєстрі, становить </w:t>
      </w:r>
      <w:r w:rsidR="00936CA4" w:rsidRPr="00DD6014">
        <w:rPr>
          <w:sz w:val="28"/>
          <w:szCs w:val="28"/>
        </w:rPr>
        <w:t>67 120</w:t>
      </w:r>
      <w:r w:rsidRPr="00DD6014">
        <w:rPr>
          <w:sz w:val="28"/>
          <w:szCs w:val="28"/>
        </w:rPr>
        <w:t xml:space="preserve"> суб’єктів господарювання (</w:t>
      </w:r>
      <w:r w:rsidR="00936CA4" w:rsidRPr="00DD6014">
        <w:rPr>
          <w:sz w:val="28"/>
          <w:szCs w:val="28"/>
        </w:rPr>
        <w:t>26</w:t>
      </w:r>
      <w:r w:rsidR="008A7B86" w:rsidRPr="00DD6014">
        <w:rPr>
          <w:sz w:val="28"/>
          <w:szCs w:val="28"/>
        </w:rPr>
        <w:t xml:space="preserve"> </w:t>
      </w:r>
      <w:r w:rsidRPr="00DD6014">
        <w:rPr>
          <w:sz w:val="28"/>
          <w:szCs w:val="28"/>
        </w:rPr>
        <w:t>% від загальної кількості зареєстрованих платників податку), а в 202</w:t>
      </w:r>
      <w:r w:rsidR="00936CA4" w:rsidRPr="00DD6014">
        <w:rPr>
          <w:sz w:val="28"/>
          <w:szCs w:val="28"/>
        </w:rPr>
        <w:t>2</w:t>
      </w:r>
      <w:r w:rsidRPr="00DD6014">
        <w:rPr>
          <w:sz w:val="28"/>
          <w:szCs w:val="28"/>
        </w:rPr>
        <w:t xml:space="preserve"> році кількість таких платників становила </w:t>
      </w:r>
      <w:r w:rsidR="00936CA4" w:rsidRPr="00DD6014">
        <w:rPr>
          <w:sz w:val="28"/>
          <w:szCs w:val="28"/>
        </w:rPr>
        <w:t>91 940</w:t>
      </w:r>
      <w:r w:rsidRPr="00DD6014">
        <w:rPr>
          <w:sz w:val="28"/>
          <w:szCs w:val="28"/>
        </w:rPr>
        <w:t xml:space="preserve"> суб’єктів господарювання (</w:t>
      </w:r>
      <w:r w:rsidR="005F520D" w:rsidRPr="00DD6014">
        <w:rPr>
          <w:sz w:val="28"/>
          <w:szCs w:val="28"/>
        </w:rPr>
        <w:t>35</w:t>
      </w:r>
      <w:r w:rsidR="008A7B86" w:rsidRPr="00DD6014">
        <w:rPr>
          <w:sz w:val="28"/>
          <w:szCs w:val="28"/>
        </w:rPr>
        <w:t xml:space="preserve"> </w:t>
      </w:r>
      <w:r w:rsidRPr="00DD6014">
        <w:rPr>
          <w:sz w:val="28"/>
          <w:szCs w:val="28"/>
        </w:rPr>
        <w:t xml:space="preserve">% від загальної кількості зареєстрованих платників податку), що на </w:t>
      </w:r>
      <w:r w:rsidR="00936CA4" w:rsidRPr="00DD6014">
        <w:rPr>
          <w:sz w:val="28"/>
          <w:szCs w:val="28"/>
        </w:rPr>
        <w:t>24</w:t>
      </w:r>
      <w:r w:rsidR="00E5552A" w:rsidRPr="00DD6014">
        <w:rPr>
          <w:sz w:val="28"/>
          <w:szCs w:val="28"/>
        </w:rPr>
        <w:t> </w:t>
      </w:r>
      <w:r w:rsidR="00936CA4" w:rsidRPr="00DD6014">
        <w:rPr>
          <w:sz w:val="28"/>
          <w:szCs w:val="28"/>
        </w:rPr>
        <w:t>820</w:t>
      </w:r>
      <w:r w:rsidR="00901276" w:rsidRPr="00DD6014">
        <w:rPr>
          <w:sz w:val="28"/>
          <w:szCs w:val="28"/>
        </w:rPr>
        <w:t xml:space="preserve"> платників, або </w:t>
      </w:r>
      <w:r w:rsidR="00936CA4" w:rsidRPr="00DD6014">
        <w:rPr>
          <w:sz w:val="28"/>
          <w:szCs w:val="28"/>
        </w:rPr>
        <w:t>37</w:t>
      </w:r>
      <w:r w:rsidR="008A7B86" w:rsidRPr="00DD6014">
        <w:rPr>
          <w:sz w:val="28"/>
          <w:szCs w:val="28"/>
        </w:rPr>
        <w:t xml:space="preserve"> </w:t>
      </w:r>
      <w:r w:rsidRPr="00DD6014">
        <w:rPr>
          <w:sz w:val="28"/>
          <w:szCs w:val="28"/>
        </w:rPr>
        <w:t>%</w:t>
      </w:r>
      <w:r w:rsidR="008A7B86" w:rsidRPr="00DD6014">
        <w:rPr>
          <w:sz w:val="28"/>
          <w:szCs w:val="28"/>
        </w:rPr>
        <w:t>,</w:t>
      </w:r>
      <w:r w:rsidRPr="00DD6014">
        <w:rPr>
          <w:sz w:val="28"/>
          <w:szCs w:val="28"/>
        </w:rPr>
        <w:t xml:space="preserve"> більше порівняно з попереднім періодом.</w:t>
      </w:r>
    </w:p>
    <w:p w:rsidR="00936CA4" w:rsidRPr="00DD6014" w:rsidRDefault="005F520D" w:rsidP="003C44A2">
      <w:pPr>
        <w:widowControl w:val="0"/>
        <w:tabs>
          <w:tab w:val="left" w:pos="1110"/>
        </w:tabs>
        <w:ind w:firstLine="566"/>
        <w:jc w:val="both"/>
        <w:rPr>
          <w:sz w:val="28"/>
          <w:szCs w:val="28"/>
        </w:rPr>
      </w:pPr>
      <w:r w:rsidRPr="00DD6014">
        <w:rPr>
          <w:sz w:val="28"/>
          <w:szCs w:val="28"/>
        </w:rPr>
        <w:t xml:space="preserve">При цьому </w:t>
      </w:r>
      <w:r w:rsidR="00936CA4" w:rsidRPr="00DD6014">
        <w:rPr>
          <w:sz w:val="28"/>
          <w:szCs w:val="28"/>
        </w:rPr>
        <w:t xml:space="preserve">протягом 2021 року кількість платників податку на додану вартість, яким було </w:t>
      </w:r>
      <w:proofErr w:type="spellStart"/>
      <w:r w:rsidR="00936CA4" w:rsidRPr="00DD6014">
        <w:rPr>
          <w:sz w:val="28"/>
          <w:szCs w:val="28"/>
        </w:rPr>
        <w:t>зупинено</w:t>
      </w:r>
      <w:proofErr w:type="spellEnd"/>
      <w:r w:rsidR="00936CA4" w:rsidRPr="00DD6014">
        <w:rPr>
          <w:sz w:val="28"/>
          <w:szCs w:val="28"/>
        </w:rPr>
        <w:t xml:space="preserve"> реєстрацію розрахунків коригування,</w:t>
      </w:r>
      <w:r w:rsidR="00936CA4" w:rsidRPr="00DD6014">
        <w:t xml:space="preserve"> </w:t>
      </w:r>
      <w:r w:rsidR="00936CA4" w:rsidRPr="00DD6014">
        <w:rPr>
          <w:sz w:val="28"/>
          <w:szCs w:val="28"/>
        </w:rPr>
        <w:t xml:space="preserve">у яких передбачено зменшення суми компенсації вартості товарів / послуг їх постачальнику, </w:t>
      </w:r>
      <w:r w:rsidR="00E5552A" w:rsidRPr="00DD6014">
        <w:rPr>
          <w:sz w:val="28"/>
          <w:szCs w:val="28"/>
        </w:rPr>
        <w:t xml:space="preserve">в Реєстрі </w:t>
      </w:r>
      <w:r w:rsidR="00936CA4" w:rsidRPr="00DD6014">
        <w:rPr>
          <w:sz w:val="28"/>
          <w:szCs w:val="28"/>
        </w:rPr>
        <w:t>становить 23 792 суб’єкт</w:t>
      </w:r>
      <w:r w:rsidR="008A7B86" w:rsidRPr="00DD6014">
        <w:rPr>
          <w:sz w:val="28"/>
          <w:szCs w:val="28"/>
        </w:rPr>
        <w:t>и</w:t>
      </w:r>
      <w:r w:rsidR="00936CA4" w:rsidRPr="00DD6014">
        <w:rPr>
          <w:sz w:val="28"/>
          <w:szCs w:val="28"/>
        </w:rPr>
        <w:t xml:space="preserve"> господарювання (</w:t>
      </w:r>
      <w:r w:rsidRPr="00DD6014">
        <w:rPr>
          <w:sz w:val="28"/>
          <w:szCs w:val="28"/>
        </w:rPr>
        <w:t>9</w:t>
      </w:r>
      <w:r w:rsidR="008A7B86" w:rsidRPr="00DD6014">
        <w:rPr>
          <w:sz w:val="28"/>
          <w:szCs w:val="28"/>
        </w:rPr>
        <w:t xml:space="preserve"> </w:t>
      </w:r>
      <w:r w:rsidR="00936CA4" w:rsidRPr="00DD6014">
        <w:rPr>
          <w:sz w:val="28"/>
          <w:szCs w:val="28"/>
        </w:rPr>
        <w:t>% від загальної кількості зареєстрованих платників податку), а в 2022 році кількість таких платників становила 21</w:t>
      </w:r>
      <w:r w:rsidRPr="00DD6014">
        <w:rPr>
          <w:sz w:val="28"/>
          <w:szCs w:val="28"/>
        </w:rPr>
        <w:t> </w:t>
      </w:r>
      <w:r w:rsidR="00936CA4" w:rsidRPr="00DD6014">
        <w:rPr>
          <w:sz w:val="28"/>
          <w:szCs w:val="28"/>
        </w:rPr>
        <w:t>928</w:t>
      </w:r>
      <w:r w:rsidRPr="00DD6014">
        <w:rPr>
          <w:sz w:val="28"/>
          <w:szCs w:val="28"/>
        </w:rPr>
        <w:t xml:space="preserve"> </w:t>
      </w:r>
      <w:r w:rsidR="00936CA4" w:rsidRPr="00DD6014">
        <w:rPr>
          <w:sz w:val="28"/>
          <w:szCs w:val="28"/>
        </w:rPr>
        <w:t>суб’єктів господарювання (</w:t>
      </w:r>
      <w:r w:rsidRPr="00DD6014">
        <w:rPr>
          <w:sz w:val="28"/>
          <w:szCs w:val="28"/>
        </w:rPr>
        <w:t>8</w:t>
      </w:r>
      <w:r w:rsidR="008A7B86" w:rsidRPr="00DD6014">
        <w:rPr>
          <w:sz w:val="28"/>
          <w:szCs w:val="28"/>
        </w:rPr>
        <w:t xml:space="preserve"> </w:t>
      </w:r>
      <w:r w:rsidR="00936CA4" w:rsidRPr="00DD6014">
        <w:rPr>
          <w:sz w:val="28"/>
          <w:szCs w:val="28"/>
        </w:rPr>
        <w:t xml:space="preserve">% від загальної кількості зареєстрованих платників податку), що на </w:t>
      </w:r>
      <w:r w:rsidRPr="00DD6014">
        <w:rPr>
          <w:sz w:val="28"/>
          <w:szCs w:val="28"/>
        </w:rPr>
        <w:t>1864</w:t>
      </w:r>
      <w:r w:rsidR="008A7B86" w:rsidRPr="00DD6014">
        <w:rPr>
          <w:sz w:val="28"/>
          <w:szCs w:val="28"/>
        </w:rPr>
        <w:t xml:space="preserve"> платники</w:t>
      </w:r>
      <w:r w:rsidR="00936CA4" w:rsidRPr="00DD6014">
        <w:rPr>
          <w:sz w:val="28"/>
          <w:szCs w:val="28"/>
        </w:rPr>
        <w:t xml:space="preserve">, або </w:t>
      </w:r>
      <w:r w:rsidRPr="00DD6014">
        <w:rPr>
          <w:sz w:val="28"/>
          <w:szCs w:val="28"/>
        </w:rPr>
        <w:t xml:space="preserve">8 </w:t>
      </w:r>
      <w:r w:rsidR="00936CA4" w:rsidRPr="00DD6014">
        <w:rPr>
          <w:sz w:val="28"/>
          <w:szCs w:val="28"/>
        </w:rPr>
        <w:t>%</w:t>
      </w:r>
      <w:r w:rsidR="008A7B86" w:rsidRPr="00DD6014">
        <w:rPr>
          <w:sz w:val="28"/>
          <w:szCs w:val="28"/>
        </w:rPr>
        <w:t>,</w:t>
      </w:r>
      <w:r w:rsidR="00936CA4" w:rsidRPr="00DD6014">
        <w:rPr>
          <w:sz w:val="28"/>
          <w:szCs w:val="28"/>
        </w:rPr>
        <w:t xml:space="preserve"> </w:t>
      </w:r>
      <w:r w:rsidRPr="00DD6014">
        <w:rPr>
          <w:sz w:val="28"/>
          <w:szCs w:val="28"/>
        </w:rPr>
        <w:t>менше</w:t>
      </w:r>
      <w:r w:rsidR="00936CA4" w:rsidRPr="00DD6014">
        <w:rPr>
          <w:sz w:val="28"/>
          <w:szCs w:val="28"/>
        </w:rPr>
        <w:t xml:space="preserve"> порівняно з попереднім періодом</w:t>
      </w:r>
      <w:r w:rsidRPr="00DD6014">
        <w:rPr>
          <w:sz w:val="28"/>
          <w:szCs w:val="28"/>
        </w:rPr>
        <w:t>.</w:t>
      </w:r>
    </w:p>
    <w:p w:rsidR="00E31A0F" w:rsidRPr="00DD6014" w:rsidRDefault="00F93AED" w:rsidP="003C44A2">
      <w:pPr>
        <w:widowControl w:val="0"/>
        <w:tabs>
          <w:tab w:val="left" w:pos="1110"/>
        </w:tabs>
        <w:ind w:firstLine="566"/>
        <w:jc w:val="both"/>
        <w:rPr>
          <w:sz w:val="28"/>
          <w:szCs w:val="28"/>
          <w:highlight w:val="white"/>
        </w:rPr>
      </w:pPr>
      <w:proofErr w:type="spellStart"/>
      <w:r w:rsidRPr="00DD6014">
        <w:rPr>
          <w:sz w:val="28"/>
          <w:szCs w:val="28"/>
          <w:highlight w:val="white"/>
        </w:rPr>
        <w:t>Про</w:t>
      </w:r>
      <w:r w:rsidR="00E5552A" w:rsidRPr="00DD6014">
        <w:rPr>
          <w:sz w:val="28"/>
          <w:szCs w:val="28"/>
          <w:highlight w:val="white"/>
        </w:rPr>
        <w:t>є</w:t>
      </w:r>
      <w:r w:rsidRPr="00DD6014">
        <w:rPr>
          <w:sz w:val="28"/>
          <w:szCs w:val="28"/>
          <w:highlight w:val="white"/>
        </w:rPr>
        <w:t>ктом</w:t>
      </w:r>
      <w:proofErr w:type="spellEnd"/>
      <w:r w:rsidRPr="00DD6014">
        <w:rPr>
          <w:sz w:val="28"/>
          <w:szCs w:val="28"/>
          <w:highlight w:val="white"/>
        </w:rPr>
        <w:t xml:space="preserve"> </w:t>
      </w:r>
      <w:proofErr w:type="spellStart"/>
      <w:r w:rsidRPr="00DD6014">
        <w:rPr>
          <w:sz w:val="28"/>
          <w:szCs w:val="28"/>
          <w:highlight w:val="white"/>
        </w:rPr>
        <w:t>акта</w:t>
      </w:r>
      <w:proofErr w:type="spellEnd"/>
      <w:r w:rsidRPr="00DD6014">
        <w:rPr>
          <w:sz w:val="28"/>
          <w:szCs w:val="28"/>
          <w:highlight w:val="white"/>
        </w:rPr>
        <w:t xml:space="preserve"> пропонується</w:t>
      </w:r>
      <w:r w:rsidR="00E31A0F" w:rsidRPr="00DD6014">
        <w:rPr>
          <w:sz w:val="28"/>
          <w:szCs w:val="28"/>
          <w:highlight w:val="white"/>
        </w:rPr>
        <w:t>:</w:t>
      </w:r>
    </w:p>
    <w:p w:rsidR="008A451B" w:rsidRPr="00DD6014" w:rsidRDefault="00947747" w:rsidP="003C44A2">
      <w:pPr>
        <w:ind w:firstLine="566"/>
        <w:jc w:val="both"/>
        <w:rPr>
          <w:sz w:val="28"/>
          <w:szCs w:val="28"/>
        </w:rPr>
      </w:pPr>
      <w:r w:rsidRPr="00DD6014">
        <w:rPr>
          <w:sz w:val="28"/>
          <w:szCs w:val="28"/>
        </w:rPr>
        <w:t>1</w:t>
      </w:r>
      <w:r w:rsidR="008A451B" w:rsidRPr="00DD6014">
        <w:rPr>
          <w:sz w:val="28"/>
          <w:szCs w:val="28"/>
        </w:rPr>
        <w:t xml:space="preserve">) запровадити можливість платникам податку в разі зазначення у квитанції про зупинення реєстрації податкової накладної / розрахунку коригування в Реєстрі кодів товарів згідно з Українською класифікацією товарів зовнішньоекономічної діяльності (УКТ ЗЕД) або кодів послуг згідно з Державним класифікатором продукції та послуг (ДКПП) подавати пояснення та копії документів стосовно підтвердження інформації, зазначеної у податковій накладній / розрахунку коригування, виключно за зазначеними кодами; </w:t>
      </w:r>
    </w:p>
    <w:p w:rsidR="008A451B" w:rsidRPr="00DD6014" w:rsidRDefault="00947747" w:rsidP="003C44A2">
      <w:pPr>
        <w:ind w:firstLine="566"/>
        <w:jc w:val="both"/>
        <w:rPr>
          <w:sz w:val="28"/>
          <w:szCs w:val="28"/>
        </w:rPr>
      </w:pPr>
      <w:r w:rsidRPr="00DD6014">
        <w:rPr>
          <w:sz w:val="28"/>
          <w:szCs w:val="28"/>
        </w:rPr>
        <w:t>2</w:t>
      </w:r>
      <w:r w:rsidR="008A451B" w:rsidRPr="00DD6014">
        <w:rPr>
          <w:sz w:val="28"/>
          <w:szCs w:val="28"/>
        </w:rPr>
        <w:t>) надання права отримувачу (покупцю) товару / послуги , на якого складено розрахунки коригування, у яких передбачено зменшення суми компенсації вартості товарів / послуг їх постачальнику, ініціювати подання на розгляд комісії регіонального рівня пояснень та копій документів на підтвердження інформації, зазначеної у такому розрахунку коригування, та можливості отримувати через електронний кабінет інформацію щодо дати подання пояснень та копій документів постачальником (продавцем) і результату розгляду таких пояснень та копій документ</w:t>
      </w:r>
      <w:r w:rsidRPr="00DD6014">
        <w:rPr>
          <w:sz w:val="28"/>
          <w:szCs w:val="28"/>
        </w:rPr>
        <w:t>ів комісією регіонального рівня.</w:t>
      </w:r>
    </w:p>
    <w:p w:rsidR="00592CBC" w:rsidRPr="00DD6014" w:rsidRDefault="00987BAD" w:rsidP="003C44A2">
      <w:pPr>
        <w:ind w:firstLine="566"/>
        <w:jc w:val="both"/>
        <w:rPr>
          <w:sz w:val="28"/>
          <w:szCs w:val="28"/>
        </w:rPr>
      </w:pPr>
      <w:r w:rsidRPr="00DD6014">
        <w:rPr>
          <w:sz w:val="28"/>
          <w:szCs w:val="28"/>
        </w:rPr>
        <w:t>В</w:t>
      </w:r>
      <w:r w:rsidR="00F746B4" w:rsidRPr="00DD6014">
        <w:rPr>
          <w:sz w:val="28"/>
          <w:szCs w:val="28"/>
        </w:rPr>
        <w:t xml:space="preserve">несення </w:t>
      </w:r>
      <w:r w:rsidR="00F93AED" w:rsidRPr="00DD6014">
        <w:rPr>
          <w:sz w:val="28"/>
          <w:szCs w:val="28"/>
        </w:rPr>
        <w:t xml:space="preserve">змін до Порядку зумовлено </w:t>
      </w:r>
      <w:r w:rsidRPr="00DD6014">
        <w:rPr>
          <w:sz w:val="28"/>
          <w:szCs w:val="28"/>
        </w:rPr>
        <w:t xml:space="preserve">необхідністю </w:t>
      </w:r>
      <w:r w:rsidR="00F746B4" w:rsidRPr="00DD6014">
        <w:rPr>
          <w:sz w:val="28"/>
          <w:szCs w:val="28"/>
        </w:rPr>
        <w:t>зменшення ч</w:t>
      </w:r>
      <w:r w:rsidR="00592CBC" w:rsidRPr="00DD6014">
        <w:rPr>
          <w:sz w:val="28"/>
          <w:szCs w:val="28"/>
        </w:rPr>
        <w:t xml:space="preserve">асу та </w:t>
      </w:r>
      <w:r w:rsidR="00F746B4" w:rsidRPr="00DD6014">
        <w:rPr>
          <w:sz w:val="28"/>
          <w:szCs w:val="28"/>
        </w:rPr>
        <w:t xml:space="preserve">використання </w:t>
      </w:r>
      <w:r w:rsidR="00592CBC" w:rsidRPr="00DD6014">
        <w:rPr>
          <w:sz w:val="28"/>
          <w:szCs w:val="28"/>
        </w:rPr>
        <w:t xml:space="preserve">додаткових ресурсів суб’єктами господарювання на подання </w:t>
      </w:r>
      <w:r w:rsidR="00592CBC" w:rsidRPr="00DD6014">
        <w:rPr>
          <w:sz w:val="28"/>
          <w:szCs w:val="28"/>
        </w:rPr>
        <w:lastRenderedPageBreak/>
        <w:t>податковим органам значної кількості підтверд</w:t>
      </w:r>
      <w:r w:rsidR="00F746B4" w:rsidRPr="00DD6014">
        <w:rPr>
          <w:sz w:val="28"/>
          <w:szCs w:val="28"/>
        </w:rPr>
        <w:t>жуючих та уточнюючих документів</w:t>
      </w:r>
      <w:r w:rsidR="00E5552A" w:rsidRPr="00DD6014">
        <w:rPr>
          <w:sz w:val="28"/>
          <w:szCs w:val="28"/>
        </w:rPr>
        <w:t xml:space="preserve">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 розрахунку коригування в Реєстрі</w:t>
      </w:r>
      <w:r w:rsidR="00F746B4" w:rsidRPr="00DD6014">
        <w:rPr>
          <w:sz w:val="28"/>
          <w:szCs w:val="28"/>
        </w:rPr>
        <w:t>.</w:t>
      </w:r>
    </w:p>
    <w:p w:rsidR="00AE0FB2" w:rsidRPr="00DD6014" w:rsidRDefault="00F93AED" w:rsidP="003C44A2">
      <w:pPr>
        <w:pBdr>
          <w:top w:val="nil"/>
          <w:left w:val="nil"/>
          <w:bottom w:val="nil"/>
          <w:right w:val="nil"/>
          <w:between w:val="nil"/>
        </w:pBdr>
        <w:ind w:firstLine="566"/>
        <w:jc w:val="both"/>
        <w:rPr>
          <w:sz w:val="28"/>
          <w:szCs w:val="28"/>
          <w:highlight w:val="white"/>
        </w:rPr>
      </w:pPr>
      <w:r w:rsidRPr="00DD6014">
        <w:rPr>
          <w:sz w:val="28"/>
          <w:szCs w:val="28"/>
          <w:highlight w:val="white"/>
        </w:rPr>
        <w:t>Основні групи (підгрупи), на які проблема справляє вплив:</w:t>
      </w:r>
    </w:p>
    <w:p w:rsidR="00AE0FB2" w:rsidRPr="00DD6014" w:rsidRDefault="00AE0FB2" w:rsidP="003C44A2">
      <w:pPr>
        <w:pBdr>
          <w:top w:val="nil"/>
          <w:left w:val="nil"/>
          <w:bottom w:val="nil"/>
          <w:right w:val="nil"/>
          <w:between w:val="nil"/>
        </w:pBdr>
        <w:ind w:firstLine="567"/>
        <w:jc w:val="both"/>
        <w:rPr>
          <w:sz w:val="4"/>
          <w:szCs w:val="4"/>
          <w:highlight w:val="white"/>
        </w:rPr>
      </w:pPr>
    </w:p>
    <w:tbl>
      <w:tblPr>
        <w:tblStyle w:val="af3"/>
        <w:tblW w:w="9639" w:type="dxa"/>
        <w:tblInd w:w="89"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000" w:firstRow="0" w:lastRow="0" w:firstColumn="0" w:lastColumn="0" w:noHBand="0" w:noVBand="0"/>
      </w:tblPr>
      <w:tblGrid>
        <w:gridCol w:w="4404"/>
        <w:gridCol w:w="2839"/>
        <w:gridCol w:w="2396"/>
      </w:tblGrid>
      <w:tr w:rsidR="00DD6014" w:rsidRPr="00DD6014">
        <w:tc>
          <w:tcPr>
            <w:tcW w:w="4404"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Групи (підгрупи)</w:t>
            </w:r>
          </w:p>
        </w:tc>
        <w:tc>
          <w:tcPr>
            <w:tcW w:w="2839"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Так</w:t>
            </w:r>
          </w:p>
        </w:tc>
        <w:tc>
          <w:tcPr>
            <w:tcW w:w="2396"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Ні</w:t>
            </w:r>
          </w:p>
        </w:tc>
      </w:tr>
      <w:tr w:rsidR="00DD6014" w:rsidRPr="00DD6014">
        <w:tc>
          <w:tcPr>
            <w:tcW w:w="4404"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rPr>
                <w:sz w:val="28"/>
                <w:szCs w:val="24"/>
                <w:highlight w:val="white"/>
              </w:rPr>
            </w:pPr>
            <w:r w:rsidRPr="00DD6014">
              <w:rPr>
                <w:sz w:val="28"/>
                <w:szCs w:val="24"/>
                <w:highlight w:val="white"/>
              </w:rPr>
              <w:t>Громадяни</w:t>
            </w:r>
          </w:p>
        </w:tc>
        <w:tc>
          <w:tcPr>
            <w:tcW w:w="2839" w:type="dxa"/>
            <w:tcBorders>
              <w:top w:val="single" w:sz="6" w:space="0" w:color="000000"/>
              <w:left w:val="single" w:sz="6" w:space="0" w:color="000000"/>
              <w:bottom w:val="single" w:sz="6" w:space="0" w:color="000000"/>
              <w:right w:val="single" w:sz="6" w:space="0" w:color="000000"/>
            </w:tcBorders>
            <w:vAlign w:val="center"/>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w:t>
            </w:r>
          </w:p>
        </w:tc>
        <w:tc>
          <w:tcPr>
            <w:tcW w:w="2396"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jc w:val="center"/>
              <w:rPr>
                <w:sz w:val="28"/>
                <w:szCs w:val="24"/>
                <w:highlight w:val="white"/>
              </w:rPr>
            </w:pPr>
            <w:r w:rsidRPr="00DD6014">
              <w:rPr>
                <w:sz w:val="28"/>
                <w:szCs w:val="24"/>
                <w:highlight w:val="white"/>
              </w:rPr>
              <w:t>–</w:t>
            </w:r>
          </w:p>
        </w:tc>
      </w:tr>
      <w:tr w:rsidR="00DD6014" w:rsidRPr="00DD6014">
        <w:tc>
          <w:tcPr>
            <w:tcW w:w="4404"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rPr>
                <w:sz w:val="28"/>
                <w:szCs w:val="24"/>
                <w:highlight w:val="white"/>
              </w:rPr>
            </w:pPr>
            <w:r w:rsidRPr="00DD6014">
              <w:rPr>
                <w:sz w:val="28"/>
                <w:szCs w:val="24"/>
                <w:highlight w:val="white"/>
              </w:rPr>
              <w:t>Держава</w:t>
            </w:r>
          </w:p>
        </w:tc>
        <w:tc>
          <w:tcPr>
            <w:tcW w:w="2839" w:type="dxa"/>
            <w:tcBorders>
              <w:top w:val="single" w:sz="6" w:space="0" w:color="000000"/>
              <w:left w:val="single" w:sz="6" w:space="0" w:color="000000"/>
              <w:bottom w:val="single" w:sz="6" w:space="0" w:color="000000"/>
              <w:right w:val="single" w:sz="6" w:space="0" w:color="000000"/>
            </w:tcBorders>
            <w:vAlign w:val="center"/>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w:t>
            </w:r>
          </w:p>
        </w:tc>
        <w:tc>
          <w:tcPr>
            <w:tcW w:w="2396"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w:t>
            </w:r>
          </w:p>
        </w:tc>
      </w:tr>
      <w:tr w:rsidR="00DD6014" w:rsidRPr="00DD6014">
        <w:tc>
          <w:tcPr>
            <w:tcW w:w="4404"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rPr>
                <w:sz w:val="28"/>
                <w:szCs w:val="24"/>
                <w:highlight w:val="white"/>
              </w:rPr>
            </w:pPr>
            <w:r w:rsidRPr="00DD6014">
              <w:rPr>
                <w:sz w:val="28"/>
                <w:szCs w:val="24"/>
                <w:highlight w:val="white"/>
              </w:rPr>
              <w:t>Суб’єкти господарювання,</w:t>
            </w:r>
          </w:p>
        </w:tc>
        <w:tc>
          <w:tcPr>
            <w:tcW w:w="2839" w:type="dxa"/>
            <w:tcBorders>
              <w:top w:val="single" w:sz="6" w:space="0" w:color="000000"/>
              <w:left w:val="single" w:sz="6" w:space="0" w:color="000000"/>
              <w:bottom w:val="single" w:sz="6" w:space="0" w:color="000000"/>
              <w:right w:val="single" w:sz="6" w:space="0" w:color="000000"/>
            </w:tcBorders>
            <w:vAlign w:val="center"/>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w:t>
            </w:r>
          </w:p>
        </w:tc>
        <w:tc>
          <w:tcPr>
            <w:tcW w:w="2396"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jc w:val="center"/>
              <w:rPr>
                <w:sz w:val="28"/>
                <w:szCs w:val="24"/>
                <w:highlight w:val="white"/>
              </w:rPr>
            </w:pPr>
            <w:r w:rsidRPr="00DD6014">
              <w:rPr>
                <w:sz w:val="28"/>
                <w:szCs w:val="24"/>
                <w:highlight w:val="white"/>
              </w:rPr>
              <w:t>–</w:t>
            </w:r>
          </w:p>
        </w:tc>
      </w:tr>
      <w:tr w:rsidR="00AE0FB2" w:rsidRPr="00DD6014">
        <w:tc>
          <w:tcPr>
            <w:tcW w:w="4404" w:type="dxa"/>
            <w:tcBorders>
              <w:top w:val="single" w:sz="6" w:space="0" w:color="000000"/>
              <w:left w:val="single" w:sz="6" w:space="0" w:color="000000"/>
              <w:bottom w:val="single" w:sz="6" w:space="0" w:color="000000"/>
              <w:right w:val="single" w:sz="6" w:space="0" w:color="000000"/>
            </w:tcBorders>
          </w:tcPr>
          <w:p w:rsidR="00AE0FB2" w:rsidRPr="00DD6014" w:rsidRDefault="00F93AED" w:rsidP="003C44A2">
            <w:pPr>
              <w:pBdr>
                <w:top w:val="nil"/>
                <w:left w:val="nil"/>
                <w:bottom w:val="nil"/>
                <w:right w:val="nil"/>
                <w:between w:val="nil"/>
              </w:pBdr>
              <w:rPr>
                <w:sz w:val="28"/>
                <w:szCs w:val="24"/>
                <w:highlight w:val="white"/>
              </w:rPr>
            </w:pPr>
            <w:r w:rsidRPr="00DD6014">
              <w:rPr>
                <w:sz w:val="28"/>
                <w:szCs w:val="24"/>
                <w:highlight w:val="white"/>
              </w:rPr>
              <w:t>у тому числі суб’єкти малого підприємництва</w:t>
            </w:r>
          </w:p>
        </w:tc>
        <w:tc>
          <w:tcPr>
            <w:tcW w:w="2839" w:type="dxa"/>
            <w:tcBorders>
              <w:top w:val="single" w:sz="6" w:space="0" w:color="000000"/>
              <w:left w:val="single" w:sz="6" w:space="0" w:color="000000"/>
              <w:bottom w:val="single" w:sz="6" w:space="0" w:color="000000"/>
              <w:right w:val="single" w:sz="6" w:space="0" w:color="000000"/>
            </w:tcBorders>
            <w:vAlign w:val="center"/>
          </w:tcPr>
          <w:p w:rsidR="00AE0FB2" w:rsidRPr="00DD6014" w:rsidRDefault="00592CBC" w:rsidP="003C44A2">
            <w:pPr>
              <w:pBdr>
                <w:top w:val="nil"/>
                <w:left w:val="nil"/>
                <w:bottom w:val="nil"/>
                <w:right w:val="nil"/>
                <w:between w:val="nil"/>
              </w:pBdr>
              <w:jc w:val="center"/>
              <w:rPr>
                <w:sz w:val="28"/>
                <w:szCs w:val="24"/>
                <w:highlight w:val="white"/>
              </w:rPr>
            </w:pPr>
            <w:r w:rsidRPr="00DD6014">
              <w:rPr>
                <w:sz w:val="28"/>
                <w:szCs w:val="24"/>
              </w:rPr>
              <w:t>+</w:t>
            </w:r>
          </w:p>
        </w:tc>
        <w:tc>
          <w:tcPr>
            <w:tcW w:w="2396" w:type="dxa"/>
            <w:tcBorders>
              <w:top w:val="single" w:sz="6" w:space="0" w:color="000000"/>
              <w:left w:val="single" w:sz="6" w:space="0" w:color="000000"/>
              <w:bottom w:val="single" w:sz="6" w:space="0" w:color="000000"/>
              <w:right w:val="single" w:sz="6" w:space="0" w:color="000000"/>
            </w:tcBorders>
            <w:vAlign w:val="center"/>
          </w:tcPr>
          <w:p w:rsidR="00AE0FB2" w:rsidRPr="00DD6014" w:rsidRDefault="00592CBC" w:rsidP="003C44A2">
            <w:pPr>
              <w:pBdr>
                <w:top w:val="nil"/>
                <w:left w:val="nil"/>
                <w:bottom w:val="nil"/>
                <w:right w:val="nil"/>
                <w:between w:val="nil"/>
              </w:pBdr>
              <w:jc w:val="center"/>
              <w:rPr>
                <w:sz w:val="28"/>
                <w:szCs w:val="24"/>
                <w:highlight w:val="white"/>
              </w:rPr>
            </w:pPr>
            <w:r w:rsidRPr="00DD6014">
              <w:rPr>
                <w:sz w:val="28"/>
                <w:szCs w:val="24"/>
              </w:rPr>
              <w:t>–</w:t>
            </w:r>
          </w:p>
        </w:tc>
      </w:tr>
    </w:tbl>
    <w:p w:rsidR="00AE0FB2" w:rsidRPr="00DD6014" w:rsidRDefault="00AE0FB2" w:rsidP="003C44A2">
      <w:pPr>
        <w:pBdr>
          <w:top w:val="nil"/>
          <w:left w:val="nil"/>
          <w:bottom w:val="nil"/>
          <w:right w:val="nil"/>
          <w:between w:val="nil"/>
        </w:pBdr>
        <w:jc w:val="both"/>
        <w:rPr>
          <w:sz w:val="6"/>
          <w:szCs w:val="6"/>
          <w:highlight w:val="white"/>
        </w:rPr>
      </w:pPr>
    </w:p>
    <w:p w:rsidR="00AE0FB2" w:rsidRPr="00DD6014" w:rsidRDefault="00F93AED" w:rsidP="003C44A2">
      <w:pPr>
        <w:ind w:firstLine="567"/>
        <w:jc w:val="both"/>
        <w:rPr>
          <w:sz w:val="28"/>
          <w:szCs w:val="28"/>
        </w:rPr>
      </w:pPr>
      <w:r w:rsidRPr="00DD6014">
        <w:rPr>
          <w:sz w:val="28"/>
          <w:szCs w:val="28"/>
          <w:highlight w:val="white"/>
        </w:rPr>
        <w:t xml:space="preserve">Урегулювання зазначених питань у частині оподаткування податком на </w:t>
      </w:r>
      <w:r w:rsidRPr="00DD6014">
        <w:rPr>
          <w:sz w:val="28"/>
          <w:szCs w:val="28"/>
        </w:rPr>
        <w:t>додану вартість не може бути здійснено за допомогою:</w:t>
      </w:r>
    </w:p>
    <w:p w:rsidR="00AE0FB2" w:rsidRPr="00DD6014" w:rsidRDefault="00F93AED" w:rsidP="003C44A2">
      <w:pPr>
        <w:ind w:firstLine="567"/>
        <w:jc w:val="both"/>
        <w:rPr>
          <w:sz w:val="28"/>
          <w:szCs w:val="28"/>
        </w:rPr>
      </w:pPr>
      <w:r w:rsidRPr="00DD6014">
        <w:rPr>
          <w:sz w:val="28"/>
          <w:szCs w:val="28"/>
        </w:rPr>
        <w:t>ринкових механізмів, оскільки такі питання регулюються виключно нормативно-правовими актами;</w:t>
      </w:r>
    </w:p>
    <w:p w:rsidR="00AE0FB2" w:rsidRPr="00DD6014" w:rsidRDefault="00F93AED" w:rsidP="003C44A2">
      <w:pPr>
        <w:pBdr>
          <w:top w:val="nil"/>
          <w:left w:val="nil"/>
          <w:bottom w:val="nil"/>
          <w:right w:val="nil"/>
          <w:between w:val="nil"/>
        </w:pBdr>
        <w:ind w:firstLine="567"/>
        <w:jc w:val="both"/>
        <w:rPr>
          <w:sz w:val="28"/>
          <w:szCs w:val="28"/>
        </w:rPr>
      </w:pPr>
      <w:r w:rsidRPr="00DD6014">
        <w:rPr>
          <w:sz w:val="28"/>
          <w:szCs w:val="28"/>
        </w:rPr>
        <w:t xml:space="preserve">чинних регуляторних актів, оскільки </w:t>
      </w:r>
      <w:r w:rsidR="00F746B4" w:rsidRPr="00DD6014">
        <w:rPr>
          <w:sz w:val="28"/>
          <w:szCs w:val="28"/>
        </w:rPr>
        <w:t>Порядок</w:t>
      </w:r>
      <w:r w:rsidRPr="00DD6014">
        <w:rPr>
          <w:sz w:val="28"/>
          <w:szCs w:val="28"/>
        </w:rPr>
        <w:t xml:space="preserve"> є єдиним документом, який затверджено на виконання вимог пункту </w:t>
      </w:r>
      <w:r w:rsidR="00F746B4" w:rsidRPr="00DD6014">
        <w:rPr>
          <w:sz w:val="28"/>
          <w:szCs w:val="28"/>
        </w:rPr>
        <w:t xml:space="preserve">20.2 </w:t>
      </w:r>
      <w:r w:rsidRPr="00DD6014">
        <w:rPr>
          <w:sz w:val="28"/>
          <w:szCs w:val="28"/>
        </w:rPr>
        <w:t>статті 20 Податкового кодексу України (далі – Кодекс).</w:t>
      </w:r>
    </w:p>
    <w:p w:rsidR="003C44A2" w:rsidRPr="00DD6014" w:rsidRDefault="003C44A2" w:rsidP="003C44A2">
      <w:pPr>
        <w:pBdr>
          <w:top w:val="nil"/>
          <w:left w:val="nil"/>
          <w:bottom w:val="nil"/>
          <w:right w:val="nil"/>
          <w:between w:val="nil"/>
        </w:pBdr>
        <w:jc w:val="center"/>
        <w:rPr>
          <w:b/>
          <w:sz w:val="28"/>
          <w:szCs w:val="28"/>
        </w:rPr>
      </w:pPr>
    </w:p>
    <w:p w:rsidR="003C44A2" w:rsidRPr="00DD6014" w:rsidRDefault="00F746B4" w:rsidP="003C44A2">
      <w:pPr>
        <w:pBdr>
          <w:top w:val="nil"/>
          <w:left w:val="nil"/>
          <w:bottom w:val="nil"/>
          <w:right w:val="nil"/>
          <w:between w:val="nil"/>
        </w:pBdr>
        <w:jc w:val="center"/>
        <w:rPr>
          <w:b/>
          <w:sz w:val="28"/>
          <w:szCs w:val="28"/>
        </w:rPr>
      </w:pPr>
      <w:r w:rsidRPr="00DD6014">
        <w:rPr>
          <w:b/>
          <w:sz w:val="28"/>
          <w:szCs w:val="28"/>
        </w:rPr>
        <w:t>II. Цілі державного регулювання</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 xml:space="preserve">Ціллю державного регулювання є запобігання втрат бюджету шляхом встановлення справедливих умов для реєстрації платниками податку податкових накладних в Реєстрі, усунення непорозумінь між платниками податку та контролюючими органами та можливість держави своєчасно виконувати свої зобов’язання перед платниками податку в частині відшкодування податку на додану вартість з бюджету. </w:t>
      </w:r>
    </w:p>
    <w:p w:rsidR="003C44A2" w:rsidRPr="00DD6014" w:rsidRDefault="003C44A2" w:rsidP="003C44A2">
      <w:pPr>
        <w:pBdr>
          <w:top w:val="nil"/>
          <w:left w:val="nil"/>
          <w:bottom w:val="nil"/>
          <w:right w:val="nil"/>
          <w:between w:val="nil"/>
        </w:pBdr>
        <w:ind w:firstLine="567"/>
        <w:jc w:val="both"/>
        <w:rPr>
          <w:b/>
          <w:sz w:val="28"/>
          <w:szCs w:val="28"/>
          <w:highlight w:val="white"/>
        </w:rPr>
      </w:pPr>
    </w:p>
    <w:p w:rsidR="003C44A2" w:rsidRPr="00DD6014" w:rsidRDefault="00F746B4" w:rsidP="003C44A2">
      <w:pPr>
        <w:pBdr>
          <w:top w:val="nil"/>
          <w:left w:val="nil"/>
          <w:bottom w:val="nil"/>
          <w:right w:val="nil"/>
          <w:between w:val="nil"/>
        </w:pBdr>
        <w:ind w:firstLine="567"/>
        <w:jc w:val="center"/>
        <w:rPr>
          <w:b/>
          <w:sz w:val="28"/>
          <w:szCs w:val="28"/>
        </w:rPr>
      </w:pPr>
      <w:r w:rsidRPr="00DD6014">
        <w:rPr>
          <w:b/>
          <w:sz w:val="28"/>
          <w:szCs w:val="28"/>
        </w:rPr>
        <w:t>III. Визначення та оцінка альтернативних способів досягнення цілей</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Визначення та оцінк</w:t>
      </w:r>
      <w:r w:rsidR="008C71EB" w:rsidRPr="00DD6014">
        <w:rPr>
          <w:sz w:val="28"/>
          <w:szCs w:val="28"/>
        </w:rPr>
        <w:t>у</w:t>
      </w:r>
      <w:r w:rsidRPr="00DD6014">
        <w:rPr>
          <w:sz w:val="28"/>
          <w:szCs w:val="28"/>
        </w:rPr>
        <w:t xml:space="preserve"> альтернативних способів досягнення цілей розроблено за результатами проведення 5 засідань робочої групи з </w:t>
      </w:r>
      <w:r w:rsidR="008C71EB" w:rsidRPr="00DD6014">
        <w:rPr>
          <w:sz w:val="28"/>
          <w:szCs w:val="28"/>
        </w:rPr>
        <w:t>у</w:t>
      </w:r>
      <w:r w:rsidRPr="00DD6014">
        <w:rPr>
          <w:sz w:val="28"/>
          <w:szCs w:val="28"/>
        </w:rPr>
        <w:t>досконалення нормативно-правових актів з питань зупинення реєстрації податкової накладної</w:t>
      </w:r>
      <w:r w:rsidR="008C71EB" w:rsidRPr="00DD6014">
        <w:rPr>
          <w:sz w:val="28"/>
          <w:szCs w:val="28"/>
        </w:rPr>
        <w:t xml:space="preserve"> </w:t>
      </w:r>
      <w:r w:rsidRPr="00DD6014">
        <w:rPr>
          <w:sz w:val="28"/>
          <w:szCs w:val="28"/>
        </w:rPr>
        <w:t>/</w:t>
      </w:r>
      <w:r w:rsidR="008C71EB" w:rsidRPr="00DD6014">
        <w:rPr>
          <w:sz w:val="28"/>
          <w:szCs w:val="28"/>
        </w:rPr>
        <w:t xml:space="preserve"> </w:t>
      </w:r>
      <w:r w:rsidRPr="00DD6014">
        <w:rPr>
          <w:sz w:val="28"/>
          <w:szCs w:val="28"/>
        </w:rPr>
        <w:t xml:space="preserve">розрахунку коригування в </w:t>
      </w:r>
      <w:r w:rsidR="00E5552A" w:rsidRPr="00DD6014">
        <w:rPr>
          <w:sz w:val="28"/>
          <w:szCs w:val="28"/>
        </w:rPr>
        <w:t>Реєстрі</w:t>
      </w:r>
      <w:r w:rsidRPr="00DD6014">
        <w:rPr>
          <w:sz w:val="28"/>
          <w:szCs w:val="28"/>
        </w:rPr>
        <w:t>, розгляду 98 звернень платників податку та асоціацій щодо вдосконале</w:t>
      </w:r>
      <w:r w:rsidR="008C71EB" w:rsidRPr="00DD6014">
        <w:rPr>
          <w:sz w:val="28"/>
          <w:szCs w:val="28"/>
        </w:rPr>
        <w:t>ння Порядку, проведених 2 </w:t>
      </w:r>
      <w:r w:rsidRPr="00DD6014">
        <w:rPr>
          <w:sz w:val="28"/>
          <w:szCs w:val="28"/>
        </w:rPr>
        <w:t>круглих столів тощо.</w:t>
      </w:r>
    </w:p>
    <w:p w:rsidR="00F746B4" w:rsidRPr="00DD6014" w:rsidRDefault="00F746B4" w:rsidP="003C44A2">
      <w:pPr>
        <w:widowControl w:val="0"/>
        <w:ind w:firstLine="567"/>
        <w:jc w:val="both"/>
        <w:rPr>
          <w:sz w:val="28"/>
          <w:szCs w:val="28"/>
        </w:rPr>
      </w:pPr>
      <w:r w:rsidRPr="00DD6014">
        <w:rPr>
          <w:sz w:val="28"/>
          <w:szCs w:val="28"/>
        </w:rPr>
        <w:t>1. Визначення альтернативних способів</w:t>
      </w:r>
    </w:p>
    <w:p w:rsidR="00F746B4" w:rsidRPr="00DD6014" w:rsidRDefault="00F746B4" w:rsidP="003C44A2">
      <w:pPr>
        <w:pBdr>
          <w:top w:val="nil"/>
          <w:left w:val="nil"/>
          <w:bottom w:val="nil"/>
          <w:right w:val="nil"/>
          <w:between w:val="nil"/>
        </w:pBdr>
        <w:jc w:val="both"/>
        <w:rPr>
          <w:sz w:val="6"/>
          <w:szCs w:val="6"/>
        </w:rPr>
      </w:pPr>
    </w:p>
    <w:tbl>
      <w:tblPr>
        <w:tblStyle w:val="af3"/>
        <w:tblW w:w="972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7609"/>
      </w:tblGrid>
      <w:tr w:rsidR="00DD6014" w:rsidRPr="00DD6014" w:rsidTr="003D1AF7">
        <w:tc>
          <w:tcPr>
            <w:tcW w:w="2119"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Вид альтернативи</w:t>
            </w:r>
          </w:p>
        </w:tc>
        <w:tc>
          <w:tcPr>
            <w:tcW w:w="7609"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Опис альтернативи</w:t>
            </w:r>
          </w:p>
        </w:tc>
      </w:tr>
      <w:tr w:rsidR="00DD6014" w:rsidRPr="00DD6014" w:rsidTr="003D1AF7">
        <w:tc>
          <w:tcPr>
            <w:tcW w:w="2119" w:type="dxa"/>
          </w:tcPr>
          <w:p w:rsidR="00F746B4" w:rsidRPr="00DD6014" w:rsidRDefault="00F746B4" w:rsidP="003C44A2">
            <w:pPr>
              <w:pBdr>
                <w:top w:val="nil"/>
                <w:left w:val="nil"/>
                <w:bottom w:val="nil"/>
                <w:right w:val="nil"/>
                <w:between w:val="nil"/>
              </w:pBdr>
              <w:ind w:right="-68"/>
              <w:rPr>
                <w:sz w:val="28"/>
                <w:szCs w:val="24"/>
              </w:rPr>
            </w:pPr>
            <w:r w:rsidRPr="00DD6014">
              <w:rPr>
                <w:sz w:val="28"/>
                <w:szCs w:val="24"/>
              </w:rPr>
              <w:t>Альтернатива 1</w:t>
            </w:r>
          </w:p>
        </w:tc>
        <w:tc>
          <w:tcPr>
            <w:tcW w:w="7609" w:type="dxa"/>
          </w:tcPr>
          <w:p w:rsidR="00F746B4" w:rsidRPr="00DD6014" w:rsidRDefault="00F746B4" w:rsidP="003C44A2">
            <w:pPr>
              <w:pBdr>
                <w:top w:val="nil"/>
                <w:left w:val="nil"/>
                <w:bottom w:val="nil"/>
                <w:right w:val="nil"/>
                <w:between w:val="nil"/>
              </w:pBdr>
              <w:ind w:firstLine="290"/>
              <w:jc w:val="both"/>
              <w:rPr>
                <w:sz w:val="28"/>
                <w:szCs w:val="24"/>
              </w:rPr>
            </w:pPr>
            <w:r w:rsidRPr="00DD6014">
              <w:rPr>
                <w:sz w:val="28"/>
                <w:szCs w:val="24"/>
              </w:rPr>
              <w:t xml:space="preserve">Не прийняти </w:t>
            </w:r>
            <w:proofErr w:type="spellStart"/>
            <w:r w:rsidRPr="00DD6014">
              <w:rPr>
                <w:sz w:val="28"/>
                <w:szCs w:val="24"/>
              </w:rPr>
              <w:t>проєкт</w:t>
            </w:r>
            <w:proofErr w:type="spellEnd"/>
            <w:r w:rsidRPr="00DD6014">
              <w:rPr>
                <w:sz w:val="28"/>
                <w:szCs w:val="24"/>
              </w:rPr>
              <w:t xml:space="preserve"> наказу Міністерства фінансів України «Про затвердження Змін до Порядку прийняття рішень про реєстрацію / відмову в реєстрації податкових накладних / розрахунків коригування в Єдиному реєстрі податкових </w:t>
            </w:r>
            <w:r w:rsidRPr="00DD6014">
              <w:rPr>
                <w:sz w:val="28"/>
                <w:szCs w:val="24"/>
              </w:rPr>
              <w:lastRenderedPageBreak/>
              <w:t>накладних», що призведе до несвоєчасного відшкодування податку на додану вартість з бюджету та виникнення непорозумінь між платниками податку та контролюючими органами.</w:t>
            </w:r>
          </w:p>
        </w:tc>
      </w:tr>
      <w:tr w:rsidR="00DD6014" w:rsidRPr="00DD6014" w:rsidTr="003D1AF7">
        <w:tc>
          <w:tcPr>
            <w:tcW w:w="2119" w:type="dxa"/>
          </w:tcPr>
          <w:p w:rsidR="00F746B4" w:rsidRPr="00DD6014" w:rsidRDefault="00F746B4" w:rsidP="003C44A2">
            <w:pPr>
              <w:pBdr>
                <w:top w:val="nil"/>
                <w:left w:val="nil"/>
                <w:bottom w:val="nil"/>
                <w:right w:val="nil"/>
                <w:between w:val="nil"/>
              </w:pBdr>
              <w:ind w:right="-67"/>
              <w:rPr>
                <w:sz w:val="28"/>
                <w:szCs w:val="24"/>
              </w:rPr>
            </w:pPr>
            <w:r w:rsidRPr="00DD6014">
              <w:rPr>
                <w:sz w:val="28"/>
                <w:szCs w:val="24"/>
              </w:rPr>
              <w:lastRenderedPageBreak/>
              <w:t>Альтернатива 2</w:t>
            </w:r>
          </w:p>
        </w:tc>
        <w:tc>
          <w:tcPr>
            <w:tcW w:w="7609" w:type="dxa"/>
          </w:tcPr>
          <w:p w:rsidR="00F746B4" w:rsidRPr="00DD6014" w:rsidRDefault="00F746B4" w:rsidP="003C44A2">
            <w:pPr>
              <w:pBdr>
                <w:top w:val="nil"/>
                <w:left w:val="nil"/>
                <w:bottom w:val="nil"/>
                <w:right w:val="nil"/>
                <w:between w:val="nil"/>
              </w:pBdr>
              <w:ind w:firstLine="290"/>
              <w:jc w:val="both"/>
              <w:rPr>
                <w:sz w:val="28"/>
                <w:szCs w:val="24"/>
              </w:rPr>
            </w:pPr>
            <w:r w:rsidRPr="00DD6014">
              <w:rPr>
                <w:sz w:val="28"/>
                <w:szCs w:val="24"/>
              </w:rPr>
              <w:t xml:space="preserve">Прийняти </w:t>
            </w:r>
            <w:proofErr w:type="spellStart"/>
            <w:r w:rsidRPr="00DD6014">
              <w:rPr>
                <w:sz w:val="28"/>
                <w:szCs w:val="24"/>
              </w:rPr>
              <w:t>проєкт</w:t>
            </w:r>
            <w:proofErr w:type="spellEnd"/>
            <w:r w:rsidRPr="00DD6014">
              <w:rPr>
                <w:sz w:val="28"/>
                <w:szCs w:val="24"/>
              </w:rPr>
              <w:t xml:space="preserve"> наказу Міністерства фінансів України «Про затвердження Змін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 що створить справедливі умови для реєстрації платниками податку податкових накладних в Реєстрі, усунення непорозумінь між платниками податку та контролюючими органами та можливість держави своєчасно виконувати свої зобов’язання перед платниками податку в частині відшкодування податку на додану вартість з бюджету.</w:t>
            </w:r>
          </w:p>
        </w:tc>
      </w:tr>
    </w:tbl>
    <w:p w:rsidR="00F746B4" w:rsidRPr="00DD6014" w:rsidRDefault="00F746B4" w:rsidP="003C44A2">
      <w:pPr>
        <w:widowControl w:val="0"/>
        <w:ind w:firstLine="709"/>
        <w:jc w:val="both"/>
        <w:rPr>
          <w:sz w:val="28"/>
          <w:szCs w:val="28"/>
        </w:rPr>
      </w:pPr>
      <w:r w:rsidRPr="00DD6014">
        <w:rPr>
          <w:sz w:val="28"/>
          <w:szCs w:val="28"/>
        </w:rPr>
        <w:t>2. Оцінка вибраних альтернативних способів досягнення цілей</w:t>
      </w:r>
    </w:p>
    <w:p w:rsidR="00F746B4" w:rsidRPr="00DD6014" w:rsidRDefault="00F746B4" w:rsidP="003C44A2">
      <w:pPr>
        <w:widowControl w:val="0"/>
        <w:ind w:firstLine="709"/>
        <w:jc w:val="both"/>
        <w:rPr>
          <w:sz w:val="28"/>
          <w:szCs w:val="28"/>
        </w:rPr>
      </w:pPr>
      <w:r w:rsidRPr="00DD6014">
        <w:rPr>
          <w:sz w:val="28"/>
          <w:szCs w:val="28"/>
        </w:rPr>
        <w:t>2.1. Оцінка впливу на сферу інтересів держави</w:t>
      </w:r>
    </w:p>
    <w:tbl>
      <w:tblPr>
        <w:tblStyle w:val="af3"/>
        <w:tblW w:w="9728" w:type="dxa"/>
        <w:tblInd w:w="0"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000" w:firstRow="0" w:lastRow="0" w:firstColumn="0" w:lastColumn="0" w:noHBand="0" w:noVBand="0"/>
      </w:tblPr>
      <w:tblGrid>
        <w:gridCol w:w="2119"/>
        <w:gridCol w:w="3783"/>
        <w:gridCol w:w="3826"/>
      </w:tblGrid>
      <w:tr w:rsidR="00DD601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Вид альтернативи</w:t>
            </w:r>
          </w:p>
        </w:tc>
        <w:tc>
          <w:tcPr>
            <w:tcW w:w="3783"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Вигоди</w:t>
            </w:r>
          </w:p>
        </w:tc>
        <w:tc>
          <w:tcPr>
            <w:tcW w:w="3826"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Витрати</w:t>
            </w:r>
          </w:p>
        </w:tc>
      </w:tr>
      <w:tr w:rsidR="00DD601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rPr>
                <w:sz w:val="28"/>
                <w:szCs w:val="24"/>
              </w:rPr>
            </w:pPr>
            <w:r w:rsidRPr="00DD6014">
              <w:rPr>
                <w:sz w:val="28"/>
                <w:szCs w:val="24"/>
              </w:rPr>
              <w:t>Альтернатива 1</w:t>
            </w:r>
          </w:p>
        </w:tc>
        <w:tc>
          <w:tcPr>
            <w:tcW w:w="3783"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ind w:firstLine="295"/>
              <w:jc w:val="both"/>
              <w:rPr>
                <w:sz w:val="28"/>
                <w:szCs w:val="24"/>
              </w:rPr>
            </w:pPr>
            <w:r w:rsidRPr="00DD6014">
              <w:rPr>
                <w:sz w:val="28"/>
                <w:szCs w:val="24"/>
              </w:rPr>
              <w:t>Відсутні</w:t>
            </w:r>
          </w:p>
        </w:tc>
        <w:tc>
          <w:tcPr>
            <w:tcW w:w="3826"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ind w:firstLine="284"/>
              <w:jc w:val="both"/>
              <w:rPr>
                <w:sz w:val="28"/>
                <w:szCs w:val="24"/>
              </w:rPr>
            </w:pPr>
            <w:r w:rsidRPr="00DD6014">
              <w:rPr>
                <w:sz w:val="28"/>
                <w:szCs w:val="24"/>
              </w:rPr>
              <w:t xml:space="preserve">Альтернатива є неприйнятною, оскільки не забезпечує досягнення поставленої мети. </w:t>
            </w:r>
          </w:p>
          <w:p w:rsidR="00F746B4" w:rsidRPr="00DD6014" w:rsidRDefault="008C71EB" w:rsidP="003C44A2">
            <w:pPr>
              <w:pBdr>
                <w:top w:val="nil"/>
                <w:left w:val="nil"/>
                <w:bottom w:val="nil"/>
                <w:right w:val="nil"/>
                <w:between w:val="nil"/>
              </w:pBdr>
              <w:ind w:firstLine="284"/>
              <w:jc w:val="both"/>
              <w:rPr>
                <w:sz w:val="28"/>
                <w:szCs w:val="24"/>
              </w:rPr>
            </w:pPr>
            <w:r w:rsidRPr="00DD6014">
              <w:rPr>
                <w:sz w:val="28"/>
                <w:szCs w:val="24"/>
              </w:rPr>
              <w:t xml:space="preserve">Неприйняття </w:t>
            </w:r>
            <w:proofErr w:type="spellStart"/>
            <w:r w:rsidRPr="00DD6014">
              <w:rPr>
                <w:sz w:val="28"/>
                <w:szCs w:val="24"/>
              </w:rPr>
              <w:t>проєкту</w:t>
            </w:r>
            <w:proofErr w:type="spellEnd"/>
            <w:r w:rsidRPr="00DD6014">
              <w:rPr>
                <w:sz w:val="28"/>
                <w:szCs w:val="24"/>
              </w:rPr>
              <w:t xml:space="preserve"> </w:t>
            </w:r>
            <w:proofErr w:type="spellStart"/>
            <w:r w:rsidRPr="00DD6014">
              <w:rPr>
                <w:sz w:val="28"/>
                <w:szCs w:val="24"/>
              </w:rPr>
              <w:t>акта</w:t>
            </w:r>
            <w:proofErr w:type="spellEnd"/>
            <w:r w:rsidR="00F746B4" w:rsidRPr="00DD6014">
              <w:rPr>
                <w:sz w:val="28"/>
                <w:szCs w:val="24"/>
              </w:rPr>
              <w:t xml:space="preserve"> призведе до несвоєчасного відшкодування податку на додану вартість з бюджету та виникнення непорозумінь між платниками податку та контролюючими органами</w:t>
            </w:r>
          </w:p>
        </w:tc>
      </w:tr>
      <w:tr w:rsidR="00F746B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rPr>
                <w:sz w:val="28"/>
                <w:szCs w:val="24"/>
              </w:rPr>
            </w:pPr>
            <w:r w:rsidRPr="00DD6014">
              <w:rPr>
                <w:sz w:val="28"/>
                <w:szCs w:val="24"/>
              </w:rPr>
              <w:t>Альтернатива 2</w:t>
            </w:r>
          </w:p>
        </w:tc>
        <w:tc>
          <w:tcPr>
            <w:tcW w:w="3783" w:type="dxa"/>
            <w:tcBorders>
              <w:top w:val="single" w:sz="6" w:space="0" w:color="000000"/>
              <w:left w:val="single" w:sz="6" w:space="0" w:color="000000"/>
              <w:bottom w:val="single" w:sz="6" w:space="0" w:color="000000"/>
              <w:right w:val="single" w:sz="6" w:space="0" w:color="000000"/>
            </w:tcBorders>
          </w:tcPr>
          <w:p w:rsidR="00F746B4" w:rsidRPr="00DD6014" w:rsidRDefault="00F746B4" w:rsidP="008C71EB">
            <w:pPr>
              <w:ind w:firstLine="295"/>
              <w:jc w:val="both"/>
              <w:rPr>
                <w:sz w:val="28"/>
                <w:szCs w:val="24"/>
              </w:rPr>
            </w:pPr>
            <w:r w:rsidRPr="00DD6014">
              <w:rPr>
                <w:sz w:val="28"/>
                <w:szCs w:val="24"/>
              </w:rPr>
              <w:t xml:space="preserve">Є необхідним і достатнім способом вирішення проблеми, оскільки </w:t>
            </w:r>
            <w:proofErr w:type="spellStart"/>
            <w:r w:rsidRPr="00DD6014">
              <w:rPr>
                <w:sz w:val="28"/>
                <w:szCs w:val="24"/>
              </w:rPr>
              <w:t>проєкт</w:t>
            </w:r>
            <w:proofErr w:type="spellEnd"/>
            <w:r w:rsidR="008C71EB" w:rsidRPr="00DD6014">
              <w:rPr>
                <w:sz w:val="28"/>
                <w:szCs w:val="24"/>
              </w:rPr>
              <w:t xml:space="preserve"> </w:t>
            </w:r>
            <w:proofErr w:type="spellStart"/>
            <w:r w:rsidR="008C71EB" w:rsidRPr="00DD6014">
              <w:rPr>
                <w:sz w:val="28"/>
                <w:szCs w:val="24"/>
              </w:rPr>
              <w:t>акта</w:t>
            </w:r>
            <w:proofErr w:type="spellEnd"/>
            <w:r w:rsidRPr="00DD6014">
              <w:rPr>
                <w:sz w:val="28"/>
                <w:szCs w:val="24"/>
              </w:rPr>
              <w:t xml:space="preserve"> спрямован</w:t>
            </w:r>
            <w:r w:rsidR="008C71EB" w:rsidRPr="00DD6014">
              <w:rPr>
                <w:sz w:val="28"/>
                <w:szCs w:val="24"/>
              </w:rPr>
              <w:t>о</w:t>
            </w:r>
            <w:r w:rsidRPr="00DD6014">
              <w:rPr>
                <w:sz w:val="28"/>
                <w:szCs w:val="24"/>
              </w:rPr>
              <w:t xml:space="preserve"> на створення справедливих умов для реєстрації платниками податку податкових накладних</w:t>
            </w:r>
            <w:r w:rsidR="008C71EB" w:rsidRPr="00DD6014">
              <w:rPr>
                <w:sz w:val="28"/>
                <w:szCs w:val="24"/>
              </w:rPr>
              <w:t xml:space="preserve"> </w:t>
            </w:r>
            <w:r w:rsidRPr="00DD6014">
              <w:rPr>
                <w:sz w:val="28"/>
                <w:szCs w:val="24"/>
              </w:rPr>
              <w:t>/</w:t>
            </w:r>
            <w:r w:rsidR="008C71EB" w:rsidRPr="00DD6014">
              <w:rPr>
                <w:sz w:val="28"/>
                <w:szCs w:val="24"/>
              </w:rPr>
              <w:t xml:space="preserve"> </w:t>
            </w:r>
            <w:r w:rsidRPr="00DD6014">
              <w:rPr>
                <w:sz w:val="28"/>
                <w:szCs w:val="24"/>
              </w:rPr>
              <w:t xml:space="preserve">розрахунків коригування в Реєстрі, усунення непорозумінь між платниками податку та контролюючими органами та можливість держави своєчасно виконувати свої </w:t>
            </w:r>
            <w:r w:rsidRPr="00DD6014">
              <w:rPr>
                <w:sz w:val="28"/>
                <w:szCs w:val="24"/>
              </w:rPr>
              <w:lastRenderedPageBreak/>
              <w:t>зобов’язання перед платниками податку в частині відшкодування подат</w:t>
            </w:r>
            <w:r w:rsidR="008C71EB" w:rsidRPr="00DD6014">
              <w:rPr>
                <w:sz w:val="28"/>
                <w:szCs w:val="24"/>
              </w:rPr>
              <w:t>ку на додану вартість з бюджету</w:t>
            </w:r>
          </w:p>
        </w:tc>
        <w:tc>
          <w:tcPr>
            <w:tcW w:w="3826"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ind w:firstLine="284"/>
              <w:jc w:val="both"/>
              <w:rPr>
                <w:sz w:val="28"/>
                <w:szCs w:val="24"/>
              </w:rPr>
            </w:pPr>
            <w:r w:rsidRPr="00DD6014">
              <w:rPr>
                <w:sz w:val="28"/>
                <w:szCs w:val="24"/>
              </w:rPr>
              <w:lastRenderedPageBreak/>
              <w:t>Відсутні</w:t>
            </w:r>
          </w:p>
        </w:tc>
      </w:tr>
    </w:tbl>
    <w:p w:rsidR="00F746B4" w:rsidRPr="00DD6014" w:rsidRDefault="00F746B4" w:rsidP="003C44A2">
      <w:pPr>
        <w:pBdr>
          <w:top w:val="nil"/>
          <w:left w:val="nil"/>
          <w:bottom w:val="nil"/>
          <w:right w:val="nil"/>
          <w:between w:val="nil"/>
        </w:pBdr>
        <w:jc w:val="both"/>
        <w:rPr>
          <w:sz w:val="8"/>
          <w:szCs w:val="8"/>
          <w:highlight w:val="white"/>
        </w:rPr>
      </w:pP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 xml:space="preserve">2.2. </w:t>
      </w:r>
      <w:proofErr w:type="spellStart"/>
      <w:r w:rsidRPr="00DD6014">
        <w:rPr>
          <w:sz w:val="28"/>
          <w:szCs w:val="28"/>
        </w:rPr>
        <w:t>Проєкт</w:t>
      </w:r>
      <w:proofErr w:type="spellEnd"/>
      <w:r w:rsidRPr="00DD6014">
        <w:rPr>
          <w:sz w:val="28"/>
          <w:szCs w:val="28"/>
        </w:rPr>
        <w:t xml:space="preserve"> </w:t>
      </w:r>
      <w:proofErr w:type="spellStart"/>
      <w:r w:rsidRPr="00DD6014">
        <w:rPr>
          <w:sz w:val="28"/>
          <w:szCs w:val="28"/>
        </w:rPr>
        <w:t>акта</w:t>
      </w:r>
      <w:proofErr w:type="spellEnd"/>
      <w:r w:rsidRPr="00DD6014">
        <w:rPr>
          <w:sz w:val="28"/>
          <w:szCs w:val="28"/>
        </w:rPr>
        <w:t xml:space="preserve"> не розповсюджується на сферу інтересів громадян.</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2.3. Оцінка впливу на сферу інтересів суб’єктів господарювання.</w:t>
      </w:r>
    </w:p>
    <w:p w:rsidR="00F746B4" w:rsidRPr="00DD6014" w:rsidRDefault="00F746B4" w:rsidP="003C44A2">
      <w:pPr>
        <w:ind w:firstLine="567"/>
        <w:jc w:val="both"/>
        <w:rPr>
          <w:sz w:val="28"/>
          <w:szCs w:val="28"/>
        </w:rPr>
      </w:pPr>
      <w:r w:rsidRPr="00DD6014">
        <w:rPr>
          <w:sz w:val="28"/>
          <w:szCs w:val="28"/>
        </w:rPr>
        <w:t xml:space="preserve">За даними інформаційних систем ДПС, протягом 2022 року </w:t>
      </w:r>
      <w:r w:rsidR="00DC02A1" w:rsidRPr="00DD6014">
        <w:rPr>
          <w:sz w:val="28"/>
          <w:szCs w:val="28"/>
        </w:rPr>
        <w:t xml:space="preserve">було </w:t>
      </w:r>
      <w:proofErr w:type="spellStart"/>
      <w:r w:rsidR="00DC02A1" w:rsidRPr="00DD6014">
        <w:rPr>
          <w:sz w:val="28"/>
          <w:szCs w:val="28"/>
        </w:rPr>
        <w:t>зупинено</w:t>
      </w:r>
      <w:proofErr w:type="spellEnd"/>
      <w:r w:rsidR="00DC02A1" w:rsidRPr="00DD6014">
        <w:rPr>
          <w:sz w:val="28"/>
          <w:szCs w:val="28"/>
        </w:rPr>
        <w:t xml:space="preserve"> реєстрацію в Реєстрі розрахунків коригування,</w:t>
      </w:r>
      <w:r w:rsidR="00DC02A1" w:rsidRPr="00DD6014">
        <w:t xml:space="preserve"> </w:t>
      </w:r>
      <w:r w:rsidR="00DC02A1" w:rsidRPr="00DD6014">
        <w:rPr>
          <w:sz w:val="28"/>
          <w:szCs w:val="28"/>
        </w:rPr>
        <w:t xml:space="preserve">у яких передбачено зменшення суми компенсації вартості товарів / послуг їх постачальнику, </w:t>
      </w:r>
      <w:r w:rsidRPr="00DD6014">
        <w:rPr>
          <w:sz w:val="28"/>
          <w:szCs w:val="28"/>
        </w:rPr>
        <w:t xml:space="preserve">у </w:t>
      </w:r>
      <w:r w:rsidR="00DC02A1" w:rsidRPr="00DD6014">
        <w:rPr>
          <w:sz w:val="28"/>
          <w:szCs w:val="28"/>
        </w:rPr>
        <w:t>21 928</w:t>
      </w:r>
      <w:r w:rsidRPr="00DD6014">
        <w:rPr>
          <w:sz w:val="28"/>
          <w:szCs w:val="28"/>
        </w:rPr>
        <w:t xml:space="preserve"> суб’єктів господарювання.</w:t>
      </w:r>
    </w:p>
    <w:p w:rsidR="00F746B4" w:rsidRPr="00DD6014" w:rsidRDefault="00F746B4" w:rsidP="003C44A2">
      <w:pPr>
        <w:pBdr>
          <w:top w:val="nil"/>
          <w:left w:val="nil"/>
          <w:bottom w:val="nil"/>
          <w:right w:val="nil"/>
          <w:between w:val="nil"/>
        </w:pBdr>
        <w:ind w:firstLine="567"/>
        <w:jc w:val="both"/>
        <w:rPr>
          <w:sz w:val="8"/>
          <w:szCs w:val="8"/>
        </w:rPr>
      </w:pPr>
    </w:p>
    <w:tbl>
      <w:tblPr>
        <w:tblStyle w:val="af3"/>
        <w:tblW w:w="981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35"/>
        <w:gridCol w:w="1293"/>
        <w:gridCol w:w="1124"/>
        <w:gridCol w:w="1136"/>
        <w:gridCol w:w="1234"/>
        <w:gridCol w:w="1294"/>
      </w:tblGrid>
      <w:tr w:rsidR="00DD6014" w:rsidRPr="00DD6014" w:rsidTr="003D1AF7">
        <w:tc>
          <w:tcPr>
            <w:tcW w:w="3735"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Показник</w:t>
            </w:r>
          </w:p>
        </w:tc>
        <w:tc>
          <w:tcPr>
            <w:tcW w:w="1293"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Великі</w:t>
            </w:r>
          </w:p>
        </w:tc>
        <w:tc>
          <w:tcPr>
            <w:tcW w:w="1124"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Середні</w:t>
            </w:r>
          </w:p>
        </w:tc>
        <w:tc>
          <w:tcPr>
            <w:tcW w:w="1136"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Малі</w:t>
            </w:r>
          </w:p>
        </w:tc>
        <w:tc>
          <w:tcPr>
            <w:tcW w:w="1234"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Мікро</w:t>
            </w:r>
          </w:p>
        </w:tc>
        <w:tc>
          <w:tcPr>
            <w:tcW w:w="1294" w:type="dxa"/>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Разом</w:t>
            </w:r>
          </w:p>
        </w:tc>
      </w:tr>
      <w:tr w:rsidR="00DD6014" w:rsidRPr="00DD6014" w:rsidTr="003D1AF7">
        <w:tc>
          <w:tcPr>
            <w:tcW w:w="3735" w:type="dxa"/>
          </w:tcPr>
          <w:p w:rsidR="00F746B4" w:rsidRPr="00DD6014" w:rsidRDefault="00F746B4" w:rsidP="003C44A2">
            <w:pPr>
              <w:pBdr>
                <w:top w:val="nil"/>
                <w:left w:val="nil"/>
                <w:bottom w:val="nil"/>
                <w:right w:val="nil"/>
                <w:between w:val="nil"/>
              </w:pBdr>
              <w:rPr>
                <w:sz w:val="28"/>
                <w:szCs w:val="24"/>
              </w:rPr>
            </w:pPr>
            <w:r w:rsidRPr="00DD6014">
              <w:rPr>
                <w:sz w:val="28"/>
                <w:szCs w:val="24"/>
              </w:rPr>
              <w:t>Кількість суб’єктів господарювання, що підпадають під дію регулювання, одиниць*</w:t>
            </w:r>
          </w:p>
        </w:tc>
        <w:tc>
          <w:tcPr>
            <w:tcW w:w="1293" w:type="dxa"/>
            <w:vAlign w:val="center"/>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0</w:t>
            </w:r>
          </w:p>
        </w:tc>
        <w:tc>
          <w:tcPr>
            <w:tcW w:w="1124"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6140</w:t>
            </w:r>
          </w:p>
        </w:tc>
        <w:tc>
          <w:tcPr>
            <w:tcW w:w="1136"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1754</w:t>
            </w:r>
          </w:p>
        </w:tc>
        <w:tc>
          <w:tcPr>
            <w:tcW w:w="1234"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14</w:t>
            </w:r>
            <w:r w:rsidR="00337FC4" w:rsidRPr="00DD6014">
              <w:rPr>
                <w:sz w:val="28"/>
                <w:szCs w:val="24"/>
              </w:rPr>
              <w:t> </w:t>
            </w:r>
            <w:r w:rsidRPr="00DD6014">
              <w:rPr>
                <w:sz w:val="28"/>
                <w:szCs w:val="24"/>
              </w:rPr>
              <w:t>034</w:t>
            </w:r>
          </w:p>
        </w:tc>
        <w:tc>
          <w:tcPr>
            <w:tcW w:w="1294"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8"/>
              </w:rPr>
              <w:t>21 928</w:t>
            </w:r>
          </w:p>
        </w:tc>
      </w:tr>
      <w:tr w:rsidR="00DD6014" w:rsidRPr="00DD6014" w:rsidTr="003D1AF7">
        <w:tc>
          <w:tcPr>
            <w:tcW w:w="3735" w:type="dxa"/>
          </w:tcPr>
          <w:p w:rsidR="00F746B4" w:rsidRPr="00DD6014" w:rsidRDefault="00F746B4" w:rsidP="003C44A2">
            <w:pPr>
              <w:pBdr>
                <w:top w:val="nil"/>
                <w:left w:val="nil"/>
                <w:bottom w:val="nil"/>
                <w:right w:val="nil"/>
                <w:between w:val="nil"/>
              </w:pBdr>
              <w:rPr>
                <w:sz w:val="28"/>
                <w:szCs w:val="24"/>
              </w:rPr>
            </w:pPr>
            <w:r w:rsidRPr="00DD6014">
              <w:rPr>
                <w:sz w:val="28"/>
                <w:szCs w:val="24"/>
              </w:rPr>
              <w:t>Питома вага групи у загальній кількості, відсотків</w:t>
            </w:r>
          </w:p>
        </w:tc>
        <w:tc>
          <w:tcPr>
            <w:tcW w:w="1293" w:type="dxa"/>
            <w:vAlign w:val="center"/>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0</w:t>
            </w:r>
            <w:r w:rsidR="008C71EB" w:rsidRPr="00DD6014">
              <w:rPr>
                <w:sz w:val="28"/>
                <w:szCs w:val="24"/>
              </w:rPr>
              <w:t xml:space="preserve"> </w:t>
            </w:r>
            <w:r w:rsidRPr="00DD6014">
              <w:rPr>
                <w:sz w:val="28"/>
                <w:szCs w:val="24"/>
              </w:rPr>
              <w:t>%</w:t>
            </w:r>
          </w:p>
        </w:tc>
        <w:tc>
          <w:tcPr>
            <w:tcW w:w="1124"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28</w:t>
            </w:r>
            <w:r w:rsidR="008C71EB" w:rsidRPr="00DD6014">
              <w:rPr>
                <w:sz w:val="28"/>
                <w:szCs w:val="24"/>
              </w:rPr>
              <w:t xml:space="preserve"> </w:t>
            </w:r>
            <w:r w:rsidR="00F746B4" w:rsidRPr="00DD6014">
              <w:rPr>
                <w:sz w:val="28"/>
                <w:szCs w:val="24"/>
              </w:rPr>
              <w:t>%</w:t>
            </w:r>
          </w:p>
        </w:tc>
        <w:tc>
          <w:tcPr>
            <w:tcW w:w="1136"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8</w:t>
            </w:r>
            <w:r w:rsidR="008C71EB" w:rsidRPr="00DD6014">
              <w:rPr>
                <w:sz w:val="28"/>
                <w:szCs w:val="24"/>
              </w:rPr>
              <w:t xml:space="preserve"> </w:t>
            </w:r>
            <w:r w:rsidR="00F746B4" w:rsidRPr="00DD6014">
              <w:rPr>
                <w:sz w:val="28"/>
                <w:szCs w:val="24"/>
              </w:rPr>
              <w:t>%</w:t>
            </w:r>
          </w:p>
        </w:tc>
        <w:tc>
          <w:tcPr>
            <w:tcW w:w="1234" w:type="dxa"/>
            <w:vAlign w:val="center"/>
          </w:tcPr>
          <w:p w:rsidR="00F746B4" w:rsidRPr="00DD6014" w:rsidRDefault="00DC02A1" w:rsidP="003C44A2">
            <w:pPr>
              <w:pBdr>
                <w:top w:val="nil"/>
                <w:left w:val="nil"/>
                <w:bottom w:val="nil"/>
                <w:right w:val="nil"/>
                <w:between w:val="nil"/>
              </w:pBdr>
              <w:jc w:val="center"/>
              <w:rPr>
                <w:sz w:val="28"/>
                <w:szCs w:val="24"/>
              </w:rPr>
            </w:pPr>
            <w:r w:rsidRPr="00DD6014">
              <w:rPr>
                <w:sz w:val="28"/>
                <w:szCs w:val="24"/>
              </w:rPr>
              <w:t>64</w:t>
            </w:r>
            <w:r w:rsidR="008C71EB" w:rsidRPr="00DD6014">
              <w:rPr>
                <w:sz w:val="28"/>
                <w:szCs w:val="24"/>
              </w:rPr>
              <w:t xml:space="preserve"> </w:t>
            </w:r>
            <w:r w:rsidR="00F746B4" w:rsidRPr="00DD6014">
              <w:rPr>
                <w:sz w:val="28"/>
                <w:szCs w:val="24"/>
              </w:rPr>
              <w:t>%</w:t>
            </w:r>
          </w:p>
        </w:tc>
        <w:tc>
          <w:tcPr>
            <w:tcW w:w="1294" w:type="dxa"/>
            <w:vAlign w:val="center"/>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100</w:t>
            </w:r>
            <w:r w:rsidR="008C71EB" w:rsidRPr="00DD6014">
              <w:rPr>
                <w:sz w:val="28"/>
                <w:szCs w:val="24"/>
              </w:rPr>
              <w:t xml:space="preserve"> </w:t>
            </w:r>
            <w:r w:rsidRPr="00DD6014">
              <w:rPr>
                <w:sz w:val="28"/>
                <w:szCs w:val="24"/>
              </w:rPr>
              <w:t>%</w:t>
            </w:r>
          </w:p>
        </w:tc>
      </w:tr>
    </w:tbl>
    <w:p w:rsidR="00F746B4" w:rsidRPr="00DD6014" w:rsidRDefault="00F746B4" w:rsidP="003C44A2">
      <w:pPr>
        <w:rPr>
          <w:sz w:val="24"/>
          <w:szCs w:val="24"/>
        </w:rPr>
      </w:pPr>
      <w:r w:rsidRPr="00DD6014">
        <w:rPr>
          <w:sz w:val="24"/>
          <w:szCs w:val="24"/>
        </w:rPr>
        <w:t xml:space="preserve"> ____________</w:t>
      </w:r>
    </w:p>
    <w:p w:rsidR="00F746B4" w:rsidRPr="00DD6014" w:rsidRDefault="00F746B4" w:rsidP="003C44A2">
      <w:pPr>
        <w:rPr>
          <w:sz w:val="24"/>
          <w:szCs w:val="24"/>
          <w:highlight w:val="white"/>
        </w:rPr>
      </w:pPr>
      <w:r w:rsidRPr="00DD6014">
        <w:rPr>
          <w:sz w:val="24"/>
          <w:szCs w:val="24"/>
          <w:highlight w:val="white"/>
        </w:rPr>
        <w:t>* Показники щодо кількості суб’єктів господарювання, які підпадають під дію регулювання, з Єдиного реєстру податкових накладних.</w:t>
      </w:r>
    </w:p>
    <w:p w:rsidR="00F746B4" w:rsidRPr="00DD6014" w:rsidRDefault="00F746B4" w:rsidP="003C44A2">
      <w:pPr>
        <w:pBdr>
          <w:top w:val="nil"/>
          <w:left w:val="nil"/>
          <w:bottom w:val="nil"/>
          <w:right w:val="nil"/>
          <w:between w:val="nil"/>
        </w:pBdr>
        <w:ind w:firstLine="567"/>
        <w:jc w:val="both"/>
        <w:rPr>
          <w:sz w:val="28"/>
          <w:szCs w:val="28"/>
          <w:highlight w:val="white"/>
        </w:rPr>
      </w:pPr>
    </w:p>
    <w:tbl>
      <w:tblPr>
        <w:tblStyle w:val="af3"/>
        <w:tblW w:w="9814" w:type="dxa"/>
        <w:tblInd w:w="0"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000" w:firstRow="0" w:lastRow="0" w:firstColumn="0" w:lastColumn="0" w:noHBand="0" w:noVBand="0"/>
      </w:tblPr>
      <w:tblGrid>
        <w:gridCol w:w="2119"/>
        <w:gridCol w:w="3795"/>
        <w:gridCol w:w="3900"/>
      </w:tblGrid>
      <w:tr w:rsidR="00DD601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Вид альтернативи</w:t>
            </w:r>
          </w:p>
        </w:tc>
        <w:tc>
          <w:tcPr>
            <w:tcW w:w="3795"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Вигоди</w:t>
            </w:r>
          </w:p>
        </w:tc>
        <w:tc>
          <w:tcPr>
            <w:tcW w:w="3900"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Витрати</w:t>
            </w:r>
          </w:p>
        </w:tc>
      </w:tr>
      <w:tr w:rsidR="00DD601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Альтернатива 1</w:t>
            </w:r>
          </w:p>
        </w:tc>
        <w:tc>
          <w:tcPr>
            <w:tcW w:w="3795"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ind w:left="720"/>
              <w:jc w:val="center"/>
              <w:rPr>
                <w:sz w:val="28"/>
                <w:szCs w:val="24"/>
              </w:rPr>
            </w:pPr>
            <w:r w:rsidRPr="00DD6014">
              <w:rPr>
                <w:sz w:val="28"/>
                <w:szCs w:val="24"/>
              </w:rPr>
              <w:t>Відсутні</w:t>
            </w:r>
          </w:p>
        </w:tc>
        <w:tc>
          <w:tcPr>
            <w:tcW w:w="3900" w:type="dxa"/>
            <w:tcBorders>
              <w:top w:val="single" w:sz="6" w:space="0" w:color="000000"/>
              <w:left w:val="single" w:sz="6" w:space="0" w:color="000000"/>
              <w:bottom w:val="single" w:sz="6" w:space="0" w:color="000000"/>
              <w:right w:val="single" w:sz="6" w:space="0" w:color="000000"/>
            </w:tcBorders>
            <w:vAlign w:val="center"/>
          </w:tcPr>
          <w:p w:rsidR="00F746B4" w:rsidRPr="00DD6014" w:rsidRDefault="00F746B4" w:rsidP="003C44A2">
            <w:pPr>
              <w:ind w:firstLine="284"/>
              <w:jc w:val="both"/>
              <w:rPr>
                <w:sz w:val="28"/>
                <w:szCs w:val="24"/>
              </w:rPr>
            </w:pPr>
            <w:r w:rsidRPr="00DD6014">
              <w:rPr>
                <w:sz w:val="28"/>
                <w:szCs w:val="24"/>
              </w:rPr>
              <w:t>Держава не матиме можливості своєчасно виконувати свої зобов’язання перед платниками податку в частині відшкодування податку на додану вартість з бюджету та виникнення непорозумінь між платниками по</w:t>
            </w:r>
            <w:r w:rsidR="008C71EB" w:rsidRPr="00DD6014">
              <w:rPr>
                <w:sz w:val="28"/>
                <w:szCs w:val="24"/>
              </w:rPr>
              <w:t>датку та контролюючими органами</w:t>
            </w:r>
          </w:p>
        </w:tc>
      </w:tr>
      <w:tr w:rsidR="00F746B4" w:rsidRPr="00DD6014" w:rsidTr="003D1AF7">
        <w:tc>
          <w:tcPr>
            <w:tcW w:w="2119"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Альтернатива 2</w:t>
            </w:r>
          </w:p>
        </w:tc>
        <w:tc>
          <w:tcPr>
            <w:tcW w:w="3795"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jc w:val="both"/>
              <w:rPr>
                <w:sz w:val="28"/>
                <w:szCs w:val="24"/>
              </w:rPr>
            </w:pPr>
            <w:r w:rsidRPr="00DD6014">
              <w:rPr>
                <w:sz w:val="28"/>
                <w:szCs w:val="24"/>
              </w:rPr>
              <w:t> Забезпечить встановлення справедливих умов для реєстрації платниками податку податкових накладних</w:t>
            </w:r>
            <w:r w:rsidR="008C71EB" w:rsidRPr="00DD6014">
              <w:rPr>
                <w:sz w:val="28"/>
                <w:szCs w:val="24"/>
              </w:rPr>
              <w:t xml:space="preserve"> </w:t>
            </w:r>
            <w:r w:rsidRPr="00DD6014">
              <w:rPr>
                <w:sz w:val="28"/>
                <w:szCs w:val="24"/>
              </w:rPr>
              <w:t>/</w:t>
            </w:r>
            <w:r w:rsidR="008C71EB" w:rsidRPr="00DD6014">
              <w:rPr>
                <w:sz w:val="28"/>
                <w:szCs w:val="24"/>
              </w:rPr>
              <w:t xml:space="preserve"> </w:t>
            </w:r>
            <w:r w:rsidRPr="00DD6014">
              <w:rPr>
                <w:sz w:val="28"/>
                <w:szCs w:val="24"/>
              </w:rPr>
              <w:t xml:space="preserve">розрахунків коригування в Реєстрі, усунення непорозумінь між платниками податку та </w:t>
            </w:r>
            <w:r w:rsidRPr="00DD6014">
              <w:rPr>
                <w:sz w:val="28"/>
                <w:szCs w:val="24"/>
              </w:rPr>
              <w:lastRenderedPageBreak/>
              <w:t>контролюючими органами, створить можливість держави своєчасно виконувати свої зобов’язання перед платниками податку в частині відшкодування подат</w:t>
            </w:r>
            <w:r w:rsidR="008C71EB" w:rsidRPr="00DD6014">
              <w:rPr>
                <w:sz w:val="28"/>
                <w:szCs w:val="24"/>
              </w:rPr>
              <w:t>ку на додану вартість з бюджету</w:t>
            </w:r>
          </w:p>
        </w:tc>
        <w:tc>
          <w:tcPr>
            <w:tcW w:w="3900"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ind w:left="720"/>
              <w:rPr>
                <w:sz w:val="28"/>
                <w:szCs w:val="24"/>
              </w:rPr>
            </w:pPr>
            <w:r w:rsidRPr="00DD6014">
              <w:rPr>
                <w:sz w:val="28"/>
                <w:szCs w:val="24"/>
              </w:rPr>
              <w:lastRenderedPageBreak/>
              <w:t>Відсутні</w:t>
            </w:r>
          </w:p>
        </w:tc>
      </w:tr>
    </w:tbl>
    <w:p w:rsidR="00F746B4" w:rsidRPr="00DD6014" w:rsidRDefault="00F746B4" w:rsidP="003C44A2">
      <w:pPr>
        <w:widowControl w:val="0"/>
        <w:ind w:firstLine="459"/>
        <w:jc w:val="center"/>
        <w:rPr>
          <w:sz w:val="28"/>
          <w:szCs w:val="28"/>
          <w:highlight w:val="white"/>
        </w:rPr>
      </w:pPr>
    </w:p>
    <w:p w:rsidR="00F746B4" w:rsidRPr="00DD6014" w:rsidRDefault="00F746B4" w:rsidP="003C44A2">
      <w:pPr>
        <w:pBdr>
          <w:top w:val="nil"/>
          <w:left w:val="nil"/>
          <w:bottom w:val="nil"/>
          <w:right w:val="nil"/>
          <w:between w:val="nil"/>
        </w:pBdr>
        <w:ind w:firstLine="567"/>
        <w:jc w:val="center"/>
        <w:rPr>
          <w:b/>
          <w:sz w:val="28"/>
          <w:szCs w:val="28"/>
        </w:rPr>
      </w:pPr>
      <w:r w:rsidRPr="00DD6014">
        <w:rPr>
          <w:b/>
          <w:sz w:val="28"/>
          <w:szCs w:val="28"/>
        </w:rPr>
        <w:t xml:space="preserve">Витрати на одного суб’єкта господарювання, які виникають внаслідок дії регуляторного </w:t>
      </w:r>
      <w:proofErr w:type="spellStart"/>
      <w:r w:rsidRPr="00DD6014">
        <w:rPr>
          <w:b/>
          <w:sz w:val="28"/>
          <w:szCs w:val="28"/>
        </w:rPr>
        <w:t>акта</w:t>
      </w:r>
      <w:proofErr w:type="spellEnd"/>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 xml:space="preserve">Розрахунок зроблено на підставі вибіркових даних щодо кількості суб’єктів господарювання, які розподілені на окремі категорії суб’єктів великого, середнього, малого та </w:t>
      </w:r>
      <w:proofErr w:type="spellStart"/>
      <w:r w:rsidRPr="00DD6014">
        <w:rPr>
          <w:sz w:val="28"/>
          <w:szCs w:val="28"/>
        </w:rPr>
        <w:t>мікропідприємництва</w:t>
      </w:r>
      <w:proofErr w:type="spellEnd"/>
      <w:r w:rsidRPr="00DD6014">
        <w:rPr>
          <w:sz w:val="28"/>
          <w:szCs w:val="28"/>
        </w:rPr>
        <w:t xml:space="preserve">. Загальна кількість суб’єктів великого та середнього підприємництва становить </w:t>
      </w:r>
      <w:r w:rsidR="006F2062" w:rsidRPr="00DD6014">
        <w:rPr>
          <w:sz w:val="28"/>
          <w:szCs w:val="28"/>
        </w:rPr>
        <w:t>6140</w:t>
      </w:r>
      <w:r w:rsidRPr="00DD6014">
        <w:rPr>
          <w:sz w:val="28"/>
          <w:szCs w:val="28"/>
        </w:rPr>
        <w:t xml:space="preserve"> суб’єктів </w:t>
      </w:r>
      <w:r w:rsidRPr="00DD6014">
        <w:rPr>
          <w:sz w:val="28"/>
        </w:rPr>
        <w:t>господарювання</w:t>
      </w:r>
      <w:r w:rsidRPr="00DD6014">
        <w:rPr>
          <w:sz w:val="28"/>
          <w:szCs w:val="28"/>
        </w:rPr>
        <w:t xml:space="preserve">, водночас кількість суб’єктів господарювання, які належать до суб’єктів малого та </w:t>
      </w:r>
      <w:proofErr w:type="spellStart"/>
      <w:r w:rsidRPr="00DD6014">
        <w:rPr>
          <w:sz w:val="28"/>
          <w:szCs w:val="28"/>
        </w:rPr>
        <w:t>мікропідприємництва</w:t>
      </w:r>
      <w:proofErr w:type="spellEnd"/>
      <w:r w:rsidR="008C71EB" w:rsidRPr="00DD6014">
        <w:rPr>
          <w:sz w:val="28"/>
          <w:szCs w:val="28"/>
        </w:rPr>
        <w:t>,</w:t>
      </w:r>
      <w:r w:rsidRPr="00DD6014">
        <w:rPr>
          <w:sz w:val="28"/>
          <w:szCs w:val="28"/>
        </w:rPr>
        <w:t xml:space="preserve"> – </w:t>
      </w:r>
      <w:r w:rsidR="006F2062" w:rsidRPr="00DD6014">
        <w:rPr>
          <w:sz w:val="28"/>
          <w:szCs w:val="28"/>
        </w:rPr>
        <w:t>15 788</w:t>
      </w:r>
      <w:r w:rsidRPr="00DD6014">
        <w:rPr>
          <w:sz w:val="28"/>
          <w:szCs w:val="28"/>
        </w:rPr>
        <w:t xml:space="preserve">, що становить </w:t>
      </w:r>
      <w:r w:rsidR="006F2062" w:rsidRPr="00DD6014">
        <w:rPr>
          <w:sz w:val="28"/>
          <w:szCs w:val="28"/>
        </w:rPr>
        <w:t>72</w:t>
      </w:r>
      <w:r w:rsidR="008C71EB" w:rsidRPr="00DD6014">
        <w:rPr>
          <w:sz w:val="28"/>
          <w:szCs w:val="28"/>
        </w:rPr>
        <w:t xml:space="preserve"> </w:t>
      </w:r>
      <w:r w:rsidRPr="00DD6014">
        <w:rPr>
          <w:sz w:val="28"/>
          <w:szCs w:val="28"/>
        </w:rPr>
        <w:t xml:space="preserve">% від загальної кількості суб’єктів господарювання. Ураховуючи відсоткову перевагу суб’єктів малого та </w:t>
      </w:r>
      <w:proofErr w:type="spellStart"/>
      <w:r w:rsidRPr="00DD6014">
        <w:rPr>
          <w:sz w:val="28"/>
          <w:szCs w:val="28"/>
        </w:rPr>
        <w:t>мікропідприємництва</w:t>
      </w:r>
      <w:proofErr w:type="spellEnd"/>
      <w:r w:rsidRPr="00DD6014">
        <w:rPr>
          <w:sz w:val="28"/>
          <w:szCs w:val="28"/>
        </w:rPr>
        <w:t xml:space="preserve"> під час підготовки аналізу регуляторного впливу </w:t>
      </w:r>
      <w:proofErr w:type="spellStart"/>
      <w:r w:rsidRPr="00DD6014">
        <w:rPr>
          <w:sz w:val="28"/>
          <w:szCs w:val="28"/>
        </w:rPr>
        <w:t>проєкту</w:t>
      </w:r>
      <w:proofErr w:type="spellEnd"/>
      <w:r w:rsidRPr="00DD6014">
        <w:rPr>
          <w:sz w:val="28"/>
          <w:szCs w:val="28"/>
        </w:rPr>
        <w:t xml:space="preserve"> регуляторного </w:t>
      </w:r>
      <w:proofErr w:type="spellStart"/>
      <w:r w:rsidRPr="00DD6014">
        <w:rPr>
          <w:sz w:val="28"/>
          <w:szCs w:val="28"/>
        </w:rPr>
        <w:t>акта</w:t>
      </w:r>
      <w:proofErr w:type="spellEnd"/>
      <w:r w:rsidRPr="00DD6014">
        <w:rPr>
          <w:sz w:val="28"/>
          <w:szCs w:val="28"/>
        </w:rPr>
        <w:t xml:space="preserve">, проведено М-тест </w:t>
      </w:r>
      <w:r w:rsidR="008C71EB" w:rsidRPr="00DD6014">
        <w:rPr>
          <w:sz w:val="28"/>
          <w:szCs w:val="28"/>
        </w:rPr>
        <w:br/>
      </w:r>
      <w:r w:rsidRPr="00DD6014">
        <w:rPr>
          <w:sz w:val="28"/>
          <w:szCs w:val="28"/>
        </w:rPr>
        <w:t>(додаток 1).</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 xml:space="preserve">Витрати на одного суб’єкта господарювання, які виникають внаслідок дії регуляторного </w:t>
      </w:r>
      <w:proofErr w:type="spellStart"/>
      <w:r w:rsidRPr="00DD6014">
        <w:rPr>
          <w:sz w:val="28"/>
          <w:szCs w:val="28"/>
        </w:rPr>
        <w:t>акта</w:t>
      </w:r>
      <w:proofErr w:type="spellEnd"/>
      <w:r w:rsidRPr="00DD6014">
        <w:rPr>
          <w:sz w:val="28"/>
          <w:szCs w:val="28"/>
        </w:rPr>
        <w:t xml:space="preserve">, проводяться із розрахунку </w:t>
      </w:r>
      <w:r w:rsidR="006F2062" w:rsidRPr="00DD6014">
        <w:rPr>
          <w:sz w:val="28"/>
          <w:szCs w:val="28"/>
        </w:rPr>
        <w:t>6140</w:t>
      </w:r>
      <w:r w:rsidRPr="00DD6014">
        <w:rPr>
          <w:sz w:val="28"/>
          <w:szCs w:val="28"/>
        </w:rPr>
        <w:t xml:space="preserve"> суб’єктів.</w:t>
      </w:r>
    </w:p>
    <w:tbl>
      <w:tblPr>
        <w:tblStyle w:val="af3"/>
        <w:tblW w:w="10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3849"/>
        <w:gridCol w:w="2061"/>
        <w:gridCol w:w="3123"/>
      </w:tblGrid>
      <w:tr w:rsidR="00DD6014" w:rsidRPr="00DD6014" w:rsidTr="003D1AF7">
        <w:trPr>
          <w:trHeight w:val="1055"/>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w:t>
            </w:r>
          </w:p>
          <w:p w:rsidR="00F746B4" w:rsidRPr="00DD6014" w:rsidRDefault="00F746B4" w:rsidP="003C44A2">
            <w:pPr>
              <w:pBdr>
                <w:top w:val="nil"/>
                <w:left w:val="nil"/>
                <w:bottom w:val="nil"/>
                <w:right w:val="nil"/>
                <w:between w:val="nil"/>
              </w:pBdr>
              <w:jc w:val="center"/>
              <w:rPr>
                <w:sz w:val="28"/>
                <w:szCs w:val="28"/>
              </w:rPr>
            </w:pPr>
            <w:r w:rsidRPr="00DD6014">
              <w:rPr>
                <w:sz w:val="28"/>
                <w:szCs w:val="28"/>
              </w:rPr>
              <w:t>з/п</w:t>
            </w:r>
          </w:p>
        </w:tc>
        <w:tc>
          <w:tcPr>
            <w:tcW w:w="3849"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Витрати</w:t>
            </w:r>
          </w:p>
        </w:tc>
        <w:tc>
          <w:tcPr>
            <w:tcW w:w="2061"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 xml:space="preserve">Чинний акт/ </w:t>
            </w:r>
          </w:p>
          <w:p w:rsidR="00F746B4" w:rsidRPr="00DD6014" w:rsidRDefault="00F746B4" w:rsidP="003C44A2">
            <w:pPr>
              <w:pBdr>
                <w:top w:val="nil"/>
                <w:left w:val="nil"/>
                <w:bottom w:val="nil"/>
                <w:right w:val="nil"/>
                <w:between w:val="nil"/>
              </w:pBdr>
              <w:jc w:val="center"/>
              <w:rPr>
                <w:sz w:val="28"/>
                <w:szCs w:val="28"/>
              </w:rPr>
            </w:pPr>
            <w:r w:rsidRPr="00DD6014">
              <w:rPr>
                <w:sz w:val="28"/>
                <w:szCs w:val="28"/>
              </w:rPr>
              <w:t>грн</w:t>
            </w:r>
          </w:p>
        </w:tc>
        <w:tc>
          <w:tcPr>
            <w:tcW w:w="3123" w:type="dxa"/>
          </w:tcPr>
          <w:p w:rsidR="00F746B4" w:rsidRPr="00DD6014" w:rsidRDefault="00F746B4" w:rsidP="003C44A2">
            <w:pPr>
              <w:pBdr>
                <w:top w:val="nil"/>
                <w:left w:val="nil"/>
                <w:bottom w:val="nil"/>
                <w:right w:val="nil"/>
                <w:between w:val="nil"/>
              </w:pBdr>
              <w:jc w:val="center"/>
              <w:rPr>
                <w:sz w:val="28"/>
                <w:szCs w:val="28"/>
              </w:rPr>
            </w:pPr>
            <w:proofErr w:type="spellStart"/>
            <w:r w:rsidRPr="00DD6014">
              <w:rPr>
                <w:sz w:val="28"/>
                <w:szCs w:val="28"/>
              </w:rPr>
              <w:t>Проєкт</w:t>
            </w:r>
            <w:proofErr w:type="spellEnd"/>
            <w:r w:rsidRPr="00DD6014">
              <w:rPr>
                <w:sz w:val="28"/>
                <w:szCs w:val="28"/>
              </w:rPr>
              <w:t xml:space="preserve"> </w:t>
            </w:r>
            <w:proofErr w:type="spellStart"/>
            <w:r w:rsidRPr="00DD6014">
              <w:rPr>
                <w:sz w:val="28"/>
                <w:szCs w:val="28"/>
              </w:rPr>
              <w:t>акта</w:t>
            </w:r>
            <w:proofErr w:type="spellEnd"/>
            <w:r w:rsidRPr="00DD6014">
              <w:rPr>
                <w:sz w:val="28"/>
                <w:szCs w:val="28"/>
              </w:rPr>
              <w:t xml:space="preserve">/ </w:t>
            </w:r>
          </w:p>
          <w:p w:rsidR="00F746B4" w:rsidRPr="00DD6014" w:rsidRDefault="00F746B4" w:rsidP="003C44A2">
            <w:pPr>
              <w:pBdr>
                <w:top w:val="nil"/>
                <w:left w:val="nil"/>
                <w:bottom w:val="nil"/>
                <w:right w:val="nil"/>
                <w:between w:val="nil"/>
              </w:pBdr>
              <w:jc w:val="center"/>
              <w:rPr>
                <w:sz w:val="28"/>
                <w:szCs w:val="28"/>
              </w:rPr>
            </w:pPr>
            <w:r w:rsidRPr="00DD6014">
              <w:rPr>
                <w:sz w:val="28"/>
                <w:szCs w:val="28"/>
              </w:rPr>
              <w:t>грн</w:t>
            </w:r>
          </w:p>
        </w:tc>
      </w:tr>
      <w:tr w:rsidR="00DD6014" w:rsidRPr="00DD6014" w:rsidTr="003D1AF7">
        <w:trPr>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1</w:t>
            </w:r>
          </w:p>
        </w:tc>
        <w:tc>
          <w:tcPr>
            <w:tcW w:w="3849" w:type="dxa"/>
          </w:tcPr>
          <w:p w:rsidR="00F746B4" w:rsidRPr="00DD6014" w:rsidRDefault="00F746B4" w:rsidP="003C44A2">
            <w:pPr>
              <w:pBdr>
                <w:top w:val="nil"/>
                <w:left w:val="nil"/>
                <w:bottom w:val="nil"/>
                <w:right w:val="nil"/>
                <w:between w:val="nil"/>
              </w:pBdr>
              <w:jc w:val="both"/>
              <w:rPr>
                <w:sz w:val="28"/>
                <w:szCs w:val="28"/>
              </w:rPr>
            </w:pPr>
            <w:r w:rsidRPr="00DD6014">
              <w:rPr>
                <w:sz w:val="28"/>
                <w:szCs w:val="28"/>
              </w:rPr>
              <w:t>Витрати, пов’язані із заповненням та поданням на реєстрацію в Реєстрі розрахунку коригування, гривень</w:t>
            </w:r>
          </w:p>
          <w:p w:rsidR="00F746B4" w:rsidRPr="00DD6014" w:rsidRDefault="00F746B4" w:rsidP="003C44A2">
            <w:pPr>
              <w:pBdr>
                <w:top w:val="nil"/>
                <w:left w:val="nil"/>
                <w:bottom w:val="nil"/>
                <w:right w:val="nil"/>
                <w:between w:val="nil"/>
              </w:pBdr>
              <w:jc w:val="center"/>
              <w:rPr>
                <w:sz w:val="28"/>
                <w:szCs w:val="28"/>
                <w:vertAlign w:val="superscript"/>
              </w:rPr>
            </w:pPr>
            <w:r w:rsidRPr="00DD6014">
              <w:rPr>
                <w:sz w:val="28"/>
                <w:szCs w:val="28"/>
              </w:rPr>
              <w:t>займає 0,5 год.</w:t>
            </w:r>
            <w:r w:rsidRPr="00DD6014">
              <w:rPr>
                <w:sz w:val="28"/>
                <w:szCs w:val="28"/>
                <w:vertAlign w:val="superscript"/>
              </w:rPr>
              <w:t>1</w:t>
            </w:r>
          </w:p>
        </w:tc>
        <w:tc>
          <w:tcPr>
            <w:tcW w:w="2061"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 xml:space="preserve">0,5 х 40,46 = </w:t>
            </w:r>
            <w:r w:rsidR="00DC02A1" w:rsidRPr="00DD6014">
              <w:rPr>
                <w:sz w:val="28"/>
                <w:szCs w:val="28"/>
              </w:rPr>
              <w:t>20,23</w:t>
            </w:r>
          </w:p>
        </w:tc>
        <w:tc>
          <w:tcPr>
            <w:tcW w:w="3123"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 xml:space="preserve">0,5 х 40,46 = </w:t>
            </w:r>
            <w:r w:rsidR="00DC02A1" w:rsidRPr="00DD6014">
              <w:rPr>
                <w:sz w:val="28"/>
                <w:szCs w:val="28"/>
              </w:rPr>
              <w:t>20,23</w:t>
            </w:r>
          </w:p>
        </w:tc>
      </w:tr>
      <w:tr w:rsidR="00DD6014" w:rsidRPr="00DD6014" w:rsidTr="003D1AF7">
        <w:trPr>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2.</w:t>
            </w:r>
          </w:p>
        </w:tc>
        <w:tc>
          <w:tcPr>
            <w:tcW w:w="3849" w:type="dxa"/>
          </w:tcPr>
          <w:p w:rsidR="00F746B4" w:rsidRPr="00DD6014" w:rsidRDefault="00F746B4" w:rsidP="003C44A2">
            <w:pPr>
              <w:pBdr>
                <w:top w:val="nil"/>
                <w:left w:val="nil"/>
                <w:bottom w:val="nil"/>
                <w:right w:val="nil"/>
                <w:between w:val="nil"/>
              </w:pBdr>
              <w:jc w:val="both"/>
              <w:rPr>
                <w:sz w:val="28"/>
                <w:szCs w:val="28"/>
              </w:rPr>
            </w:pPr>
            <w:r w:rsidRPr="00DD6014">
              <w:rPr>
                <w:sz w:val="28"/>
                <w:szCs w:val="28"/>
              </w:rPr>
              <w:t>Підготовка та надсилання копій документів та письмових пояснення стосовно підтвердження інформації, зазначеної у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w:t>
            </w:r>
            <w:r w:rsidR="00C30CF6" w:rsidRPr="00DD6014">
              <w:rPr>
                <w:sz w:val="28"/>
                <w:szCs w:val="28"/>
              </w:rPr>
              <w:t xml:space="preserve"> </w:t>
            </w:r>
            <w:r w:rsidRPr="00DD6014">
              <w:rPr>
                <w:sz w:val="28"/>
                <w:szCs w:val="28"/>
              </w:rPr>
              <w:t xml:space="preserve">/ </w:t>
            </w:r>
            <w:r w:rsidRPr="00DD6014">
              <w:rPr>
                <w:sz w:val="28"/>
                <w:szCs w:val="28"/>
              </w:rPr>
              <w:lastRenderedPageBreak/>
              <w:t>розрахунку коригування в Реєстрі, гривень</w:t>
            </w:r>
          </w:p>
          <w:p w:rsidR="00F746B4" w:rsidRPr="00DD6014" w:rsidRDefault="00F746B4" w:rsidP="003C44A2">
            <w:pPr>
              <w:pBdr>
                <w:top w:val="nil"/>
                <w:left w:val="nil"/>
                <w:bottom w:val="nil"/>
                <w:right w:val="nil"/>
                <w:between w:val="nil"/>
              </w:pBdr>
              <w:jc w:val="center"/>
              <w:rPr>
                <w:sz w:val="28"/>
                <w:szCs w:val="28"/>
              </w:rPr>
            </w:pPr>
            <w:r w:rsidRPr="00DD6014">
              <w:rPr>
                <w:sz w:val="28"/>
                <w:szCs w:val="28"/>
              </w:rPr>
              <w:t>займає 1 год.</w:t>
            </w:r>
            <w:r w:rsidRPr="00DD6014">
              <w:rPr>
                <w:sz w:val="28"/>
                <w:szCs w:val="28"/>
                <w:vertAlign w:val="superscript"/>
              </w:rPr>
              <w:t xml:space="preserve"> 2</w:t>
            </w:r>
            <w:r w:rsidR="00C30CF6" w:rsidRPr="00DD6014">
              <w:rPr>
                <w:sz w:val="28"/>
                <w:szCs w:val="28"/>
              </w:rPr>
              <w:t>,</w:t>
            </w:r>
          </w:p>
          <w:p w:rsidR="003C44A2" w:rsidRPr="00DD6014" w:rsidRDefault="003C44A2" w:rsidP="003C44A2">
            <w:pPr>
              <w:pBdr>
                <w:top w:val="nil"/>
                <w:left w:val="nil"/>
                <w:bottom w:val="nil"/>
                <w:right w:val="nil"/>
                <w:between w:val="nil"/>
              </w:pBdr>
              <w:rPr>
                <w:sz w:val="28"/>
                <w:szCs w:val="28"/>
              </w:rPr>
            </w:pPr>
            <w:r w:rsidRPr="00DD6014">
              <w:rPr>
                <w:sz w:val="28"/>
                <w:szCs w:val="28"/>
              </w:rPr>
              <w:t xml:space="preserve">у разі внесення змін до Порядку </w:t>
            </w:r>
          </w:p>
          <w:p w:rsidR="00541EC0" w:rsidRPr="00DD6014" w:rsidRDefault="00541EC0" w:rsidP="003C44A2">
            <w:pPr>
              <w:pBdr>
                <w:top w:val="nil"/>
                <w:left w:val="nil"/>
                <w:bottom w:val="nil"/>
                <w:right w:val="nil"/>
                <w:between w:val="nil"/>
              </w:pBdr>
              <w:ind w:firstLine="976"/>
              <w:rPr>
                <w:sz w:val="28"/>
                <w:szCs w:val="28"/>
                <w:vertAlign w:val="superscript"/>
              </w:rPr>
            </w:pPr>
            <w:r w:rsidRPr="00DD6014">
              <w:rPr>
                <w:sz w:val="28"/>
                <w:szCs w:val="28"/>
              </w:rPr>
              <w:t xml:space="preserve">займає </w:t>
            </w:r>
            <w:r w:rsidR="00E5552A" w:rsidRPr="00DD6014">
              <w:rPr>
                <w:sz w:val="28"/>
                <w:szCs w:val="28"/>
              </w:rPr>
              <w:t>0,5</w:t>
            </w:r>
            <w:r w:rsidRPr="00DD6014">
              <w:rPr>
                <w:sz w:val="28"/>
                <w:szCs w:val="28"/>
              </w:rPr>
              <w:t xml:space="preserve"> год.</w:t>
            </w:r>
            <w:r w:rsidRPr="00DD6014">
              <w:rPr>
                <w:sz w:val="28"/>
                <w:szCs w:val="28"/>
                <w:vertAlign w:val="superscript"/>
              </w:rPr>
              <w:t xml:space="preserve"> 3</w:t>
            </w:r>
          </w:p>
        </w:tc>
        <w:tc>
          <w:tcPr>
            <w:tcW w:w="2061"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lastRenderedPageBreak/>
              <w:t>1 х 40,46 = 40,46</w:t>
            </w:r>
          </w:p>
        </w:tc>
        <w:tc>
          <w:tcPr>
            <w:tcW w:w="3123"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0,5 х 40,46 = 20,23</w:t>
            </w:r>
          </w:p>
        </w:tc>
      </w:tr>
      <w:tr w:rsidR="00DD6014" w:rsidRPr="00DD6014" w:rsidTr="003D1AF7">
        <w:trPr>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3</w:t>
            </w:r>
          </w:p>
        </w:tc>
        <w:tc>
          <w:tcPr>
            <w:tcW w:w="3849" w:type="dxa"/>
          </w:tcPr>
          <w:p w:rsidR="00F746B4" w:rsidRPr="00DD6014" w:rsidRDefault="00F746B4" w:rsidP="003C44A2">
            <w:pPr>
              <w:pBdr>
                <w:top w:val="nil"/>
                <w:left w:val="nil"/>
                <w:bottom w:val="nil"/>
                <w:right w:val="nil"/>
                <w:between w:val="nil"/>
              </w:pBdr>
              <w:jc w:val="both"/>
              <w:rPr>
                <w:sz w:val="28"/>
                <w:szCs w:val="28"/>
              </w:rPr>
            </w:pPr>
            <w:r w:rsidRPr="00DD6014">
              <w:rPr>
                <w:sz w:val="28"/>
                <w:szCs w:val="28"/>
              </w:rPr>
              <w:t>РАЗОМ (сума рядків: 1 + 2), гривень</w:t>
            </w:r>
          </w:p>
        </w:tc>
        <w:tc>
          <w:tcPr>
            <w:tcW w:w="2061"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60,69</w:t>
            </w:r>
          </w:p>
        </w:tc>
        <w:tc>
          <w:tcPr>
            <w:tcW w:w="3123"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 xml:space="preserve"> </w:t>
            </w:r>
            <w:r w:rsidR="00DC02A1" w:rsidRPr="00DD6014">
              <w:rPr>
                <w:sz w:val="28"/>
                <w:szCs w:val="28"/>
              </w:rPr>
              <w:t>40,46</w:t>
            </w:r>
          </w:p>
        </w:tc>
      </w:tr>
      <w:tr w:rsidR="00DD6014" w:rsidRPr="00DD6014" w:rsidTr="003D1AF7">
        <w:trPr>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4</w:t>
            </w:r>
          </w:p>
        </w:tc>
        <w:tc>
          <w:tcPr>
            <w:tcW w:w="3849" w:type="dxa"/>
          </w:tcPr>
          <w:p w:rsidR="00F746B4" w:rsidRPr="00DD6014" w:rsidRDefault="00F746B4" w:rsidP="003C44A2">
            <w:pPr>
              <w:pBdr>
                <w:top w:val="nil"/>
                <w:left w:val="nil"/>
                <w:bottom w:val="nil"/>
                <w:right w:val="nil"/>
                <w:between w:val="nil"/>
              </w:pBdr>
              <w:jc w:val="both"/>
              <w:rPr>
                <w:sz w:val="28"/>
                <w:szCs w:val="28"/>
              </w:rPr>
            </w:pPr>
            <w:r w:rsidRPr="00DD6014">
              <w:rPr>
                <w:sz w:val="28"/>
                <w:szCs w:val="28"/>
              </w:rPr>
              <w:t>Кількість суб’єктів господарювання великого та середнього підприємництва, на яких буде поширено регулювання, одиниць</w:t>
            </w:r>
          </w:p>
          <w:p w:rsidR="00F746B4" w:rsidRPr="00DD6014" w:rsidRDefault="00F746B4" w:rsidP="003C44A2">
            <w:pPr>
              <w:pBdr>
                <w:top w:val="nil"/>
                <w:left w:val="nil"/>
                <w:bottom w:val="nil"/>
                <w:right w:val="nil"/>
                <w:between w:val="nil"/>
              </w:pBdr>
              <w:jc w:val="center"/>
              <w:rPr>
                <w:sz w:val="28"/>
                <w:szCs w:val="28"/>
              </w:rPr>
            </w:pPr>
          </w:p>
        </w:tc>
        <w:tc>
          <w:tcPr>
            <w:tcW w:w="2061"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6140</w:t>
            </w:r>
          </w:p>
        </w:tc>
        <w:tc>
          <w:tcPr>
            <w:tcW w:w="3123"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6140</w:t>
            </w:r>
          </w:p>
        </w:tc>
      </w:tr>
      <w:tr w:rsidR="00DD6014" w:rsidRPr="00DD6014" w:rsidTr="003D1AF7">
        <w:trPr>
          <w:jc w:val="center"/>
        </w:trPr>
        <w:tc>
          <w:tcPr>
            <w:tcW w:w="1042" w:type="dxa"/>
          </w:tcPr>
          <w:p w:rsidR="00F746B4" w:rsidRPr="00DD6014" w:rsidRDefault="00F746B4" w:rsidP="003C44A2">
            <w:pPr>
              <w:pBdr>
                <w:top w:val="nil"/>
                <w:left w:val="nil"/>
                <w:bottom w:val="nil"/>
                <w:right w:val="nil"/>
                <w:between w:val="nil"/>
              </w:pBdr>
              <w:jc w:val="center"/>
              <w:rPr>
                <w:sz w:val="28"/>
                <w:szCs w:val="28"/>
              </w:rPr>
            </w:pPr>
            <w:r w:rsidRPr="00DD6014">
              <w:rPr>
                <w:sz w:val="28"/>
                <w:szCs w:val="28"/>
              </w:rPr>
              <w:t>5</w:t>
            </w:r>
          </w:p>
        </w:tc>
        <w:tc>
          <w:tcPr>
            <w:tcW w:w="3849" w:type="dxa"/>
          </w:tcPr>
          <w:p w:rsidR="00F746B4" w:rsidRPr="00DD6014" w:rsidRDefault="00F746B4" w:rsidP="003C44A2">
            <w:pPr>
              <w:pBdr>
                <w:top w:val="nil"/>
                <w:left w:val="nil"/>
                <w:bottom w:val="nil"/>
                <w:right w:val="nil"/>
                <w:between w:val="nil"/>
              </w:pBdr>
              <w:jc w:val="both"/>
              <w:rPr>
                <w:sz w:val="28"/>
                <w:szCs w:val="28"/>
              </w:rPr>
            </w:pPr>
            <w:r w:rsidRPr="00DD6014">
              <w:rPr>
                <w:sz w:val="28"/>
                <w:szCs w:val="28"/>
              </w:rPr>
              <w:t xml:space="preserve">Сумарні витрати суб’єктів господарювання на виконання регулювання (вартість регулювання) (рядок 3 х </w:t>
            </w:r>
            <w:r w:rsidR="00C30CF6" w:rsidRPr="00DD6014">
              <w:rPr>
                <w:sz w:val="28"/>
                <w:szCs w:val="28"/>
              </w:rPr>
              <w:br/>
            </w:r>
            <w:r w:rsidRPr="00DD6014">
              <w:rPr>
                <w:sz w:val="28"/>
                <w:szCs w:val="28"/>
              </w:rPr>
              <w:t>рядок 4), гривень</w:t>
            </w:r>
          </w:p>
        </w:tc>
        <w:tc>
          <w:tcPr>
            <w:tcW w:w="2061"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372 636,60</w:t>
            </w:r>
          </w:p>
        </w:tc>
        <w:tc>
          <w:tcPr>
            <w:tcW w:w="3123" w:type="dxa"/>
          </w:tcPr>
          <w:p w:rsidR="00F746B4" w:rsidRPr="00DD6014" w:rsidRDefault="00DC02A1" w:rsidP="003C44A2">
            <w:pPr>
              <w:pBdr>
                <w:top w:val="nil"/>
                <w:left w:val="nil"/>
                <w:bottom w:val="nil"/>
                <w:right w:val="nil"/>
                <w:between w:val="nil"/>
              </w:pBdr>
              <w:jc w:val="center"/>
              <w:rPr>
                <w:sz w:val="28"/>
                <w:szCs w:val="28"/>
              </w:rPr>
            </w:pPr>
            <w:r w:rsidRPr="00DD6014">
              <w:rPr>
                <w:sz w:val="28"/>
                <w:szCs w:val="28"/>
              </w:rPr>
              <w:t>248 424,40</w:t>
            </w:r>
          </w:p>
        </w:tc>
      </w:tr>
    </w:tbl>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vertAlign w:val="superscript"/>
        </w:rPr>
        <w:t>1</w:t>
      </w:r>
      <w:r w:rsidRPr="00DD6014">
        <w:rPr>
          <w:sz w:val="28"/>
          <w:szCs w:val="28"/>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 «Про Державний бюджет України на 2023 рік»; час, який витрачається суб’єктами господарювання на заповнення та подання на реєстрацію в Реєстрі податкової накладної</w:t>
      </w:r>
      <w:r w:rsidR="00C30CF6" w:rsidRPr="00DD6014">
        <w:rPr>
          <w:sz w:val="28"/>
          <w:szCs w:val="28"/>
        </w:rPr>
        <w:t xml:space="preserve"> </w:t>
      </w:r>
      <w:r w:rsidRPr="00DD6014">
        <w:rPr>
          <w:sz w:val="28"/>
          <w:szCs w:val="28"/>
        </w:rPr>
        <w:t>/</w:t>
      </w:r>
      <w:r w:rsidR="00C30CF6" w:rsidRPr="00DD6014">
        <w:rPr>
          <w:sz w:val="28"/>
          <w:szCs w:val="28"/>
        </w:rPr>
        <w:t xml:space="preserve"> </w:t>
      </w:r>
      <w:r w:rsidRPr="00DD6014">
        <w:rPr>
          <w:sz w:val="28"/>
          <w:szCs w:val="28"/>
        </w:rPr>
        <w:t>розрахунку коригування</w:t>
      </w:r>
      <w:r w:rsidR="00C30CF6" w:rsidRPr="00DD6014">
        <w:rPr>
          <w:sz w:val="28"/>
          <w:szCs w:val="28"/>
        </w:rPr>
        <w:t>,</w:t>
      </w:r>
      <w:r w:rsidRPr="00DD6014">
        <w:rPr>
          <w:sz w:val="28"/>
          <w:szCs w:val="28"/>
        </w:rPr>
        <w:t xml:space="preserve"> 0,5 год. </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vertAlign w:val="superscript"/>
        </w:rPr>
        <w:t>2</w:t>
      </w:r>
      <w:r w:rsidRPr="00DD6014">
        <w:rPr>
          <w:sz w:val="28"/>
          <w:szCs w:val="28"/>
        </w:rPr>
        <w:t xml:space="preserve"> Для обрахунку: приймаємо за основу мінімальну заробітну плату, визначену у погодинному розмірі, що становить 40,46 грн/год</w:t>
      </w:r>
      <w:r w:rsidR="00C30CF6" w:rsidRPr="00DD6014">
        <w:rPr>
          <w:sz w:val="28"/>
          <w:szCs w:val="28"/>
        </w:rPr>
        <w:t>.</w:t>
      </w:r>
      <w:r w:rsidRPr="00DD6014">
        <w:rPr>
          <w:sz w:val="28"/>
          <w:szCs w:val="28"/>
        </w:rPr>
        <w:t xml:space="preserve"> відповідно до Закону України «Про Державний бюджет України на 2023 рік»; час, який витрачається суб’єктами господарювання на підготовку та надсилання копій документів та письмових пояснення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розрахунку коригування в Реєстрі,</w:t>
      </w:r>
      <w:r w:rsidR="00E5552A" w:rsidRPr="00DD6014">
        <w:rPr>
          <w:sz w:val="28"/>
          <w:szCs w:val="28"/>
        </w:rPr>
        <w:t xml:space="preserve"> </w:t>
      </w:r>
      <w:r w:rsidRPr="00DD6014">
        <w:rPr>
          <w:sz w:val="28"/>
          <w:szCs w:val="28"/>
        </w:rPr>
        <w:t>1</w:t>
      </w:r>
      <w:r w:rsidR="00E5552A" w:rsidRPr="00DD6014">
        <w:rPr>
          <w:sz w:val="28"/>
          <w:szCs w:val="28"/>
        </w:rPr>
        <w:t> </w:t>
      </w:r>
      <w:r w:rsidRPr="00DD6014">
        <w:rPr>
          <w:sz w:val="28"/>
          <w:szCs w:val="28"/>
        </w:rPr>
        <w:t>год.</w:t>
      </w:r>
    </w:p>
    <w:p w:rsidR="006F2062" w:rsidRPr="00DD6014" w:rsidRDefault="006F2062" w:rsidP="003C44A2">
      <w:pPr>
        <w:pBdr>
          <w:top w:val="nil"/>
          <w:left w:val="nil"/>
          <w:bottom w:val="nil"/>
          <w:right w:val="nil"/>
          <w:between w:val="nil"/>
        </w:pBdr>
        <w:ind w:firstLine="567"/>
        <w:jc w:val="both"/>
        <w:rPr>
          <w:sz w:val="28"/>
          <w:szCs w:val="28"/>
        </w:rPr>
      </w:pPr>
      <w:r w:rsidRPr="00DD6014">
        <w:rPr>
          <w:sz w:val="28"/>
          <w:szCs w:val="28"/>
          <w:vertAlign w:val="superscript"/>
        </w:rPr>
        <w:t>3</w:t>
      </w:r>
      <w:r w:rsidRPr="00DD6014">
        <w:rPr>
          <w:sz w:val="28"/>
          <w:szCs w:val="28"/>
        </w:rPr>
        <w:t xml:space="preserve"> Для обрахунку: час, який витрачається суб’єктами господарювання </w:t>
      </w:r>
      <w:r w:rsidR="00541EC0" w:rsidRPr="00DD6014">
        <w:rPr>
          <w:sz w:val="28"/>
          <w:szCs w:val="28"/>
        </w:rPr>
        <w:t xml:space="preserve">(постачальниками) </w:t>
      </w:r>
      <w:r w:rsidRPr="00DD6014">
        <w:rPr>
          <w:sz w:val="28"/>
          <w:szCs w:val="28"/>
        </w:rPr>
        <w:t>на підготовку та надсилання копій документів та письмових пояснення стосовно підтвердження інформації, зазначеної у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розрахунку коригування в Реєстрі</w:t>
      </w:r>
      <w:r w:rsidR="00541EC0" w:rsidRPr="00DD6014">
        <w:rPr>
          <w:sz w:val="28"/>
          <w:szCs w:val="28"/>
        </w:rPr>
        <w:t xml:space="preserve"> у разі надання отримувачем (покупцем) таких пояснень та копій документів постачальнику (продавцю)</w:t>
      </w:r>
      <w:r w:rsidRPr="00DD6014">
        <w:rPr>
          <w:sz w:val="28"/>
          <w:szCs w:val="28"/>
        </w:rPr>
        <w:t xml:space="preserve">, </w:t>
      </w:r>
      <w:r w:rsidR="00541EC0" w:rsidRPr="00DD6014">
        <w:rPr>
          <w:sz w:val="28"/>
          <w:szCs w:val="28"/>
        </w:rPr>
        <w:t>0,5</w:t>
      </w:r>
      <w:r w:rsidRPr="00DD6014">
        <w:rPr>
          <w:sz w:val="28"/>
          <w:szCs w:val="28"/>
        </w:rPr>
        <w:t xml:space="preserve"> год.</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 xml:space="preserve">Отже, із розрахунку видно, що у разі виконання вимог регулювання шляхом удосконалення </w:t>
      </w:r>
      <w:r w:rsidR="00541EC0" w:rsidRPr="00DD6014">
        <w:rPr>
          <w:sz w:val="28"/>
          <w:szCs w:val="28"/>
        </w:rPr>
        <w:t>Порядку</w:t>
      </w:r>
      <w:r w:rsidRPr="00DD6014">
        <w:rPr>
          <w:sz w:val="28"/>
          <w:szCs w:val="28"/>
        </w:rPr>
        <w:t xml:space="preserve"> економія коштів становить 1</w:t>
      </w:r>
      <w:r w:rsidR="00541EC0" w:rsidRPr="00DD6014">
        <w:rPr>
          <w:sz w:val="28"/>
          <w:szCs w:val="28"/>
        </w:rPr>
        <w:t>24 212,20</w:t>
      </w:r>
      <w:r w:rsidRPr="00DD6014">
        <w:rPr>
          <w:sz w:val="28"/>
          <w:szCs w:val="28"/>
        </w:rPr>
        <w:t xml:space="preserve"> гривні.</w:t>
      </w:r>
    </w:p>
    <w:p w:rsidR="003C44A2" w:rsidRPr="00DD6014" w:rsidRDefault="003C44A2">
      <w:pPr>
        <w:rPr>
          <w:b/>
          <w:sz w:val="28"/>
          <w:szCs w:val="28"/>
          <w:highlight w:val="white"/>
        </w:rPr>
      </w:pPr>
      <w:r w:rsidRPr="00DD6014">
        <w:rPr>
          <w:b/>
          <w:sz w:val="28"/>
          <w:szCs w:val="28"/>
          <w:highlight w:val="white"/>
        </w:rPr>
        <w:br w:type="page"/>
      </w:r>
    </w:p>
    <w:p w:rsidR="00F746B4" w:rsidRPr="00DD6014" w:rsidRDefault="00F746B4" w:rsidP="003C44A2">
      <w:pPr>
        <w:widowControl w:val="0"/>
        <w:ind w:firstLine="459"/>
        <w:jc w:val="center"/>
        <w:rPr>
          <w:sz w:val="28"/>
          <w:szCs w:val="28"/>
          <w:highlight w:val="white"/>
        </w:rPr>
      </w:pPr>
      <w:r w:rsidRPr="00DD6014">
        <w:rPr>
          <w:b/>
          <w:sz w:val="28"/>
          <w:szCs w:val="28"/>
          <w:highlight w:val="white"/>
        </w:rPr>
        <w:lastRenderedPageBreak/>
        <w:t xml:space="preserve">Проведення оцінки впливу кількісних витрат на сферу інтересів суб’єктів господарювання, які виникатимуть унаслідок дії регуляторного </w:t>
      </w:r>
      <w:proofErr w:type="spellStart"/>
      <w:r w:rsidRPr="00DD6014">
        <w:rPr>
          <w:b/>
          <w:sz w:val="28"/>
          <w:szCs w:val="28"/>
          <w:highlight w:val="white"/>
        </w:rPr>
        <w:t>акта</w:t>
      </w:r>
      <w:proofErr w:type="spellEnd"/>
    </w:p>
    <w:tbl>
      <w:tblPr>
        <w:tblStyle w:val="af3"/>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950"/>
      </w:tblGrid>
      <w:tr w:rsidR="00DD6014" w:rsidRPr="00DD6014" w:rsidTr="003D1AF7">
        <w:tc>
          <w:tcPr>
            <w:tcW w:w="4785" w:type="dxa"/>
          </w:tcPr>
          <w:p w:rsidR="00F746B4" w:rsidRPr="00DD6014" w:rsidRDefault="00F746B4" w:rsidP="003C44A2">
            <w:pPr>
              <w:widowControl w:val="0"/>
              <w:ind w:firstLine="459"/>
              <w:jc w:val="both"/>
              <w:rPr>
                <w:sz w:val="28"/>
                <w:szCs w:val="28"/>
              </w:rPr>
            </w:pPr>
            <w:r w:rsidRPr="00DD6014">
              <w:rPr>
                <w:sz w:val="28"/>
                <w:szCs w:val="28"/>
              </w:rPr>
              <w:t>Сумарні витрати за альтернативами</w:t>
            </w:r>
          </w:p>
        </w:tc>
        <w:tc>
          <w:tcPr>
            <w:tcW w:w="4950" w:type="dxa"/>
          </w:tcPr>
          <w:p w:rsidR="00F746B4" w:rsidRPr="00DD6014" w:rsidRDefault="00F746B4" w:rsidP="003C44A2">
            <w:pPr>
              <w:widowControl w:val="0"/>
              <w:ind w:firstLine="459"/>
              <w:jc w:val="both"/>
              <w:rPr>
                <w:sz w:val="28"/>
                <w:szCs w:val="28"/>
              </w:rPr>
            </w:pPr>
            <w:r w:rsidRPr="00DD6014">
              <w:rPr>
                <w:sz w:val="28"/>
                <w:szCs w:val="28"/>
              </w:rPr>
              <w:t>Сума витрат, гривень</w:t>
            </w:r>
          </w:p>
        </w:tc>
      </w:tr>
      <w:tr w:rsidR="00DD6014" w:rsidRPr="00DD6014" w:rsidTr="003D1AF7">
        <w:tc>
          <w:tcPr>
            <w:tcW w:w="4785" w:type="dxa"/>
          </w:tcPr>
          <w:p w:rsidR="00F746B4" w:rsidRPr="00DD6014" w:rsidRDefault="00F746B4" w:rsidP="003C44A2">
            <w:pPr>
              <w:widowControl w:val="0"/>
              <w:ind w:firstLine="459"/>
              <w:jc w:val="both"/>
              <w:rPr>
                <w:sz w:val="28"/>
                <w:szCs w:val="28"/>
              </w:rPr>
            </w:pPr>
            <w:r w:rsidRPr="00DD6014">
              <w:rPr>
                <w:sz w:val="28"/>
                <w:szCs w:val="28"/>
              </w:rPr>
              <w:t xml:space="preserve">Альтернатива 1 (залишення без змін існуючого </w:t>
            </w:r>
            <w:proofErr w:type="spellStart"/>
            <w:r w:rsidRPr="00DD6014">
              <w:rPr>
                <w:sz w:val="28"/>
                <w:szCs w:val="28"/>
              </w:rPr>
              <w:t>акта</w:t>
            </w:r>
            <w:proofErr w:type="spellEnd"/>
            <w:r w:rsidRPr="00DD6014">
              <w:rPr>
                <w:sz w:val="28"/>
                <w:szCs w:val="28"/>
              </w:rPr>
              <w:t xml:space="preserve">). Сумарні витрати для суб’єктів господарювання згідно з додатком 2 Методики проведення аналізу впливу регуляторного </w:t>
            </w:r>
            <w:proofErr w:type="spellStart"/>
            <w:r w:rsidRPr="00DD6014">
              <w:rPr>
                <w:sz w:val="28"/>
                <w:szCs w:val="28"/>
              </w:rPr>
              <w:t>акта</w:t>
            </w:r>
            <w:proofErr w:type="spellEnd"/>
            <w:r w:rsidRPr="00DD6014">
              <w:rPr>
                <w:sz w:val="28"/>
                <w:szCs w:val="28"/>
              </w:rPr>
              <w:t xml:space="preserve"> (рядок 5 таблиці «Витрати на одного суб’єкта господарювання великого і середнього підприємництва, які виникають унаслідок дії регуляторного </w:t>
            </w:r>
            <w:proofErr w:type="spellStart"/>
            <w:r w:rsidRPr="00DD6014">
              <w:rPr>
                <w:sz w:val="28"/>
                <w:szCs w:val="28"/>
              </w:rPr>
              <w:t>акта</w:t>
            </w:r>
            <w:proofErr w:type="spellEnd"/>
            <w:r w:rsidRPr="00DD6014">
              <w:rPr>
                <w:sz w:val="28"/>
                <w:szCs w:val="28"/>
              </w:rPr>
              <w:t>»)</w:t>
            </w:r>
          </w:p>
        </w:tc>
        <w:tc>
          <w:tcPr>
            <w:tcW w:w="4950" w:type="dxa"/>
          </w:tcPr>
          <w:p w:rsidR="00F746B4" w:rsidRPr="00DD6014" w:rsidRDefault="004C27C0" w:rsidP="003C44A2">
            <w:pPr>
              <w:ind w:firstLine="459"/>
              <w:rPr>
                <w:sz w:val="28"/>
                <w:szCs w:val="28"/>
              </w:rPr>
            </w:pPr>
            <w:r w:rsidRPr="00DD6014">
              <w:rPr>
                <w:sz w:val="28"/>
                <w:szCs w:val="28"/>
              </w:rPr>
              <w:t>372 636,60</w:t>
            </w:r>
          </w:p>
        </w:tc>
      </w:tr>
      <w:tr w:rsidR="00DD6014" w:rsidRPr="00DD6014" w:rsidTr="003D1AF7">
        <w:tc>
          <w:tcPr>
            <w:tcW w:w="4785" w:type="dxa"/>
          </w:tcPr>
          <w:p w:rsidR="00F746B4" w:rsidRPr="00DD6014" w:rsidRDefault="00F746B4" w:rsidP="003C44A2">
            <w:pPr>
              <w:widowControl w:val="0"/>
              <w:ind w:firstLine="459"/>
              <w:jc w:val="both"/>
              <w:rPr>
                <w:sz w:val="28"/>
                <w:szCs w:val="28"/>
              </w:rPr>
            </w:pPr>
            <w:r w:rsidRPr="00DD6014">
              <w:rPr>
                <w:sz w:val="28"/>
                <w:szCs w:val="28"/>
              </w:rPr>
              <w:t xml:space="preserve">Альтернатива 2 (прийняття </w:t>
            </w:r>
            <w:proofErr w:type="spellStart"/>
            <w:r w:rsidRPr="00DD6014">
              <w:rPr>
                <w:sz w:val="28"/>
                <w:szCs w:val="28"/>
              </w:rPr>
              <w:t>проєкту</w:t>
            </w:r>
            <w:proofErr w:type="spellEnd"/>
            <w:r w:rsidRPr="00DD6014">
              <w:rPr>
                <w:sz w:val="28"/>
                <w:szCs w:val="28"/>
              </w:rPr>
              <w:t xml:space="preserve"> </w:t>
            </w:r>
            <w:proofErr w:type="spellStart"/>
            <w:r w:rsidRPr="00DD6014">
              <w:rPr>
                <w:sz w:val="28"/>
                <w:szCs w:val="28"/>
              </w:rPr>
              <w:t>акта</w:t>
            </w:r>
            <w:proofErr w:type="spellEnd"/>
            <w:r w:rsidRPr="00DD6014">
              <w:rPr>
                <w:sz w:val="28"/>
                <w:szCs w:val="28"/>
              </w:rPr>
              <w:t xml:space="preserve">). Сумарні витрати для суб’єктів господарювання згідно з додатком 2 Методики проведення аналізу впливу регуляторного </w:t>
            </w:r>
            <w:proofErr w:type="spellStart"/>
            <w:r w:rsidRPr="00DD6014">
              <w:rPr>
                <w:sz w:val="28"/>
                <w:szCs w:val="28"/>
              </w:rPr>
              <w:t>акта</w:t>
            </w:r>
            <w:proofErr w:type="spellEnd"/>
            <w:r w:rsidRPr="00DD6014">
              <w:rPr>
                <w:sz w:val="28"/>
                <w:szCs w:val="28"/>
              </w:rPr>
              <w:t xml:space="preserve"> (рядок 5 таблиці «Витрати на одного суб’єкта господарювання великого і середнього підприємництва, які виникають унаслідок дії регуляторного </w:t>
            </w:r>
            <w:proofErr w:type="spellStart"/>
            <w:r w:rsidRPr="00DD6014">
              <w:rPr>
                <w:sz w:val="28"/>
                <w:szCs w:val="28"/>
              </w:rPr>
              <w:t>акта</w:t>
            </w:r>
            <w:proofErr w:type="spellEnd"/>
            <w:r w:rsidRPr="00DD6014">
              <w:rPr>
                <w:sz w:val="28"/>
                <w:szCs w:val="28"/>
              </w:rPr>
              <w:t>»)</w:t>
            </w:r>
          </w:p>
        </w:tc>
        <w:tc>
          <w:tcPr>
            <w:tcW w:w="4950" w:type="dxa"/>
          </w:tcPr>
          <w:p w:rsidR="00F746B4" w:rsidRPr="00DD6014" w:rsidRDefault="004C27C0" w:rsidP="003C44A2">
            <w:pPr>
              <w:ind w:firstLine="459"/>
              <w:rPr>
                <w:sz w:val="28"/>
                <w:szCs w:val="28"/>
              </w:rPr>
            </w:pPr>
            <w:r w:rsidRPr="00DD6014">
              <w:rPr>
                <w:sz w:val="28"/>
                <w:szCs w:val="28"/>
              </w:rPr>
              <w:t>248 424,40</w:t>
            </w:r>
          </w:p>
        </w:tc>
      </w:tr>
      <w:tr w:rsidR="00F746B4" w:rsidRPr="00DD6014" w:rsidTr="003D1AF7">
        <w:tc>
          <w:tcPr>
            <w:tcW w:w="4785" w:type="dxa"/>
          </w:tcPr>
          <w:p w:rsidR="00F746B4" w:rsidRPr="00DD6014" w:rsidRDefault="00F746B4" w:rsidP="003C44A2">
            <w:pPr>
              <w:widowControl w:val="0"/>
              <w:ind w:firstLine="459"/>
              <w:jc w:val="both"/>
              <w:rPr>
                <w:sz w:val="28"/>
                <w:szCs w:val="28"/>
              </w:rPr>
            </w:pPr>
            <w:r w:rsidRPr="00DD6014">
              <w:rPr>
                <w:sz w:val="28"/>
                <w:szCs w:val="28"/>
              </w:rPr>
              <w:t>Висновок</w:t>
            </w:r>
          </w:p>
        </w:tc>
        <w:tc>
          <w:tcPr>
            <w:tcW w:w="4950" w:type="dxa"/>
          </w:tcPr>
          <w:p w:rsidR="00F746B4" w:rsidRPr="00DD6014" w:rsidRDefault="00F746B4" w:rsidP="003C44A2">
            <w:pPr>
              <w:widowControl w:val="0"/>
              <w:ind w:firstLine="459"/>
              <w:jc w:val="both"/>
              <w:rPr>
                <w:sz w:val="28"/>
                <w:szCs w:val="28"/>
              </w:rPr>
            </w:pPr>
            <w:r w:rsidRPr="00DD6014">
              <w:rPr>
                <w:sz w:val="28"/>
                <w:szCs w:val="28"/>
              </w:rPr>
              <w:t xml:space="preserve">Удосконалення </w:t>
            </w:r>
            <w:r w:rsidR="004C27C0" w:rsidRPr="00DD6014">
              <w:rPr>
                <w:sz w:val="28"/>
                <w:szCs w:val="28"/>
              </w:rPr>
              <w:t>Порядку</w:t>
            </w:r>
            <w:r w:rsidRPr="00DD6014">
              <w:rPr>
                <w:sz w:val="28"/>
                <w:szCs w:val="28"/>
              </w:rPr>
              <w:t xml:space="preserve"> дозволить не тільки економити час суб’єкту господарювання, а також економити</w:t>
            </w:r>
            <w:r w:rsidR="004C27C0" w:rsidRPr="00DD6014">
              <w:rPr>
                <w:sz w:val="28"/>
                <w:szCs w:val="28"/>
              </w:rPr>
              <w:t xml:space="preserve"> сумарні витрати для суб’єктів </w:t>
            </w:r>
            <w:r w:rsidRPr="00DD6014">
              <w:rPr>
                <w:sz w:val="28"/>
                <w:szCs w:val="28"/>
              </w:rPr>
              <w:t xml:space="preserve">господарювання у сумі </w:t>
            </w:r>
            <w:r w:rsidR="004C27C0" w:rsidRPr="00DD6014">
              <w:rPr>
                <w:sz w:val="28"/>
                <w:szCs w:val="28"/>
              </w:rPr>
              <w:t xml:space="preserve">124 212,20 </w:t>
            </w:r>
            <w:r w:rsidRPr="00DD6014">
              <w:rPr>
                <w:sz w:val="28"/>
                <w:szCs w:val="28"/>
              </w:rPr>
              <w:t xml:space="preserve">грн на рік, що становитиме </w:t>
            </w:r>
            <w:r w:rsidR="004C27C0" w:rsidRPr="00DD6014">
              <w:rPr>
                <w:sz w:val="28"/>
                <w:szCs w:val="28"/>
              </w:rPr>
              <w:t>33</w:t>
            </w:r>
            <w:r w:rsidR="00C30CF6" w:rsidRPr="00DD6014">
              <w:rPr>
                <w:sz w:val="28"/>
                <w:szCs w:val="28"/>
              </w:rPr>
              <w:t xml:space="preserve"> % економії витрат за рік</w:t>
            </w:r>
          </w:p>
        </w:tc>
      </w:tr>
    </w:tbl>
    <w:p w:rsidR="00F746B4" w:rsidRPr="00DD6014" w:rsidRDefault="00F746B4" w:rsidP="003C44A2">
      <w:pPr>
        <w:widowControl w:val="0"/>
        <w:ind w:firstLine="459"/>
        <w:jc w:val="both"/>
        <w:rPr>
          <w:sz w:val="28"/>
          <w:szCs w:val="28"/>
          <w:highlight w:val="white"/>
        </w:rPr>
      </w:pPr>
    </w:p>
    <w:p w:rsidR="00F746B4" w:rsidRPr="00DD6014" w:rsidRDefault="00F746B4" w:rsidP="003C44A2">
      <w:pPr>
        <w:pBdr>
          <w:top w:val="nil"/>
          <w:left w:val="nil"/>
          <w:bottom w:val="nil"/>
          <w:right w:val="nil"/>
          <w:between w:val="nil"/>
        </w:pBdr>
        <w:jc w:val="center"/>
        <w:rPr>
          <w:b/>
          <w:sz w:val="28"/>
          <w:szCs w:val="28"/>
        </w:rPr>
      </w:pPr>
      <w:r w:rsidRPr="00DD6014">
        <w:rPr>
          <w:b/>
          <w:sz w:val="28"/>
          <w:szCs w:val="28"/>
        </w:rPr>
        <w:t>IV. Вибір найбільш оптимального альтернативного способу досягнення цілей</w:t>
      </w:r>
    </w:p>
    <w:tbl>
      <w:tblPr>
        <w:tblStyle w:val="af3"/>
        <w:tblW w:w="9816" w:type="dxa"/>
        <w:tblInd w:w="0"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000" w:firstRow="0" w:lastRow="0" w:firstColumn="0" w:lastColumn="0" w:noHBand="0" w:noVBand="0"/>
      </w:tblPr>
      <w:tblGrid>
        <w:gridCol w:w="2078"/>
        <w:gridCol w:w="1975"/>
        <w:gridCol w:w="5763"/>
      </w:tblGrid>
      <w:tr w:rsidR="00DD6014" w:rsidRPr="00DD6014" w:rsidTr="003D1AF7">
        <w:tc>
          <w:tcPr>
            <w:tcW w:w="2078" w:type="dxa"/>
            <w:tcBorders>
              <w:top w:val="single" w:sz="6" w:space="0" w:color="000000"/>
              <w:left w:val="single" w:sz="6" w:space="0" w:color="000000"/>
              <w:bottom w:val="single" w:sz="6" w:space="0" w:color="000000"/>
              <w:right w:val="single" w:sz="6" w:space="0" w:color="000000"/>
            </w:tcBorders>
            <w:vAlign w:val="center"/>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 xml:space="preserve">Рейтинг </w:t>
            </w:r>
            <w:proofErr w:type="spellStart"/>
            <w:r w:rsidRPr="00DD6014">
              <w:rPr>
                <w:sz w:val="28"/>
                <w:szCs w:val="24"/>
              </w:rPr>
              <w:t>результатив-ності</w:t>
            </w:r>
            <w:proofErr w:type="spellEnd"/>
            <w:r w:rsidRPr="00DD6014">
              <w:rPr>
                <w:sz w:val="28"/>
                <w:szCs w:val="24"/>
              </w:rPr>
              <w:t xml:space="preserve"> (досягнення цілей під час вирішення проблеми)</w:t>
            </w:r>
          </w:p>
        </w:tc>
        <w:tc>
          <w:tcPr>
            <w:tcW w:w="1975" w:type="dxa"/>
            <w:tcBorders>
              <w:top w:val="single" w:sz="6" w:space="0" w:color="000000"/>
              <w:left w:val="single" w:sz="6" w:space="0" w:color="000000"/>
              <w:bottom w:val="single" w:sz="6" w:space="0" w:color="000000"/>
              <w:right w:val="single" w:sz="6" w:space="0" w:color="000000"/>
            </w:tcBorders>
            <w:vAlign w:val="center"/>
          </w:tcPr>
          <w:p w:rsidR="00F746B4" w:rsidRPr="00DD6014" w:rsidRDefault="00F746B4" w:rsidP="003C44A2">
            <w:pPr>
              <w:pBdr>
                <w:top w:val="nil"/>
                <w:left w:val="nil"/>
                <w:bottom w:val="nil"/>
                <w:right w:val="nil"/>
                <w:between w:val="nil"/>
              </w:pBdr>
              <w:ind w:left="-45"/>
              <w:jc w:val="center"/>
              <w:rPr>
                <w:sz w:val="28"/>
                <w:szCs w:val="24"/>
              </w:rPr>
            </w:pPr>
            <w:r w:rsidRPr="00DD6014">
              <w:rPr>
                <w:sz w:val="28"/>
                <w:szCs w:val="24"/>
              </w:rPr>
              <w:t xml:space="preserve">Бал </w:t>
            </w:r>
            <w:proofErr w:type="spellStart"/>
            <w:r w:rsidRPr="00DD6014">
              <w:rPr>
                <w:sz w:val="28"/>
                <w:szCs w:val="24"/>
              </w:rPr>
              <w:t>результатив-ності</w:t>
            </w:r>
            <w:proofErr w:type="spellEnd"/>
            <w:r w:rsidRPr="00DD6014">
              <w:rPr>
                <w:sz w:val="28"/>
                <w:szCs w:val="24"/>
              </w:rPr>
              <w:t xml:space="preserve"> (за </w:t>
            </w:r>
            <w:proofErr w:type="spellStart"/>
            <w:r w:rsidRPr="00DD6014">
              <w:rPr>
                <w:sz w:val="28"/>
                <w:szCs w:val="24"/>
              </w:rPr>
              <w:t>чотирибаль-ною</w:t>
            </w:r>
            <w:proofErr w:type="spellEnd"/>
            <w:r w:rsidRPr="00DD6014">
              <w:rPr>
                <w:sz w:val="28"/>
                <w:szCs w:val="24"/>
              </w:rPr>
              <w:t xml:space="preserve"> системою оцінки)</w:t>
            </w:r>
          </w:p>
        </w:tc>
        <w:tc>
          <w:tcPr>
            <w:tcW w:w="5763" w:type="dxa"/>
            <w:tcBorders>
              <w:top w:val="single" w:sz="6" w:space="0" w:color="000000"/>
              <w:left w:val="single" w:sz="6" w:space="0" w:color="000000"/>
              <w:bottom w:val="single" w:sz="8" w:space="0" w:color="000000"/>
              <w:right w:val="single" w:sz="6" w:space="0" w:color="000000"/>
            </w:tcBorders>
            <w:vAlign w:val="center"/>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 xml:space="preserve">Коментарі щодо присвоєння відповідного </w:t>
            </w:r>
            <w:proofErr w:type="spellStart"/>
            <w:r w:rsidRPr="00DD6014">
              <w:rPr>
                <w:sz w:val="28"/>
                <w:szCs w:val="24"/>
              </w:rPr>
              <w:t>бала</w:t>
            </w:r>
            <w:proofErr w:type="spellEnd"/>
          </w:p>
        </w:tc>
      </w:tr>
      <w:tr w:rsidR="00DD6014" w:rsidRPr="00DD6014" w:rsidTr="003D1AF7">
        <w:tc>
          <w:tcPr>
            <w:tcW w:w="2078"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lastRenderedPageBreak/>
              <w:t>Альтернатива 1</w:t>
            </w:r>
          </w:p>
        </w:tc>
        <w:tc>
          <w:tcPr>
            <w:tcW w:w="1975" w:type="dxa"/>
            <w:tcBorders>
              <w:top w:val="single" w:sz="6" w:space="0" w:color="000000"/>
              <w:left w:val="single" w:sz="6" w:space="0" w:color="000000"/>
              <w:bottom w:val="single" w:sz="6" w:space="0" w:color="000000"/>
              <w:right w:val="single" w:sz="8" w:space="0" w:color="000000"/>
            </w:tcBorders>
          </w:tcPr>
          <w:p w:rsidR="00F746B4" w:rsidRPr="00DD6014" w:rsidRDefault="00F746B4" w:rsidP="003C44A2">
            <w:pPr>
              <w:pBdr>
                <w:top w:val="nil"/>
                <w:left w:val="nil"/>
                <w:bottom w:val="nil"/>
                <w:right w:val="nil"/>
                <w:between w:val="nil"/>
              </w:pBdr>
              <w:jc w:val="center"/>
              <w:rPr>
                <w:sz w:val="28"/>
                <w:szCs w:val="24"/>
              </w:rPr>
            </w:pPr>
            <w:r w:rsidRPr="00DD6014">
              <w:rPr>
                <w:sz w:val="28"/>
                <w:szCs w:val="24"/>
              </w:rPr>
              <w:t>1</w:t>
            </w:r>
          </w:p>
        </w:tc>
        <w:tc>
          <w:tcPr>
            <w:tcW w:w="5763" w:type="dxa"/>
            <w:tcBorders>
              <w:top w:val="single" w:sz="8" w:space="0" w:color="000000"/>
              <w:left w:val="single" w:sz="8" w:space="0" w:color="000000"/>
              <w:bottom w:val="single" w:sz="8" w:space="0" w:color="000000"/>
              <w:right w:val="single" w:sz="8" w:space="0" w:color="000000"/>
            </w:tcBorders>
          </w:tcPr>
          <w:p w:rsidR="00F746B4" w:rsidRPr="00DD6014" w:rsidRDefault="00F746B4" w:rsidP="003C44A2">
            <w:pPr>
              <w:widowControl w:val="0"/>
              <w:jc w:val="both"/>
              <w:rPr>
                <w:sz w:val="28"/>
                <w:szCs w:val="27"/>
              </w:rPr>
            </w:pPr>
            <w:r w:rsidRPr="00DD6014">
              <w:rPr>
                <w:sz w:val="28"/>
                <w:szCs w:val="27"/>
              </w:rPr>
              <w:t>Альтернатива 1 залишить проблему не вирішеною, що не дозволить досягнути поставлених цілей державного регулювання</w:t>
            </w:r>
          </w:p>
        </w:tc>
      </w:tr>
      <w:tr w:rsidR="00F746B4" w:rsidRPr="00DD6014" w:rsidTr="003D1AF7">
        <w:tc>
          <w:tcPr>
            <w:tcW w:w="2078"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jc w:val="center"/>
              <w:rPr>
                <w:sz w:val="28"/>
                <w:szCs w:val="24"/>
              </w:rPr>
            </w:pPr>
            <w:r w:rsidRPr="00DD6014">
              <w:rPr>
                <w:sz w:val="28"/>
                <w:szCs w:val="24"/>
              </w:rPr>
              <w:t xml:space="preserve">Альтернатива 2 </w:t>
            </w:r>
          </w:p>
        </w:tc>
        <w:tc>
          <w:tcPr>
            <w:tcW w:w="1975"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jc w:val="center"/>
              <w:rPr>
                <w:sz w:val="28"/>
                <w:szCs w:val="24"/>
              </w:rPr>
            </w:pPr>
            <w:r w:rsidRPr="00DD6014">
              <w:rPr>
                <w:sz w:val="28"/>
                <w:szCs w:val="24"/>
              </w:rPr>
              <w:t>4</w:t>
            </w:r>
          </w:p>
        </w:tc>
        <w:tc>
          <w:tcPr>
            <w:tcW w:w="5763" w:type="dxa"/>
            <w:tcBorders>
              <w:top w:val="single" w:sz="8" w:space="0" w:color="000000"/>
            </w:tcBorders>
          </w:tcPr>
          <w:p w:rsidR="00F746B4" w:rsidRPr="00DD6014" w:rsidRDefault="00F746B4" w:rsidP="003C44A2">
            <w:pPr>
              <w:widowControl w:val="0"/>
              <w:ind w:left="34"/>
              <w:jc w:val="both"/>
              <w:rPr>
                <w:sz w:val="28"/>
                <w:szCs w:val="27"/>
              </w:rPr>
            </w:pPr>
            <w:r w:rsidRPr="00DD6014">
              <w:rPr>
                <w:sz w:val="28"/>
                <w:szCs w:val="27"/>
              </w:rPr>
              <w:t>Альтернатива 2 дає змогу досягнути поставлених цілей державного регулювання з відсутністю додаткових витрат з боку держави.</w:t>
            </w:r>
          </w:p>
        </w:tc>
      </w:tr>
    </w:tbl>
    <w:p w:rsidR="00F746B4" w:rsidRPr="00DD6014" w:rsidRDefault="00F746B4" w:rsidP="003C44A2">
      <w:pPr>
        <w:pBdr>
          <w:top w:val="nil"/>
          <w:left w:val="nil"/>
          <w:bottom w:val="nil"/>
          <w:right w:val="nil"/>
          <w:between w:val="nil"/>
        </w:pBdr>
        <w:jc w:val="both"/>
        <w:rPr>
          <w:sz w:val="4"/>
          <w:szCs w:val="4"/>
          <w:highlight w:val="white"/>
        </w:rPr>
      </w:pPr>
    </w:p>
    <w:p w:rsidR="00F746B4" w:rsidRPr="00DD6014" w:rsidRDefault="00F746B4" w:rsidP="003C44A2">
      <w:pPr>
        <w:pBdr>
          <w:top w:val="nil"/>
          <w:left w:val="nil"/>
          <w:bottom w:val="nil"/>
          <w:right w:val="nil"/>
          <w:between w:val="nil"/>
        </w:pBdr>
        <w:jc w:val="both"/>
        <w:rPr>
          <w:sz w:val="4"/>
          <w:szCs w:val="4"/>
          <w:highlight w:val="white"/>
        </w:rPr>
      </w:pPr>
    </w:p>
    <w:tbl>
      <w:tblPr>
        <w:tblStyle w:val="af3"/>
        <w:tblW w:w="981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0"/>
        <w:gridCol w:w="2201"/>
        <w:gridCol w:w="2389"/>
        <w:gridCol w:w="2966"/>
      </w:tblGrid>
      <w:tr w:rsidR="00DD6014" w:rsidRPr="00DD6014" w:rsidTr="003D1AF7">
        <w:tc>
          <w:tcPr>
            <w:tcW w:w="2260" w:type="dxa"/>
          </w:tcPr>
          <w:p w:rsidR="00F746B4" w:rsidRPr="00DD6014" w:rsidRDefault="00F746B4" w:rsidP="003C44A2">
            <w:pPr>
              <w:pBdr>
                <w:top w:val="nil"/>
                <w:left w:val="nil"/>
                <w:bottom w:val="nil"/>
                <w:right w:val="nil"/>
                <w:between w:val="nil"/>
              </w:pBdr>
              <w:jc w:val="center"/>
              <w:rPr>
                <w:spacing w:val="-6"/>
                <w:sz w:val="28"/>
                <w:szCs w:val="24"/>
                <w:highlight w:val="white"/>
              </w:rPr>
            </w:pPr>
            <w:r w:rsidRPr="00DD6014">
              <w:rPr>
                <w:spacing w:val="-6"/>
                <w:sz w:val="28"/>
                <w:szCs w:val="24"/>
                <w:highlight w:val="white"/>
              </w:rPr>
              <w:t>Рейтинг результативності</w:t>
            </w:r>
          </w:p>
        </w:tc>
        <w:tc>
          <w:tcPr>
            <w:tcW w:w="2201" w:type="dxa"/>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Вигоди (підсумок)</w:t>
            </w:r>
          </w:p>
        </w:tc>
        <w:tc>
          <w:tcPr>
            <w:tcW w:w="2389" w:type="dxa"/>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Витрати (підсумок)</w:t>
            </w:r>
          </w:p>
        </w:tc>
        <w:tc>
          <w:tcPr>
            <w:tcW w:w="2966" w:type="dxa"/>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Обґрунтування відповідного місця альтернативи у рейтингу</w:t>
            </w:r>
          </w:p>
        </w:tc>
      </w:tr>
      <w:tr w:rsidR="00DD6014" w:rsidRPr="00DD6014" w:rsidTr="003D1AF7">
        <w:tc>
          <w:tcPr>
            <w:tcW w:w="2260" w:type="dxa"/>
            <w:tcBorders>
              <w:top w:val="single" w:sz="6" w:space="0" w:color="000000"/>
              <w:left w:val="single" w:sz="6" w:space="0" w:color="000000"/>
              <w:bottom w:val="single" w:sz="6" w:space="0" w:color="000000"/>
              <w:right w:val="single" w:sz="6" w:space="0" w:color="000000"/>
            </w:tcBorders>
          </w:tcPr>
          <w:p w:rsidR="00F746B4" w:rsidRPr="00DD6014" w:rsidRDefault="00F746B4" w:rsidP="003C44A2">
            <w:pPr>
              <w:jc w:val="center"/>
              <w:rPr>
                <w:sz w:val="28"/>
                <w:szCs w:val="24"/>
                <w:highlight w:val="white"/>
              </w:rPr>
            </w:pPr>
            <w:r w:rsidRPr="00DD6014">
              <w:rPr>
                <w:sz w:val="28"/>
                <w:szCs w:val="24"/>
                <w:highlight w:val="white"/>
              </w:rPr>
              <w:t>Альтернатива 1</w:t>
            </w:r>
          </w:p>
        </w:tc>
        <w:tc>
          <w:tcPr>
            <w:tcW w:w="2201" w:type="dxa"/>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Відсутні</w:t>
            </w:r>
          </w:p>
        </w:tc>
        <w:tc>
          <w:tcPr>
            <w:tcW w:w="2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6B4" w:rsidRPr="00DD6014" w:rsidRDefault="00F746B4" w:rsidP="003C44A2">
            <w:pPr>
              <w:pBdr>
                <w:top w:val="nil"/>
                <w:left w:val="nil"/>
                <w:bottom w:val="nil"/>
                <w:right w:val="nil"/>
                <w:between w:val="nil"/>
              </w:pBdr>
              <w:jc w:val="both"/>
              <w:rPr>
                <w:sz w:val="28"/>
                <w:szCs w:val="24"/>
                <w:highlight w:val="white"/>
              </w:rPr>
            </w:pPr>
            <w:r w:rsidRPr="00DD6014">
              <w:rPr>
                <w:sz w:val="28"/>
                <w:szCs w:val="28"/>
                <w:highlight w:val="white"/>
              </w:rPr>
              <w:t>Відсутність змін  призводить до витрат суб’єктів господарювання на Підготовка та надсилання копій документів та письмових пояснення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розрахунку коригування в Реєстрі</w:t>
            </w:r>
          </w:p>
        </w:tc>
        <w:tc>
          <w:tcPr>
            <w:tcW w:w="29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Не призведе до досягнення цілей.</w:t>
            </w:r>
          </w:p>
        </w:tc>
      </w:tr>
      <w:tr w:rsidR="00F746B4" w:rsidRPr="00DD6014" w:rsidTr="003D1AF7">
        <w:tc>
          <w:tcPr>
            <w:tcW w:w="2260" w:type="dxa"/>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lastRenderedPageBreak/>
              <w:t xml:space="preserve">Альтернатива 2 </w:t>
            </w:r>
          </w:p>
        </w:tc>
        <w:tc>
          <w:tcPr>
            <w:tcW w:w="2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 xml:space="preserve">Удосконалення СМКОР дозволить не лише економити час суб’єкту </w:t>
            </w:r>
            <w:r w:rsidRPr="00DD6014">
              <w:rPr>
                <w:spacing w:val="-8"/>
                <w:sz w:val="28"/>
                <w:szCs w:val="24"/>
                <w:highlight w:val="white"/>
              </w:rPr>
              <w:t xml:space="preserve">господарювання, </w:t>
            </w:r>
            <w:r w:rsidRPr="00DD6014">
              <w:rPr>
                <w:sz w:val="28"/>
                <w:szCs w:val="24"/>
                <w:highlight w:val="white"/>
              </w:rPr>
              <w:t xml:space="preserve">а також економити кошти, що становитиме </w:t>
            </w:r>
            <w:r w:rsidRPr="00DD6014">
              <w:rPr>
                <w:sz w:val="28"/>
                <w:szCs w:val="24"/>
                <w:highlight w:val="white"/>
              </w:rPr>
              <w:br/>
              <w:t>67% від суми витрат за рік.</w:t>
            </w:r>
          </w:p>
        </w:tc>
        <w:tc>
          <w:tcPr>
            <w:tcW w:w="23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Відсутні</w:t>
            </w:r>
          </w:p>
        </w:tc>
        <w:tc>
          <w:tcPr>
            <w:tcW w:w="29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46B4" w:rsidRPr="00DD6014" w:rsidRDefault="00F746B4" w:rsidP="003C44A2">
            <w:pPr>
              <w:pBdr>
                <w:top w:val="nil"/>
                <w:left w:val="nil"/>
                <w:bottom w:val="nil"/>
                <w:right w:val="nil"/>
                <w:between w:val="nil"/>
              </w:pBdr>
              <w:jc w:val="center"/>
              <w:rPr>
                <w:sz w:val="28"/>
                <w:szCs w:val="24"/>
                <w:highlight w:val="white"/>
              </w:rPr>
            </w:pPr>
            <w:r w:rsidRPr="00DD6014">
              <w:rPr>
                <w:sz w:val="28"/>
                <w:szCs w:val="24"/>
                <w:highlight w:val="white"/>
              </w:rPr>
              <w:t>Є найоптимальнішою серед запропонованих альтернатив, оскільки надає вигоду для суб’єктів господарювання та держави без додаткових витрат з боку держави та без збільшення навантаження на платни</w:t>
            </w:r>
            <w:r w:rsidR="00C30CF6" w:rsidRPr="00DD6014">
              <w:rPr>
                <w:sz w:val="28"/>
                <w:szCs w:val="24"/>
                <w:highlight w:val="white"/>
              </w:rPr>
              <w:t>ків податків та працівників ДПС</w:t>
            </w:r>
          </w:p>
        </w:tc>
      </w:tr>
    </w:tbl>
    <w:p w:rsidR="003C44A2" w:rsidRPr="00DD6014" w:rsidRDefault="003C44A2" w:rsidP="003C44A2">
      <w:pPr>
        <w:pBdr>
          <w:top w:val="nil"/>
          <w:left w:val="nil"/>
          <w:bottom w:val="nil"/>
          <w:right w:val="nil"/>
          <w:between w:val="nil"/>
        </w:pBdr>
        <w:jc w:val="center"/>
        <w:rPr>
          <w:b/>
          <w:sz w:val="28"/>
          <w:szCs w:val="28"/>
          <w:highlight w:val="white"/>
        </w:rPr>
      </w:pPr>
    </w:p>
    <w:p w:rsidR="00F746B4" w:rsidRPr="00DD6014" w:rsidRDefault="00F746B4" w:rsidP="003C44A2">
      <w:pPr>
        <w:pBdr>
          <w:top w:val="nil"/>
          <w:left w:val="nil"/>
          <w:bottom w:val="nil"/>
          <w:right w:val="nil"/>
          <w:between w:val="nil"/>
        </w:pBdr>
        <w:jc w:val="center"/>
        <w:rPr>
          <w:b/>
          <w:sz w:val="28"/>
          <w:szCs w:val="28"/>
          <w:highlight w:val="white"/>
        </w:rPr>
      </w:pPr>
      <w:r w:rsidRPr="00DD6014">
        <w:rPr>
          <w:b/>
          <w:sz w:val="28"/>
          <w:szCs w:val="28"/>
          <w:highlight w:val="white"/>
        </w:rPr>
        <w:t>V. Механізми та заходи, які забезпечать розв’язання визначеної проблеми</w:t>
      </w:r>
    </w:p>
    <w:p w:rsidR="00F746B4" w:rsidRPr="00DD6014" w:rsidRDefault="00F746B4" w:rsidP="003C44A2">
      <w:pPr>
        <w:widowControl w:val="0"/>
        <w:ind w:firstLine="567"/>
        <w:jc w:val="both"/>
        <w:rPr>
          <w:sz w:val="28"/>
          <w:szCs w:val="28"/>
          <w:highlight w:val="white"/>
        </w:rPr>
      </w:pPr>
      <w:r w:rsidRPr="00DD6014">
        <w:rPr>
          <w:i/>
          <w:sz w:val="28"/>
          <w:szCs w:val="28"/>
          <w:highlight w:val="white"/>
        </w:rPr>
        <w:t xml:space="preserve">1. Механізм дії регуляторного </w:t>
      </w:r>
      <w:proofErr w:type="spellStart"/>
      <w:r w:rsidRPr="00DD6014">
        <w:rPr>
          <w:i/>
          <w:sz w:val="28"/>
          <w:szCs w:val="28"/>
          <w:highlight w:val="white"/>
        </w:rPr>
        <w:t>акта</w:t>
      </w:r>
      <w:proofErr w:type="spellEnd"/>
    </w:p>
    <w:p w:rsidR="00F746B4" w:rsidRPr="00DD6014" w:rsidRDefault="00F746B4" w:rsidP="003C44A2">
      <w:pPr>
        <w:widowControl w:val="0"/>
        <w:ind w:firstLine="567"/>
        <w:jc w:val="both"/>
        <w:rPr>
          <w:sz w:val="28"/>
          <w:szCs w:val="28"/>
          <w:highlight w:val="white"/>
        </w:rPr>
      </w:pPr>
      <w:r w:rsidRPr="00DD6014">
        <w:rPr>
          <w:sz w:val="28"/>
          <w:szCs w:val="28"/>
          <w:highlight w:val="white"/>
        </w:rPr>
        <w:t xml:space="preserve">Основним механізмом для розв’язання визначеної проблеми є прийняття </w:t>
      </w:r>
      <w:proofErr w:type="spellStart"/>
      <w:r w:rsidRPr="00DD6014">
        <w:rPr>
          <w:sz w:val="28"/>
          <w:szCs w:val="28"/>
          <w:highlight w:val="white"/>
        </w:rPr>
        <w:t>проєкту</w:t>
      </w:r>
      <w:proofErr w:type="spellEnd"/>
      <w:r w:rsidRPr="00DD6014">
        <w:rPr>
          <w:sz w:val="28"/>
          <w:szCs w:val="28"/>
          <w:highlight w:val="white"/>
        </w:rPr>
        <w:t xml:space="preserve"> </w:t>
      </w:r>
      <w:r w:rsidR="00E5552A" w:rsidRPr="00DD6014">
        <w:rPr>
          <w:sz w:val="28"/>
          <w:szCs w:val="28"/>
        </w:rPr>
        <w:t xml:space="preserve">наказу Міністерства фінансів України «Про затвердження Змін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 </w:t>
      </w:r>
      <w:r w:rsidRPr="00DD6014">
        <w:rPr>
          <w:sz w:val="28"/>
          <w:szCs w:val="28"/>
          <w:highlight w:val="white"/>
        </w:rPr>
        <w:t xml:space="preserve">та фактична реалізація його положень щодо удосконалення </w:t>
      </w:r>
      <w:r w:rsidR="00E5552A" w:rsidRPr="00DD6014">
        <w:rPr>
          <w:sz w:val="28"/>
          <w:szCs w:val="28"/>
          <w:highlight w:val="white"/>
        </w:rPr>
        <w:t>Порядку</w:t>
      </w:r>
      <w:r w:rsidRPr="00DD6014">
        <w:rPr>
          <w:sz w:val="28"/>
          <w:szCs w:val="28"/>
          <w:highlight w:val="white"/>
        </w:rPr>
        <w:t>, що забезпечить встановлення справедливих умов для реєстрації платниками податку податкових накладних</w:t>
      </w:r>
      <w:r w:rsidR="00E5552A" w:rsidRPr="00DD6014">
        <w:rPr>
          <w:sz w:val="28"/>
          <w:szCs w:val="28"/>
          <w:highlight w:val="white"/>
        </w:rPr>
        <w:t> </w:t>
      </w:r>
      <w:r w:rsidRPr="00DD6014">
        <w:rPr>
          <w:sz w:val="28"/>
          <w:szCs w:val="28"/>
          <w:highlight w:val="white"/>
        </w:rPr>
        <w:t>/</w:t>
      </w:r>
      <w:r w:rsidR="00E5552A" w:rsidRPr="00DD6014">
        <w:rPr>
          <w:sz w:val="28"/>
          <w:szCs w:val="28"/>
          <w:highlight w:val="white"/>
        </w:rPr>
        <w:t> </w:t>
      </w:r>
      <w:r w:rsidRPr="00DD6014">
        <w:rPr>
          <w:sz w:val="28"/>
          <w:szCs w:val="28"/>
          <w:highlight w:val="white"/>
        </w:rPr>
        <w:t xml:space="preserve">розрахунків коригування в Реєстрі, усунення непорозумінь між платниками податку та контролюючими органами, дозволить заощадити грошові та людські ресурси. </w:t>
      </w:r>
    </w:p>
    <w:p w:rsidR="00F746B4" w:rsidRPr="00DD6014" w:rsidRDefault="00F746B4" w:rsidP="003C44A2">
      <w:pPr>
        <w:widowControl w:val="0"/>
        <w:ind w:firstLine="567"/>
        <w:jc w:val="both"/>
        <w:rPr>
          <w:sz w:val="28"/>
          <w:szCs w:val="28"/>
        </w:rPr>
      </w:pPr>
      <w:r w:rsidRPr="00DD6014">
        <w:rPr>
          <w:i/>
          <w:sz w:val="28"/>
          <w:szCs w:val="28"/>
        </w:rPr>
        <w:t xml:space="preserve">2. Організаційні заходи впровадження регуляторного </w:t>
      </w:r>
      <w:proofErr w:type="spellStart"/>
      <w:r w:rsidRPr="00DD6014">
        <w:rPr>
          <w:i/>
          <w:sz w:val="28"/>
          <w:szCs w:val="28"/>
        </w:rPr>
        <w:t>акта</w:t>
      </w:r>
      <w:proofErr w:type="spellEnd"/>
      <w:r w:rsidRPr="00DD6014">
        <w:rPr>
          <w:i/>
          <w:sz w:val="28"/>
          <w:szCs w:val="28"/>
        </w:rPr>
        <w:t xml:space="preserve"> в дію.</w:t>
      </w:r>
    </w:p>
    <w:p w:rsidR="00F746B4" w:rsidRPr="00DD6014" w:rsidRDefault="00F746B4" w:rsidP="003C44A2">
      <w:pPr>
        <w:widowControl w:val="0"/>
        <w:ind w:firstLine="567"/>
        <w:jc w:val="both"/>
        <w:rPr>
          <w:sz w:val="28"/>
          <w:szCs w:val="28"/>
        </w:rPr>
      </w:pPr>
      <w:r w:rsidRPr="00DD6014">
        <w:rPr>
          <w:sz w:val="28"/>
          <w:szCs w:val="28"/>
        </w:rPr>
        <w:t xml:space="preserve">Для впровадження цього регуляторного </w:t>
      </w:r>
      <w:proofErr w:type="spellStart"/>
      <w:r w:rsidRPr="00DD6014">
        <w:rPr>
          <w:sz w:val="28"/>
          <w:szCs w:val="28"/>
        </w:rPr>
        <w:t>акта</w:t>
      </w:r>
      <w:proofErr w:type="spellEnd"/>
      <w:r w:rsidRPr="00DD6014">
        <w:rPr>
          <w:sz w:val="28"/>
          <w:szCs w:val="28"/>
        </w:rPr>
        <w:t xml:space="preserve"> необхідно забезпечити:</w:t>
      </w:r>
    </w:p>
    <w:p w:rsidR="00F746B4" w:rsidRPr="00DD6014" w:rsidRDefault="00F746B4" w:rsidP="003C44A2">
      <w:pPr>
        <w:widowControl w:val="0"/>
        <w:ind w:firstLine="567"/>
        <w:jc w:val="both"/>
        <w:rPr>
          <w:sz w:val="28"/>
          <w:szCs w:val="28"/>
        </w:rPr>
      </w:pPr>
      <w:r w:rsidRPr="00DD6014">
        <w:rPr>
          <w:sz w:val="28"/>
          <w:szCs w:val="28"/>
        </w:rPr>
        <w:t xml:space="preserve">інформування громадськості про вимоги регуляторного </w:t>
      </w:r>
      <w:proofErr w:type="spellStart"/>
      <w:r w:rsidRPr="00DD6014">
        <w:rPr>
          <w:sz w:val="28"/>
          <w:szCs w:val="28"/>
        </w:rPr>
        <w:t>акта</w:t>
      </w:r>
      <w:proofErr w:type="spellEnd"/>
      <w:r w:rsidRPr="00DD6014">
        <w:rPr>
          <w:sz w:val="28"/>
          <w:szCs w:val="28"/>
        </w:rPr>
        <w:t>, шляхом його оприлюднення на офіційному веб-сайті Міністерства фінансів України.</w:t>
      </w:r>
    </w:p>
    <w:p w:rsidR="00F746B4" w:rsidRPr="00DD6014" w:rsidRDefault="00F746B4" w:rsidP="003C44A2">
      <w:pPr>
        <w:widowControl w:val="0"/>
        <w:ind w:firstLine="567"/>
        <w:jc w:val="both"/>
        <w:rPr>
          <w:sz w:val="28"/>
          <w:szCs w:val="28"/>
        </w:rPr>
      </w:pPr>
      <w:r w:rsidRPr="00DD6014">
        <w:rPr>
          <w:sz w:val="28"/>
          <w:szCs w:val="28"/>
        </w:rPr>
        <w:t xml:space="preserve">погодження </w:t>
      </w:r>
      <w:proofErr w:type="spellStart"/>
      <w:r w:rsidRPr="00DD6014">
        <w:rPr>
          <w:sz w:val="28"/>
          <w:szCs w:val="28"/>
        </w:rPr>
        <w:t>проєкт</w:t>
      </w:r>
      <w:proofErr w:type="spellEnd"/>
      <w:r w:rsidRPr="00DD6014">
        <w:rPr>
          <w:sz w:val="28"/>
          <w:szCs w:val="28"/>
        </w:rPr>
        <w:t xml:space="preserve"> регуляторного </w:t>
      </w:r>
      <w:proofErr w:type="spellStart"/>
      <w:r w:rsidRPr="00DD6014">
        <w:rPr>
          <w:sz w:val="28"/>
          <w:szCs w:val="28"/>
        </w:rPr>
        <w:t>акта</w:t>
      </w:r>
      <w:proofErr w:type="spellEnd"/>
      <w:r w:rsidRPr="00DD6014">
        <w:rPr>
          <w:sz w:val="28"/>
          <w:szCs w:val="28"/>
        </w:rPr>
        <w:t xml:space="preserve"> із заінтересованими органами.</w:t>
      </w:r>
    </w:p>
    <w:p w:rsidR="00F746B4" w:rsidRPr="00DD6014" w:rsidRDefault="00F746B4" w:rsidP="003C44A2">
      <w:pPr>
        <w:widowControl w:val="0"/>
        <w:ind w:firstLine="567"/>
        <w:jc w:val="both"/>
        <w:rPr>
          <w:sz w:val="28"/>
          <w:szCs w:val="28"/>
        </w:rPr>
      </w:pPr>
      <w:r w:rsidRPr="00DD6014">
        <w:rPr>
          <w:sz w:val="28"/>
          <w:szCs w:val="28"/>
        </w:rPr>
        <w:t>організувати виконання вимог регулювання.</w:t>
      </w:r>
    </w:p>
    <w:p w:rsidR="00F746B4" w:rsidRPr="00DD6014" w:rsidRDefault="00F746B4" w:rsidP="003C44A2">
      <w:pPr>
        <w:widowControl w:val="0"/>
        <w:ind w:firstLine="567"/>
        <w:jc w:val="both"/>
        <w:rPr>
          <w:sz w:val="28"/>
          <w:szCs w:val="28"/>
        </w:rPr>
      </w:pPr>
      <w:r w:rsidRPr="00DD6014">
        <w:rPr>
          <w:sz w:val="28"/>
          <w:szCs w:val="28"/>
        </w:rPr>
        <w:t>Суб’єктам господарювання для впровадження вимог регулювання необхідно:</w:t>
      </w:r>
    </w:p>
    <w:p w:rsidR="00F746B4" w:rsidRPr="00DD6014" w:rsidRDefault="00F746B4" w:rsidP="003C44A2">
      <w:pPr>
        <w:widowControl w:val="0"/>
        <w:ind w:firstLine="567"/>
        <w:jc w:val="both"/>
        <w:rPr>
          <w:sz w:val="28"/>
          <w:szCs w:val="28"/>
        </w:rPr>
      </w:pPr>
      <w:r w:rsidRPr="00DD6014">
        <w:rPr>
          <w:sz w:val="28"/>
          <w:szCs w:val="28"/>
        </w:rPr>
        <w:t>ознайомитися з вимогами регулювання;</w:t>
      </w:r>
    </w:p>
    <w:p w:rsidR="00F746B4" w:rsidRPr="00DD6014" w:rsidRDefault="00F746B4" w:rsidP="003C44A2">
      <w:pPr>
        <w:widowControl w:val="0"/>
        <w:ind w:firstLine="567"/>
        <w:jc w:val="both"/>
        <w:rPr>
          <w:sz w:val="28"/>
          <w:szCs w:val="28"/>
        </w:rPr>
      </w:pPr>
      <w:r w:rsidRPr="00DD6014">
        <w:rPr>
          <w:sz w:val="28"/>
          <w:szCs w:val="28"/>
        </w:rPr>
        <w:t>організувати виконання вимог регулювання.</w:t>
      </w:r>
    </w:p>
    <w:p w:rsidR="00F746B4" w:rsidRPr="00DD6014" w:rsidRDefault="00F746B4" w:rsidP="003C44A2">
      <w:pPr>
        <w:widowControl w:val="0"/>
        <w:ind w:firstLine="567"/>
        <w:jc w:val="both"/>
        <w:rPr>
          <w:sz w:val="28"/>
          <w:szCs w:val="28"/>
        </w:rPr>
      </w:pPr>
      <w:r w:rsidRPr="00DD6014">
        <w:rPr>
          <w:sz w:val="28"/>
          <w:szCs w:val="28"/>
        </w:rPr>
        <w:t xml:space="preserve">Ризику впливу зовнішніх факторів на дію регуляторного </w:t>
      </w:r>
      <w:proofErr w:type="spellStart"/>
      <w:r w:rsidRPr="00DD6014">
        <w:rPr>
          <w:sz w:val="28"/>
          <w:szCs w:val="28"/>
        </w:rPr>
        <w:t>акта</w:t>
      </w:r>
      <w:proofErr w:type="spellEnd"/>
      <w:r w:rsidRPr="00DD6014">
        <w:rPr>
          <w:sz w:val="28"/>
          <w:szCs w:val="28"/>
        </w:rPr>
        <w:t xml:space="preserve"> немає.</w:t>
      </w:r>
    </w:p>
    <w:p w:rsidR="00F746B4" w:rsidRPr="00DD6014" w:rsidRDefault="00F746B4" w:rsidP="003C44A2">
      <w:pPr>
        <w:widowControl w:val="0"/>
        <w:ind w:firstLine="567"/>
        <w:jc w:val="both"/>
        <w:rPr>
          <w:sz w:val="28"/>
          <w:szCs w:val="28"/>
        </w:rPr>
      </w:pPr>
      <w:r w:rsidRPr="00DD6014">
        <w:rPr>
          <w:sz w:val="28"/>
          <w:szCs w:val="28"/>
        </w:rPr>
        <w:t xml:space="preserve">Можлива шкода у разі очікуваних наслідків дії </w:t>
      </w:r>
      <w:proofErr w:type="spellStart"/>
      <w:r w:rsidRPr="00DD6014">
        <w:rPr>
          <w:sz w:val="28"/>
          <w:szCs w:val="28"/>
        </w:rPr>
        <w:t>акта</w:t>
      </w:r>
      <w:proofErr w:type="spellEnd"/>
      <w:r w:rsidRPr="00DD6014">
        <w:rPr>
          <w:sz w:val="28"/>
          <w:szCs w:val="28"/>
        </w:rPr>
        <w:t xml:space="preserve"> не прогнозується.</w:t>
      </w:r>
    </w:p>
    <w:p w:rsidR="003C44A2" w:rsidRPr="00DD6014" w:rsidRDefault="003C44A2" w:rsidP="003C44A2">
      <w:pPr>
        <w:pBdr>
          <w:top w:val="nil"/>
          <w:left w:val="nil"/>
          <w:bottom w:val="nil"/>
          <w:right w:val="nil"/>
          <w:between w:val="nil"/>
        </w:pBdr>
        <w:jc w:val="center"/>
        <w:rPr>
          <w:b/>
          <w:sz w:val="28"/>
          <w:szCs w:val="28"/>
        </w:rPr>
      </w:pPr>
    </w:p>
    <w:p w:rsidR="00F746B4" w:rsidRPr="00DD6014" w:rsidRDefault="00F746B4" w:rsidP="003C44A2">
      <w:pPr>
        <w:pBdr>
          <w:top w:val="nil"/>
          <w:left w:val="nil"/>
          <w:bottom w:val="nil"/>
          <w:right w:val="nil"/>
          <w:between w:val="nil"/>
        </w:pBdr>
        <w:jc w:val="center"/>
        <w:rPr>
          <w:b/>
          <w:sz w:val="28"/>
          <w:szCs w:val="28"/>
        </w:rPr>
      </w:pPr>
      <w:r w:rsidRPr="00DD6014">
        <w:rPr>
          <w:b/>
          <w:sz w:val="28"/>
          <w:szCs w:val="28"/>
        </w:rPr>
        <w:t xml:space="preserve">VI. Оцінка виконання вимог регуляторного </w:t>
      </w:r>
      <w:proofErr w:type="spellStart"/>
      <w:r w:rsidRPr="00DD6014">
        <w:rPr>
          <w:b/>
          <w:sz w:val="28"/>
          <w:szCs w:val="28"/>
        </w:rPr>
        <w:t>акта</w:t>
      </w:r>
      <w:proofErr w:type="spellEnd"/>
      <w:r w:rsidRPr="00DD6014">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746B4" w:rsidRPr="00DD6014" w:rsidRDefault="00F746B4" w:rsidP="003C44A2">
      <w:pPr>
        <w:shd w:val="clear" w:color="auto" w:fill="FFFFFF"/>
        <w:ind w:firstLine="567"/>
        <w:jc w:val="both"/>
        <w:rPr>
          <w:sz w:val="28"/>
          <w:szCs w:val="28"/>
        </w:rPr>
      </w:pPr>
      <w:r w:rsidRPr="00DD6014">
        <w:rPr>
          <w:sz w:val="28"/>
          <w:szCs w:val="28"/>
        </w:rPr>
        <w:lastRenderedPageBreak/>
        <w:t xml:space="preserve">Реалізація регуляторного </w:t>
      </w:r>
      <w:proofErr w:type="spellStart"/>
      <w:r w:rsidRPr="00DD6014">
        <w:rPr>
          <w:sz w:val="28"/>
          <w:szCs w:val="28"/>
        </w:rPr>
        <w:t>акта</w:t>
      </w:r>
      <w:proofErr w:type="spellEnd"/>
      <w:r w:rsidRPr="00DD6014">
        <w:rPr>
          <w:sz w:val="28"/>
          <w:szCs w:val="28"/>
        </w:rPr>
        <w:t xml:space="preserve"> не потребуватиме додаткових витрат та ресурсів органів виконавчої влади та платників податків.</w:t>
      </w:r>
    </w:p>
    <w:p w:rsidR="00F746B4" w:rsidRPr="00DD6014" w:rsidRDefault="00F746B4" w:rsidP="003C44A2">
      <w:pPr>
        <w:shd w:val="clear" w:color="auto" w:fill="FFFFFF"/>
        <w:ind w:firstLine="567"/>
        <w:jc w:val="both"/>
        <w:rPr>
          <w:sz w:val="28"/>
          <w:szCs w:val="28"/>
        </w:rPr>
      </w:pPr>
      <w:r w:rsidRPr="00DD6014">
        <w:rPr>
          <w:sz w:val="28"/>
          <w:szCs w:val="28"/>
        </w:rPr>
        <w:t>Державне регулювання не передбачає утворення нового державного органу (або нового структурного підрозділу діючого органу).</w:t>
      </w:r>
    </w:p>
    <w:p w:rsidR="00F746B4" w:rsidRPr="00DD6014" w:rsidRDefault="00F746B4" w:rsidP="003C44A2">
      <w:pPr>
        <w:widowControl w:val="0"/>
        <w:shd w:val="clear" w:color="auto" w:fill="FFFFFF"/>
        <w:jc w:val="both"/>
        <w:rPr>
          <w:sz w:val="28"/>
          <w:szCs w:val="28"/>
        </w:rPr>
      </w:pPr>
      <w:r w:rsidRPr="00DD6014">
        <w:rPr>
          <w:sz w:val="28"/>
          <w:szCs w:val="28"/>
        </w:rPr>
        <w:t xml:space="preserve">Відповідно, розрахунок витрат на виконання вимог регуляторного </w:t>
      </w:r>
      <w:proofErr w:type="spellStart"/>
      <w:r w:rsidRPr="00DD6014">
        <w:rPr>
          <w:sz w:val="28"/>
          <w:szCs w:val="28"/>
        </w:rPr>
        <w:t>акта</w:t>
      </w:r>
      <w:proofErr w:type="spellEnd"/>
      <w:r w:rsidRPr="00DD6014">
        <w:rPr>
          <w:sz w:val="28"/>
          <w:szCs w:val="28"/>
        </w:rPr>
        <w:t xml:space="preserve"> для органів виконавчої влади в рамках асигнувань передбачених на відповідний бюджетний рік для територіальних органів ДПС. </w:t>
      </w:r>
    </w:p>
    <w:p w:rsidR="00F746B4" w:rsidRPr="00DD6014" w:rsidRDefault="00F746B4" w:rsidP="003C44A2">
      <w:pPr>
        <w:shd w:val="clear" w:color="auto" w:fill="FFFFFF"/>
        <w:ind w:firstLine="720"/>
        <w:jc w:val="both"/>
        <w:rPr>
          <w:sz w:val="28"/>
          <w:szCs w:val="28"/>
        </w:rPr>
      </w:pPr>
    </w:p>
    <w:p w:rsidR="00F746B4" w:rsidRPr="00DD6014" w:rsidRDefault="00F746B4" w:rsidP="003C44A2">
      <w:pPr>
        <w:jc w:val="center"/>
        <w:rPr>
          <w:b/>
          <w:sz w:val="28"/>
          <w:szCs w:val="28"/>
        </w:rPr>
      </w:pPr>
      <w:r w:rsidRPr="00DD6014">
        <w:rPr>
          <w:b/>
          <w:sz w:val="28"/>
          <w:szCs w:val="28"/>
        </w:rPr>
        <w:t>Бюджетні витрати на адміністрування регулювання суб’єктів малого підприємництва</w:t>
      </w:r>
    </w:p>
    <w:p w:rsidR="00F746B4" w:rsidRPr="00DD6014" w:rsidRDefault="00F746B4" w:rsidP="003C44A2">
      <w:pPr>
        <w:ind w:firstLine="567"/>
        <w:jc w:val="both"/>
        <w:rPr>
          <w:sz w:val="28"/>
          <w:szCs w:val="28"/>
        </w:rPr>
      </w:pPr>
      <w:r w:rsidRPr="00DD6014">
        <w:rPr>
          <w:sz w:val="28"/>
          <w:szCs w:val="28"/>
        </w:rPr>
        <w:t>Державний орган, для якого здійснюється розрахунок вартості адміністрування регулювання: Державна податкова служба України.</w:t>
      </w:r>
    </w:p>
    <w:p w:rsidR="00F746B4" w:rsidRPr="00DD6014" w:rsidRDefault="00F746B4" w:rsidP="003C44A2">
      <w:pPr>
        <w:jc w:val="both"/>
        <w:rPr>
          <w:sz w:val="28"/>
          <w:szCs w:val="28"/>
        </w:rPr>
      </w:pPr>
    </w:p>
    <w:tbl>
      <w:tblPr>
        <w:tblStyle w:val="af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4"/>
        <w:gridCol w:w="919"/>
        <w:gridCol w:w="1383"/>
        <w:gridCol w:w="1064"/>
        <w:gridCol w:w="1136"/>
        <w:gridCol w:w="1378"/>
      </w:tblGrid>
      <w:tr w:rsidR="00DD6014" w:rsidRPr="00DD6014" w:rsidTr="003C44A2">
        <w:trPr>
          <w:cantSplit/>
          <w:trHeight w:val="3248"/>
        </w:trPr>
        <w:tc>
          <w:tcPr>
            <w:tcW w:w="3754" w:type="dxa"/>
          </w:tcPr>
          <w:p w:rsidR="00F746B4" w:rsidRPr="00DD6014" w:rsidRDefault="00F746B4" w:rsidP="003C44A2">
            <w:pPr>
              <w:jc w:val="both"/>
              <w:rPr>
                <w:sz w:val="28"/>
                <w:szCs w:val="28"/>
              </w:rPr>
            </w:pPr>
            <w:r w:rsidRPr="00DD6014">
              <w:rPr>
                <w:sz w:val="28"/>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w:t>
            </w:r>
            <w:r w:rsidR="008D5C0E" w:rsidRPr="00DD6014">
              <w:rPr>
                <w:sz w:val="28"/>
                <w:szCs w:val="28"/>
              </w:rPr>
              <w:t xml:space="preserve">о для суб’єктів малого та </w:t>
            </w:r>
            <w:proofErr w:type="spellStart"/>
            <w:r w:rsidR="008D5C0E" w:rsidRPr="00DD6014">
              <w:rPr>
                <w:sz w:val="28"/>
                <w:szCs w:val="28"/>
              </w:rPr>
              <w:t>мікро</w:t>
            </w:r>
            <w:r w:rsidRPr="00DD6014">
              <w:rPr>
                <w:sz w:val="28"/>
                <w:szCs w:val="28"/>
              </w:rPr>
              <w:t>підприємництв</w:t>
            </w:r>
            <w:proofErr w:type="spellEnd"/>
            <w:r w:rsidRPr="00DD6014">
              <w:rPr>
                <w:sz w:val="28"/>
                <w:szCs w:val="28"/>
              </w:rPr>
              <w:t>)</w:t>
            </w:r>
          </w:p>
        </w:tc>
        <w:tc>
          <w:tcPr>
            <w:tcW w:w="919" w:type="dxa"/>
          </w:tcPr>
          <w:p w:rsidR="00F746B4" w:rsidRPr="00DD6014" w:rsidRDefault="00F746B4" w:rsidP="003C44A2">
            <w:pPr>
              <w:jc w:val="both"/>
              <w:rPr>
                <w:spacing w:val="-8"/>
                <w:sz w:val="26"/>
                <w:szCs w:val="26"/>
              </w:rPr>
            </w:pPr>
            <w:r w:rsidRPr="00DD6014">
              <w:rPr>
                <w:spacing w:val="-8"/>
                <w:sz w:val="26"/>
                <w:szCs w:val="26"/>
              </w:rPr>
              <w:t>Планові витрати часу на процедуру</w:t>
            </w:r>
          </w:p>
        </w:tc>
        <w:tc>
          <w:tcPr>
            <w:tcW w:w="1383" w:type="dxa"/>
          </w:tcPr>
          <w:p w:rsidR="00F746B4" w:rsidRPr="00DD6014" w:rsidRDefault="00F746B4" w:rsidP="003C44A2">
            <w:pPr>
              <w:jc w:val="both"/>
              <w:rPr>
                <w:spacing w:val="-10"/>
                <w:sz w:val="26"/>
                <w:szCs w:val="26"/>
              </w:rPr>
            </w:pPr>
            <w:r w:rsidRPr="00DD6014">
              <w:rPr>
                <w:spacing w:val="-10"/>
                <w:sz w:val="26"/>
                <w:szCs w:val="26"/>
              </w:rPr>
              <w:t xml:space="preserve">Вартість часу </w:t>
            </w:r>
            <w:proofErr w:type="spellStart"/>
            <w:r w:rsidRPr="00DD6014">
              <w:rPr>
                <w:spacing w:val="-10"/>
                <w:sz w:val="26"/>
                <w:szCs w:val="26"/>
              </w:rPr>
              <w:t>співробіт-ника</w:t>
            </w:r>
            <w:proofErr w:type="spellEnd"/>
            <w:r w:rsidRPr="00DD6014">
              <w:rPr>
                <w:spacing w:val="-10"/>
                <w:sz w:val="26"/>
                <w:szCs w:val="26"/>
              </w:rPr>
              <w:t xml:space="preserve"> органу державної влади відповідної категорії (заробітна плата)</w:t>
            </w:r>
          </w:p>
        </w:tc>
        <w:tc>
          <w:tcPr>
            <w:tcW w:w="1064" w:type="dxa"/>
          </w:tcPr>
          <w:p w:rsidR="00F746B4" w:rsidRPr="00DD6014" w:rsidRDefault="00F746B4" w:rsidP="003C44A2">
            <w:pPr>
              <w:jc w:val="both"/>
              <w:rPr>
                <w:spacing w:val="-8"/>
                <w:sz w:val="26"/>
                <w:szCs w:val="26"/>
              </w:rPr>
            </w:pPr>
            <w:r w:rsidRPr="00DD6014">
              <w:rPr>
                <w:spacing w:val="-8"/>
                <w:sz w:val="26"/>
                <w:szCs w:val="26"/>
              </w:rPr>
              <w:t xml:space="preserve">Оцінка кількості процедур за рік, що </w:t>
            </w:r>
            <w:proofErr w:type="spellStart"/>
            <w:r w:rsidRPr="00DD6014">
              <w:rPr>
                <w:spacing w:val="-8"/>
                <w:sz w:val="26"/>
                <w:szCs w:val="26"/>
              </w:rPr>
              <w:t>припада-ють</w:t>
            </w:r>
            <w:proofErr w:type="spellEnd"/>
            <w:r w:rsidRPr="00DD6014">
              <w:rPr>
                <w:spacing w:val="-8"/>
                <w:sz w:val="26"/>
                <w:szCs w:val="26"/>
              </w:rPr>
              <w:t xml:space="preserve"> на одного суб’єкта</w:t>
            </w:r>
          </w:p>
        </w:tc>
        <w:tc>
          <w:tcPr>
            <w:tcW w:w="1136" w:type="dxa"/>
          </w:tcPr>
          <w:p w:rsidR="00F746B4" w:rsidRPr="00DD6014" w:rsidRDefault="00F746B4" w:rsidP="003C44A2">
            <w:pPr>
              <w:jc w:val="both"/>
              <w:rPr>
                <w:spacing w:val="-14"/>
                <w:sz w:val="26"/>
                <w:szCs w:val="26"/>
              </w:rPr>
            </w:pPr>
            <w:r w:rsidRPr="00DD6014">
              <w:rPr>
                <w:spacing w:val="-16"/>
                <w:sz w:val="26"/>
                <w:szCs w:val="26"/>
              </w:rPr>
              <w:t xml:space="preserve">Оцінка </w:t>
            </w:r>
            <w:proofErr w:type="spellStart"/>
            <w:r w:rsidRPr="00DD6014">
              <w:rPr>
                <w:spacing w:val="-16"/>
                <w:sz w:val="26"/>
                <w:szCs w:val="26"/>
              </w:rPr>
              <w:t>кількостісуб’єктів</w:t>
            </w:r>
            <w:proofErr w:type="spellEnd"/>
            <w:r w:rsidRPr="00DD6014">
              <w:rPr>
                <w:spacing w:val="-16"/>
                <w:sz w:val="26"/>
                <w:szCs w:val="26"/>
              </w:rPr>
              <w:t>,</w:t>
            </w:r>
            <w:r w:rsidRPr="00DD6014">
              <w:rPr>
                <w:spacing w:val="-14"/>
                <w:sz w:val="26"/>
                <w:szCs w:val="26"/>
              </w:rPr>
              <w:t xml:space="preserve"> що </w:t>
            </w:r>
            <w:proofErr w:type="spellStart"/>
            <w:r w:rsidRPr="00DD6014">
              <w:rPr>
                <w:spacing w:val="-14"/>
                <w:sz w:val="26"/>
                <w:szCs w:val="26"/>
              </w:rPr>
              <w:t>підпада-ють</w:t>
            </w:r>
            <w:proofErr w:type="spellEnd"/>
            <w:r w:rsidRPr="00DD6014">
              <w:rPr>
                <w:spacing w:val="-14"/>
                <w:sz w:val="26"/>
                <w:szCs w:val="26"/>
              </w:rPr>
              <w:t xml:space="preserve"> під дію </w:t>
            </w:r>
            <w:proofErr w:type="spellStart"/>
            <w:r w:rsidRPr="00DD6014">
              <w:rPr>
                <w:spacing w:val="-14"/>
                <w:sz w:val="26"/>
                <w:szCs w:val="26"/>
              </w:rPr>
              <w:t>процеду-ри</w:t>
            </w:r>
            <w:proofErr w:type="spellEnd"/>
            <w:r w:rsidRPr="00DD6014">
              <w:rPr>
                <w:spacing w:val="-14"/>
                <w:sz w:val="26"/>
                <w:szCs w:val="26"/>
              </w:rPr>
              <w:t xml:space="preserve"> </w:t>
            </w:r>
            <w:proofErr w:type="spellStart"/>
            <w:r w:rsidRPr="00DD6014">
              <w:rPr>
                <w:spacing w:val="-14"/>
                <w:sz w:val="26"/>
                <w:szCs w:val="26"/>
              </w:rPr>
              <w:t>регулю-вання</w:t>
            </w:r>
            <w:proofErr w:type="spellEnd"/>
          </w:p>
        </w:tc>
        <w:tc>
          <w:tcPr>
            <w:tcW w:w="1378" w:type="dxa"/>
          </w:tcPr>
          <w:p w:rsidR="00F746B4" w:rsidRPr="00DD6014" w:rsidRDefault="00F746B4" w:rsidP="003C44A2">
            <w:pPr>
              <w:jc w:val="both"/>
              <w:rPr>
                <w:spacing w:val="-8"/>
                <w:sz w:val="26"/>
                <w:szCs w:val="26"/>
              </w:rPr>
            </w:pPr>
            <w:r w:rsidRPr="00DD6014">
              <w:rPr>
                <w:spacing w:val="-8"/>
                <w:sz w:val="26"/>
                <w:szCs w:val="26"/>
              </w:rPr>
              <w:t xml:space="preserve">Витрати на </w:t>
            </w:r>
            <w:proofErr w:type="spellStart"/>
            <w:r w:rsidRPr="00DD6014">
              <w:rPr>
                <w:spacing w:val="-8"/>
                <w:sz w:val="26"/>
                <w:szCs w:val="26"/>
              </w:rPr>
              <w:t>адміністру-вання</w:t>
            </w:r>
            <w:proofErr w:type="spellEnd"/>
            <w:r w:rsidRPr="00DD6014">
              <w:rPr>
                <w:spacing w:val="-8"/>
                <w:sz w:val="26"/>
                <w:szCs w:val="26"/>
              </w:rPr>
              <w:t xml:space="preserve"> </w:t>
            </w:r>
            <w:proofErr w:type="spellStart"/>
            <w:r w:rsidRPr="00DD6014">
              <w:rPr>
                <w:spacing w:val="-8"/>
                <w:sz w:val="26"/>
                <w:szCs w:val="26"/>
              </w:rPr>
              <w:t>регулюва-ння</w:t>
            </w:r>
            <w:proofErr w:type="spellEnd"/>
            <w:r w:rsidRPr="00DD6014">
              <w:rPr>
                <w:spacing w:val="-8"/>
                <w:sz w:val="26"/>
                <w:szCs w:val="26"/>
              </w:rPr>
              <w:t>* (за рік), гривень</w:t>
            </w:r>
          </w:p>
        </w:tc>
      </w:tr>
      <w:tr w:rsidR="00DD6014" w:rsidRPr="00DD6014" w:rsidTr="003C44A2">
        <w:trPr>
          <w:trHeight w:val="517"/>
        </w:trPr>
        <w:tc>
          <w:tcPr>
            <w:tcW w:w="3754" w:type="dxa"/>
          </w:tcPr>
          <w:p w:rsidR="00F746B4" w:rsidRPr="00DD6014" w:rsidRDefault="00F746B4" w:rsidP="003C44A2">
            <w:pPr>
              <w:jc w:val="both"/>
              <w:rPr>
                <w:sz w:val="28"/>
                <w:szCs w:val="28"/>
              </w:rPr>
            </w:pPr>
            <w:r w:rsidRPr="00DD6014">
              <w:rPr>
                <w:sz w:val="28"/>
                <w:szCs w:val="28"/>
              </w:rPr>
              <w:t xml:space="preserve">1. Розгляд документів та письмових пояснення стосовно підтвердження інформації, зазначеної у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розрахунку коригування в Реєстрі працівником ДПС, гривень </w:t>
            </w:r>
          </w:p>
        </w:tc>
        <w:tc>
          <w:tcPr>
            <w:tcW w:w="919" w:type="dxa"/>
          </w:tcPr>
          <w:p w:rsidR="00F746B4" w:rsidRPr="00DD6014" w:rsidRDefault="00F746B4" w:rsidP="003C44A2">
            <w:pPr>
              <w:jc w:val="both"/>
              <w:rPr>
                <w:sz w:val="28"/>
                <w:szCs w:val="28"/>
              </w:rPr>
            </w:pPr>
            <w:r w:rsidRPr="00DD6014">
              <w:rPr>
                <w:sz w:val="28"/>
                <w:szCs w:val="28"/>
              </w:rPr>
              <w:t>0,5</w:t>
            </w:r>
          </w:p>
        </w:tc>
        <w:tc>
          <w:tcPr>
            <w:tcW w:w="1383" w:type="dxa"/>
          </w:tcPr>
          <w:p w:rsidR="00F746B4" w:rsidRPr="00DD6014" w:rsidRDefault="00F746B4" w:rsidP="003C44A2">
            <w:pPr>
              <w:jc w:val="both"/>
              <w:rPr>
                <w:sz w:val="28"/>
                <w:szCs w:val="28"/>
              </w:rPr>
            </w:pPr>
            <w:r w:rsidRPr="00DD6014">
              <w:rPr>
                <w:sz w:val="28"/>
                <w:szCs w:val="28"/>
              </w:rPr>
              <w:t>40,46</w:t>
            </w:r>
          </w:p>
        </w:tc>
        <w:tc>
          <w:tcPr>
            <w:tcW w:w="1064" w:type="dxa"/>
          </w:tcPr>
          <w:p w:rsidR="00F746B4" w:rsidRPr="00DD6014" w:rsidRDefault="00F746B4" w:rsidP="003C44A2">
            <w:pPr>
              <w:jc w:val="both"/>
              <w:rPr>
                <w:sz w:val="28"/>
                <w:szCs w:val="28"/>
              </w:rPr>
            </w:pPr>
            <w:r w:rsidRPr="00DD6014">
              <w:rPr>
                <w:sz w:val="28"/>
                <w:szCs w:val="28"/>
              </w:rPr>
              <w:t>100</w:t>
            </w:r>
          </w:p>
        </w:tc>
        <w:tc>
          <w:tcPr>
            <w:tcW w:w="1136" w:type="dxa"/>
          </w:tcPr>
          <w:p w:rsidR="00F746B4" w:rsidRPr="00DD6014" w:rsidRDefault="004C27C0" w:rsidP="003C44A2">
            <w:pPr>
              <w:jc w:val="both"/>
              <w:rPr>
                <w:sz w:val="28"/>
                <w:szCs w:val="28"/>
              </w:rPr>
            </w:pPr>
            <w:r w:rsidRPr="00DD6014">
              <w:rPr>
                <w:sz w:val="28"/>
                <w:szCs w:val="28"/>
              </w:rPr>
              <w:t>21 928</w:t>
            </w:r>
          </w:p>
        </w:tc>
        <w:tc>
          <w:tcPr>
            <w:tcW w:w="1378" w:type="dxa"/>
          </w:tcPr>
          <w:p w:rsidR="00E61380" w:rsidRPr="00DD6014" w:rsidRDefault="00F746B4" w:rsidP="003C44A2">
            <w:pPr>
              <w:jc w:val="both"/>
              <w:rPr>
                <w:sz w:val="28"/>
                <w:szCs w:val="28"/>
              </w:rPr>
            </w:pPr>
            <w:r w:rsidRPr="00DD6014">
              <w:rPr>
                <w:sz w:val="28"/>
                <w:szCs w:val="28"/>
              </w:rPr>
              <w:t>0,5*40,46 *</w:t>
            </w:r>
            <w:r w:rsidR="00E61380" w:rsidRPr="00DD6014">
              <w:rPr>
                <w:sz w:val="28"/>
                <w:szCs w:val="28"/>
              </w:rPr>
              <w:t>100</w:t>
            </w:r>
            <w:r w:rsidRPr="00DD6014">
              <w:rPr>
                <w:sz w:val="28"/>
                <w:szCs w:val="28"/>
              </w:rPr>
              <w:t>*</w:t>
            </w:r>
          </w:p>
          <w:p w:rsidR="00F746B4" w:rsidRPr="00DD6014" w:rsidRDefault="00E61380" w:rsidP="003C44A2">
            <w:pPr>
              <w:jc w:val="both"/>
              <w:rPr>
                <w:sz w:val="28"/>
                <w:szCs w:val="28"/>
              </w:rPr>
            </w:pPr>
            <w:r w:rsidRPr="00DD6014">
              <w:rPr>
                <w:sz w:val="28"/>
                <w:szCs w:val="28"/>
              </w:rPr>
              <w:t>21 928</w:t>
            </w:r>
            <w:r w:rsidR="00F746B4" w:rsidRPr="00DD6014">
              <w:rPr>
                <w:sz w:val="28"/>
                <w:szCs w:val="28"/>
              </w:rPr>
              <w:t>=</w:t>
            </w:r>
            <w:r w:rsidRPr="00DD6014">
              <w:rPr>
                <w:sz w:val="28"/>
                <w:szCs w:val="28"/>
              </w:rPr>
              <w:t>89 817 088,00</w:t>
            </w:r>
          </w:p>
        </w:tc>
      </w:tr>
    </w:tbl>
    <w:p w:rsidR="00F746B4" w:rsidRPr="00DD6014" w:rsidRDefault="00F746B4" w:rsidP="003C44A2">
      <w:pPr>
        <w:ind w:firstLine="567"/>
        <w:jc w:val="both"/>
        <w:rPr>
          <w:sz w:val="28"/>
          <w:szCs w:val="28"/>
        </w:rPr>
      </w:pPr>
      <w:r w:rsidRPr="00DD6014">
        <w:rPr>
          <w:sz w:val="28"/>
          <w:szCs w:val="28"/>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F746B4" w:rsidRPr="00DD6014" w:rsidRDefault="00F746B4" w:rsidP="003C44A2">
      <w:pPr>
        <w:ind w:firstLine="567"/>
        <w:jc w:val="both"/>
        <w:rPr>
          <w:sz w:val="28"/>
          <w:szCs w:val="28"/>
        </w:rPr>
      </w:pPr>
      <w:r w:rsidRPr="00DD6014">
        <w:rPr>
          <w:sz w:val="28"/>
          <w:szCs w:val="28"/>
        </w:rPr>
        <w:lastRenderedPageBreak/>
        <w:t>Державне регулювання не передбачає утворення нового державного органу (або нового структурного підрозділу діючого органу).</w:t>
      </w:r>
    </w:p>
    <w:p w:rsidR="00F746B4" w:rsidRPr="00DD6014" w:rsidRDefault="00F746B4" w:rsidP="003C44A2">
      <w:pPr>
        <w:widowControl w:val="0"/>
        <w:pBdr>
          <w:top w:val="nil"/>
          <w:left w:val="nil"/>
          <w:bottom w:val="nil"/>
          <w:right w:val="nil"/>
          <w:between w:val="nil"/>
        </w:pBdr>
        <w:ind w:firstLine="567"/>
        <w:jc w:val="both"/>
        <w:rPr>
          <w:sz w:val="28"/>
          <w:szCs w:val="28"/>
        </w:rPr>
      </w:pPr>
      <w:r w:rsidRPr="00DD6014">
        <w:rPr>
          <w:sz w:val="28"/>
          <w:szCs w:val="28"/>
        </w:rPr>
        <w:t>Розрахунок вартості 1 людино-години:</w:t>
      </w:r>
    </w:p>
    <w:p w:rsidR="0054012A" w:rsidRPr="00DD6014" w:rsidRDefault="00F746B4" w:rsidP="003C44A2">
      <w:pPr>
        <w:widowControl w:val="0"/>
        <w:pBdr>
          <w:top w:val="nil"/>
          <w:left w:val="nil"/>
          <w:bottom w:val="nil"/>
          <w:right w:val="nil"/>
          <w:between w:val="nil"/>
        </w:pBdr>
        <w:ind w:firstLine="567"/>
        <w:jc w:val="both"/>
        <w:rPr>
          <w:sz w:val="28"/>
          <w:szCs w:val="28"/>
        </w:rPr>
      </w:pPr>
      <w:r w:rsidRPr="00DD6014">
        <w:rPr>
          <w:sz w:val="28"/>
          <w:szCs w:val="28"/>
        </w:rPr>
        <w:t>Норма робочого часу на 2023 рік становить при 40-годинному робочому тижні</w:t>
      </w:r>
      <w:r w:rsidR="00FF2809" w:rsidRPr="00DD6014">
        <w:rPr>
          <w:sz w:val="28"/>
          <w:szCs w:val="28"/>
        </w:rPr>
        <w:t xml:space="preserve"> </w:t>
      </w:r>
      <w:r w:rsidRPr="00DD6014">
        <w:rPr>
          <w:sz w:val="28"/>
          <w:szCs w:val="28"/>
        </w:rPr>
        <w:t>–</w:t>
      </w:r>
      <w:r w:rsidR="00FF2809" w:rsidRPr="00DD6014">
        <w:rPr>
          <w:sz w:val="28"/>
          <w:szCs w:val="28"/>
        </w:rPr>
        <w:t xml:space="preserve"> </w:t>
      </w:r>
      <w:r w:rsidRPr="00DD6014">
        <w:rPr>
          <w:sz w:val="28"/>
          <w:szCs w:val="28"/>
        </w:rPr>
        <w:t>2080 години (</w:t>
      </w:r>
      <w:r w:rsidR="00E61380" w:rsidRPr="00DD6014">
        <w:rPr>
          <w:sz w:val="28"/>
          <w:szCs w:val="28"/>
        </w:rPr>
        <w:t xml:space="preserve">у період дії воєнного стану в Україні не застосовуються норми законодавства про працю у частині відносин, врегульованих Законом України  «Про організацію трудових відносин в умовах воєнного стану» </w:t>
      </w:r>
      <w:r w:rsidR="00C30CF6" w:rsidRPr="00DD6014">
        <w:rPr>
          <w:sz w:val="28"/>
          <w:szCs w:val="28"/>
        </w:rPr>
        <w:br/>
      </w:r>
      <w:r w:rsidR="00E61380" w:rsidRPr="00DD6014">
        <w:rPr>
          <w:sz w:val="28"/>
          <w:szCs w:val="28"/>
        </w:rPr>
        <w:t>від 15.03.2022 № 2136 (далі — Закон № 2136), яким визначено особливості трудових відносин у період дії воєнного стану, введеного відповідно до Закону України «Про правовий режим в</w:t>
      </w:r>
      <w:r w:rsidR="00C30CF6" w:rsidRPr="00DD6014">
        <w:rPr>
          <w:sz w:val="28"/>
          <w:szCs w:val="28"/>
        </w:rPr>
        <w:t xml:space="preserve">оєнного стану» від 12.05.2015 </w:t>
      </w:r>
      <w:r w:rsidR="00E61380" w:rsidRPr="00DD6014">
        <w:rPr>
          <w:sz w:val="28"/>
          <w:szCs w:val="28"/>
        </w:rPr>
        <w:t xml:space="preserve"> № 389. На період дії воєнного стану норми Законом № 2136 мають пріоритет над Кодексом законів про працю України. Згідно із положенн</w:t>
      </w:r>
      <w:r w:rsidR="0054012A" w:rsidRPr="00DD6014">
        <w:rPr>
          <w:sz w:val="28"/>
          <w:szCs w:val="28"/>
        </w:rPr>
        <w:t>я</w:t>
      </w:r>
      <w:r w:rsidR="00C30CF6" w:rsidRPr="00DD6014">
        <w:rPr>
          <w:sz w:val="28"/>
          <w:szCs w:val="28"/>
        </w:rPr>
        <w:t>ми частини 6</w:t>
      </w:r>
      <w:r w:rsidR="00E61380" w:rsidRPr="00DD6014">
        <w:rPr>
          <w:sz w:val="28"/>
          <w:szCs w:val="28"/>
        </w:rPr>
        <w:t xml:space="preserve"> статті 6 Закону </w:t>
      </w:r>
      <w:r w:rsidR="00C30CF6" w:rsidRPr="00DD6014">
        <w:rPr>
          <w:sz w:val="28"/>
          <w:szCs w:val="28"/>
        </w:rPr>
        <w:br/>
      </w:r>
      <w:r w:rsidR="00E61380" w:rsidRPr="00DD6014">
        <w:rPr>
          <w:sz w:val="28"/>
          <w:szCs w:val="28"/>
        </w:rPr>
        <w:t xml:space="preserve">№ 2136 на період дії воєнного стану не застосовуються норми  ст. 53 (тривалість роботи напередодні святкових, неробочих і вихідних днів), </w:t>
      </w:r>
      <w:proofErr w:type="spellStart"/>
      <w:r w:rsidR="00E61380" w:rsidRPr="00DD6014">
        <w:rPr>
          <w:sz w:val="28"/>
          <w:szCs w:val="28"/>
        </w:rPr>
        <w:t>ч.ч</w:t>
      </w:r>
      <w:proofErr w:type="spellEnd"/>
      <w:r w:rsidR="00E61380" w:rsidRPr="00DD6014">
        <w:rPr>
          <w:sz w:val="28"/>
          <w:szCs w:val="28"/>
        </w:rPr>
        <w:t xml:space="preserve">. 3 – 5 ст. 67 (перенесення вихідного дня, що збігається зі святковим чи неробочим днем), </w:t>
      </w:r>
      <w:r w:rsidR="00C30CF6" w:rsidRPr="00DD6014">
        <w:rPr>
          <w:sz w:val="28"/>
          <w:szCs w:val="28"/>
        </w:rPr>
        <w:br/>
      </w:r>
      <w:proofErr w:type="spellStart"/>
      <w:r w:rsidR="00C30CF6" w:rsidRPr="00DD6014">
        <w:rPr>
          <w:sz w:val="28"/>
          <w:szCs w:val="28"/>
        </w:rPr>
        <w:t>ст.</w:t>
      </w:r>
      <w:r w:rsidR="00E61380" w:rsidRPr="00DD6014">
        <w:rPr>
          <w:sz w:val="28"/>
          <w:szCs w:val="28"/>
        </w:rPr>
        <w:t>ст</w:t>
      </w:r>
      <w:proofErr w:type="spellEnd"/>
      <w:r w:rsidR="00E61380" w:rsidRPr="00DD6014">
        <w:rPr>
          <w:sz w:val="28"/>
          <w:szCs w:val="28"/>
        </w:rPr>
        <w:t>. 71 – 73</w:t>
      </w:r>
      <w:r w:rsidR="0054012A" w:rsidRPr="00DD6014">
        <w:rPr>
          <w:sz w:val="28"/>
          <w:szCs w:val="28"/>
        </w:rPr>
        <w:t xml:space="preserve"> (святкові і неробочі дні) Кодексу законів про працю України</w:t>
      </w:r>
      <w:r w:rsidR="00E61380" w:rsidRPr="00DD6014">
        <w:rPr>
          <w:sz w:val="28"/>
          <w:szCs w:val="28"/>
        </w:rPr>
        <w:t>.</w:t>
      </w:r>
    </w:p>
    <w:p w:rsidR="00F746B4" w:rsidRPr="00DD6014" w:rsidRDefault="0054012A" w:rsidP="003C44A2">
      <w:pPr>
        <w:widowControl w:val="0"/>
        <w:pBdr>
          <w:top w:val="nil"/>
          <w:left w:val="nil"/>
          <w:bottom w:val="nil"/>
          <w:right w:val="nil"/>
          <w:between w:val="nil"/>
        </w:pBdr>
        <w:ind w:firstLine="567"/>
        <w:jc w:val="both"/>
        <w:rPr>
          <w:sz w:val="28"/>
          <w:szCs w:val="28"/>
        </w:rPr>
      </w:pPr>
      <w:r w:rsidRPr="00DD6014">
        <w:rPr>
          <w:sz w:val="28"/>
          <w:szCs w:val="28"/>
        </w:rPr>
        <w:t>З урахуванням положень Закону № 2136, за умови, що воєнний стан триватиме протягом усього 2023 року, норма робочого часу  на 2023 рік при п’ятиденному робочому тижні із двома вихідними днями в суботу та неділю, при 40-годинному робочому тижні, без врахування святкових і неробочих днів, без скорочення тривалості роботи напередодні святкових і неробочих днів, без перенесення вихідних і робочих днів.</w:t>
      </w:r>
      <w:r w:rsidR="00F746B4" w:rsidRPr="00DD6014">
        <w:rPr>
          <w:sz w:val="28"/>
          <w:szCs w:val="28"/>
        </w:rPr>
        <w:t>).</w:t>
      </w:r>
    </w:p>
    <w:p w:rsidR="00F746B4" w:rsidRPr="00DD6014" w:rsidRDefault="00F746B4" w:rsidP="003C44A2">
      <w:pPr>
        <w:widowControl w:val="0"/>
        <w:pBdr>
          <w:top w:val="nil"/>
          <w:left w:val="nil"/>
          <w:bottom w:val="nil"/>
          <w:right w:val="nil"/>
          <w:between w:val="nil"/>
        </w:pBdr>
        <w:ind w:firstLine="567"/>
        <w:jc w:val="both"/>
        <w:rPr>
          <w:sz w:val="28"/>
          <w:szCs w:val="28"/>
        </w:rPr>
      </w:pPr>
      <w:r w:rsidRPr="00DD6014">
        <w:rPr>
          <w:sz w:val="28"/>
          <w:szCs w:val="28"/>
        </w:rPr>
        <w:t xml:space="preserve">Використовується посадовий оклад головного спеціаліста </w:t>
      </w:r>
      <w:r w:rsidR="00FF2809" w:rsidRPr="00DD6014">
        <w:rPr>
          <w:sz w:val="28"/>
          <w:szCs w:val="28"/>
        </w:rPr>
        <w:t>державного органу, юрисдикція яких поширюється на територію одного або кількох районів, районів у містах, міст обласного значення</w:t>
      </w:r>
      <w:r w:rsidRPr="00DD6014">
        <w:rPr>
          <w:sz w:val="28"/>
          <w:szCs w:val="28"/>
        </w:rPr>
        <w:t>, згідно Закону України «Про Державний бюджет України на 202</w:t>
      </w:r>
      <w:r w:rsidR="00FF2809" w:rsidRPr="00DD6014">
        <w:rPr>
          <w:sz w:val="28"/>
          <w:szCs w:val="28"/>
        </w:rPr>
        <w:t>3</w:t>
      </w:r>
      <w:r w:rsidRPr="00DD6014">
        <w:rPr>
          <w:sz w:val="28"/>
          <w:szCs w:val="28"/>
        </w:rPr>
        <w:t xml:space="preserve"> рік» та постанови Кабінету Міністрів України  від 18.01.2017  № 15 «Питання оплати праці працівників державних органів»</w:t>
      </w:r>
      <w:r w:rsidR="00C30CF6" w:rsidRPr="00DD6014">
        <w:rPr>
          <w:sz w:val="28"/>
          <w:szCs w:val="28"/>
        </w:rPr>
        <w:t>,</w:t>
      </w:r>
      <w:r w:rsidRPr="00DD6014">
        <w:rPr>
          <w:sz w:val="28"/>
          <w:szCs w:val="28"/>
        </w:rPr>
        <w:t xml:space="preserve"> зі змінами, внесеними постановою Кабінету Міністрів України </w:t>
      </w:r>
      <w:r w:rsidR="00C30CF6" w:rsidRPr="00DD6014">
        <w:rPr>
          <w:sz w:val="28"/>
          <w:szCs w:val="28"/>
        </w:rPr>
        <w:br/>
      </w:r>
      <w:r w:rsidRPr="00DD6014">
        <w:rPr>
          <w:sz w:val="28"/>
          <w:szCs w:val="28"/>
        </w:rPr>
        <w:t xml:space="preserve">від </w:t>
      </w:r>
      <w:r w:rsidR="00FF2809" w:rsidRPr="00DD6014">
        <w:rPr>
          <w:sz w:val="28"/>
          <w:szCs w:val="28"/>
        </w:rPr>
        <w:t>06.01.2023 № 32</w:t>
      </w:r>
      <w:r w:rsidRPr="00DD6014">
        <w:rPr>
          <w:sz w:val="28"/>
          <w:szCs w:val="28"/>
        </w:rPr>
        <w:t>, та</w:t>
      </w:r>
      <w:r w:rsidR="00C30CF6" w:rsidRPr="00DD6014">
        <w:rPr>
          <w:sz w:val="28"/>
          <w:szCs w:val="28"/>
        </w:rPr>
        <w:t xml:space="preserve"> який</w:t>
      </w:r>
      <w:r w:rsidR="00FF2809" w:rsidRPr="00DD6014">
        <w:rPr>
          <w:sz w:val="28"/>
          <w:szCs w:val="28"/>
        </w:rPr>
        <w:t xml:space="preserve"> від</w:t>
      </w:r>
      <w:r w:rsidR="00C30CF6" w:rsidRPr="00DD6014">
        <w:rPr>
          <w:sz w:val="28"/>
          <w:szCs w:val="28"/>
        </w:rPr>
        <w:t>повідно</w:t>
      </w:r>
      <w:r w:rsidR="00FF2809" w:rsidRPr="00DD6014">
        <w:rPr>
          <w:sz w:val="28"/>
          <w:szCs w:val="28"/>
        </w:rPr>
        <w:t xml:space="preserve"> на 01.01.2023</w:t>
      </w:r>
      <w:r w:rsidRPr="00DD6014">
        <w:rPr>
          <w:sz w:val="28"/>
          <w:szCs w:val="28"/>
        </w:rPr>
        <w:t xml:space="preserve">  становить: 6 </w:t>
      </w:r>
      <w:r w:rsidR="00FF2809" w:rsidRPr="00DD6014">
        <w:rPr>
          <w:sz w:val="28"/>
          <w:szCs w:val="28"/>
        </w:rPr>
        <w:t>7</w:t>
      </w:r>
      <w:r w:rsidRPr="00DD6014">
        <w:rPr>
          <w:sz w:val="28"/>
          <w:szCs w:val="28"/>
        </w:rPr>
        <w:t xml:space="preserve">00 грн – місячна оплата, за рік –  </w:t>
      </w:r>
      <w:r w:rsidR="00FF2809" w:rsidRPr="00DD6014">
        <w:rPr>
          <w:sz w:val="28"/>
          <w:szCs w:val="28"/>
        </w:rPr>
        <w:t>80 400</w:t>
      </w:r>
      <w:r w:rsidRPr="00DD6014">
        <w:rPr>
          <w:sz w:val="28"/>
          <w:szCs w:val="28"/>
        </w:rPr>
        <w:t xml:space="preserve"> грн  та 40,46 грн у погодинному розмірі.</w:t>
      </w:r>
    </w:p>
    <w:p w:rsidR="00F746B4" w:rsidRPr="00DD6014" w:rsidRDefault="00F746B4" w:rsidP="003C44A2">
      <w:pPr>
        <w:widowControl w:val="0"/>
        <w:pBdr>
          <w:top w:val="nil"/>
          <w:left w:val="nil"/>
          <w:bottom w:val="nil"/>
          <w:right w:val="nil"/>
          <w:between w:val="nil"/>
        </w:pBdr>
        <w:ind w:firstLine="567"/>
        <w:jc w:val="both"/>
        <w:rPr>
          <w:sz w:val="28"/>
          <w:szCs w:val="28"/>
        </w:rPr>
      </w:pPr>
      <w:r w:rsidRPr="00DD6014">
        <w:rPr>
          <w:sz w:val="28"/>
          <w:szCs w:val="28"/>
        </w:rPr>
        <w:t xml:space="preserve">Отже, прийняття </w:t>
      </w:r>
      <w:proofErr w:type="spellStart"/>
      <w:r w:rsidRPr="00DD6014">
        <w:rPr>
          <w:sz w:val="28"/>
          <w:szCs w:val="28"/>
        </w:rPr>
        <w:t>проєкту</w:t>
      </w:r>
      <w:proofErr w:type="spellEnd"/>
      <w:r w:rsidRPr="00DD6014">
        <w:rPr>
          <w:sz w:val="28"/>
          <w:szCs w:val="28"/>
        </w:rPr>
        <w:t xml:space="preserve"> дозволить скоротити час та витрати для суб’єктів господарювання майже на </w:t>
      </w:r>
      <w:r w:rsidR="00E61380" w:rsidRPr="00DD6014">
        <w:rPr>
          <w:sz w:val="28"/>
          <w:szCs w:val="28"/>
        </w:rPr>
        <w:t>33</w:t>
      </w:r>
      <w:r w:rsidRPr="00DD6014">
        <w:rPr>
          <w:sz w:val="28"/>
          <w:szCs w:val="28"/>
        </w:rPr>
        <w:t xml:space="preserve"> %, а також час та витрати держави на здійснення заходів державного нагляду (контролю) з урахуванням М-тест (додаток 1).</w:t>
      </w:r>
    </w:p>
    <w:p w:rsidR="00F746B4" w:rsidRPr="00DD6014" w:rsidRDefault="00F746B4" w:rsidP="003C44A2">
      <w:pPr>
        <w:widowControl w:val="0"/>
        <w:shd w:val="clear" w:color="auto" w:fill="FFFFFF"/>
        <w:ind w:firstLine="567"/>
        <w:jc w:val="both"/>
        <w:rPr>
          <w:sz w:val="28"/>
          <w:szCs w:val="28"/>
        </w:rPr>
      </w:pPr>
      <w:r w:rsidRPr="00DD6014">
        <w:rPr>
          <w:sz w:val="28"/>
          <w:szCs w:val="28"/>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w:t>
      </w:r>
      <w:r w:rsidR="00C30CF6" w:rsidRPr="00DD6014">
        <w:rPr>
          <w:sz w:val="28"/>
          <w:szCs w:val="28"/>
        </w:rPr>
        <w:t xml:space="preserve"> </w:t>
      </w:r>
      <w:r w:rsidRPr="00DD6014">
        <w:rPr>
          <w:sz w:val="28"/>
          <w:szCs w:val="28"/>
        </w:rPr>
        <w:t xml:space="preserve">%, у зв’язку із чим проведено розрахунок витрат на запровадження державного регулювання для суб’єктів малого підприємництва (додаток </w:t>
      </w:r>
      <w:r w:rsidRPr="00DD6014">
        <w:rPr>
          <w:sz w:val="28"/>
        </w:rPr>
        <w:t>1</w:t>
      </w:r>
      <w:r w:rsidRPr="00DD6014">
        <w:rPr>
          <w:sz w:val="28"/>
          <w:szCs w:val="28"/>
        </w:rPr>
        <w:t>).</w:t>
      </w:r>
    </w:p>
    <w:p w:rsidR="003C44A2" w:rsidRPr="00DD6014" w:rsidRDefault="003C44A2" w:rsidP="003C44A2">
      <w:pPr>
        <w:widowControl w:val="0"/>
        <w:shd w:val="clear" w:color="auto" w:fill="FFFFFF"/>
        <w:ind w:firstLine="567"/>
        <w:jc w:val="both"/>
        <w:rPr>
          <w:sz w:val="28"/>
          <w:szCs w:val="28"/>
        </w:rPr>
      </w:pPr>
    </w:p>
    <w:p w:rsidR="00F746B4" w:rsidRPr="00DD6014" w:rsidRDefault="00F746B4" w:rsidP="003C44A2">
      <w:pPr>
        <w:pBdr>
          <w:top w:val="nil"/>
          <w:left w:val="nil"/>
          <w:bottom w:val="nil"/>
          <w:right w:val="nil"/>
          <w:between w:val="nil"/>
        </w:pBdr>
        <w:ind w:firstLine="567"/>
        <w:jc w:val="center"/>
        <w:rPr>
          <w:b/>
          <w:sz w:val="28"/>
          <w:szCs w:val="28"/>
        </w:rPr>
      </w:pPr>
      <w:r w:rsidRPr="00DD6014">
        <w:rPr>
          <w:b/>
          <w:sz w:val="28"/>
          <w:szCs w:val="28"/>
        </w:rPr>
        <w:t xml:space="preserve">VII. Обґрунтування запропонованого строку дії регуляторного </w:t>
      </w:r>
      <w:proofErr w:type="spellStart"/>
      <w:r w:rsidRPr="00DD6014">
        <w:rPr>
          <w:b/>
          <w:sz w:val="28"/>
          <w:szCs w:val="28"/>
        </w:rPr>
        <w:t>акта</w:t>
      </w:r>
      <w:proofErr w:type="spellEnd"/>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t>Термін дії є необмеженим, якщо інший не буде визначено нормативно-правовими актами.</w:t>
      </w:r>
    </w:p>
    <w:p w:rsidR="00F746B4" w:rsidRPr="00DD6014" w:rsidRDefault="00F746B4" w:rsidP="003C44A2">
      <w:pPr>
        <w:pBdr>
          <w:top w:val="nil"/>
          <w:left w:val="nil"/>
          <w:bottom w:val="nil"/>
          <w:right w:val="nil"/>
          <w:between w:val="nil"/>
        </w:pBdr>
        <w:ind w:firstLine="567"/>
        <w:jc w:val="both"/>
        <w:rPr>
          <w:sz w:val="28"/>
          <w:szCs w:val="28"/>
        </w:rPr>
      </w:pPr>
      <w:r w:rsidRPr="00DD6014">
        <w:rPr>
          <w:sz w:val="28"/>
          <w:szCs w:val="28"/>
        </w:rPr>
        <w:lastRenderedPageBreak/>
        <w:t>Регуляторний акт розроблено відповідно до положень Кодексу. У разі внесення відповідних змін до Кодексу регуляторний акт має бути приведений у відповідність до таких змін.</w:t>
      </w:r>
    </w:p>
    <w:p w:rsidR="003C44A2" w:rsidRPr="00DD6014" w:rsidRDefault="003C44A2" w:rsidP="003C44A2">
      <w:pPr>
        <w:pBdr>
          <w:top w:val="nil"/>
          <w:left w:val="nil"/>
          <w:bottom w:val="nil"/>
          <w:right w:val="nil"/>
          <w:between w:val="nil"/>
        </w:pBdr>
        <w:ind w:firstLine="567"/>
        <w:jc w:val="center"/>
        <w:rPr>
          <w:b/>
          <w:sz w:val="28"/>
          <w:szCs w:val="28"/>
        </w:rPr>
      </w:pPr>
    </w:p>
    <w:p w:rsidR="00F746B4" w:rsidRPr="00DD6014" w:rsidRDefault="00F746B4" w:rsidP="003C44A2">
      <w:pPr>
        <w:pBdr>
          <w:top w:val="nil"/>
          <w:left w:val="nil"/>
          <w:bottom w:val="nil"/>
          <w:right w:val="nil"/>
          <w:between w:val="nil"/>
        </w:pBdr>
        <w:ind w:firstLine="567"/>
        <w:jc w:val="center"/>
        <w:rPr>
          <w:b/>
          <w:sz w:val="28"/>
          <w:szCs w:val="28"/>
        </w:rPr>
      </w:pPr>
      <w:r w:rsidRPr="00DD6014">
        <w:rPr>
          <w:b/>
          <w:sz w:val="28"/>
          <w:szCs w:val="28"/>
        </w:rPr>
        <w:t xml:space="preserve">VIII. Визначення показників результативності дії регуляторного </w:t>
      </w:r>
      <w:proofErr w:type="spellStart"/>
      <w:r w:rsidRPr="00DD6014">
        <w:rPr>
          <w:b/>
          <w:sz w:val="28"/>
          <w:szCs w:val="28"/>
        </w:rPr>
        <w:t>акта</w:t>
      </w:r>
      <w:proofErr w:type="spellEnd"/>
    </w:p>
    <w:p w:rsidR="00F746B4" w:rsidRPr="00DD6014" w:rsidRDefault="00F746B4" w:rsidP="003C44A2">
      <w:pPr>
        <w:widowControl w:val="0"/>
        <w:pBdr>
          <w:top w:val="nil"/>
          <w:left w:val="nil"/>
          <w:bottom w:val="nil"/>
          <w:right w:val="nil"/>
          <w:between w:val="nil"/>
        </w:pBdr>
        <w:tabs>
          <w:tab w:val="left" w:pos="851"/>
        </w:tabs>
        <w:ind w:firstLine="567"/>
        <w:jc w:val="both"/>
        <w:rPr>
          <w:sz w:val="28"/>
          <w:szCs w:val="28"/>
        </w:rPr>
      </w:pPr>
      <w:r w:rsidRPr="00DD6014">
        <w:rPr>
          <w:sz w:val="28"/>
          <w:szCs w:val="28"/>
        </w:rPr>
        <w:t xml:space="preserve">1. </w:t>
      </w:r>
      <w:r w:rsidRPr="00DD6014">
        <w:rPr>
          <w:sz w:val="28"/>
          <w:szCs w:val="28"/>
        </w:rPr>
        <w:tab/>
        <w:t xml:space="preserve">Кількість суб’єктів господарювання, на яких поширюється дія </w:t>
      </w:r>
      <w:proofErr w:type="spellStart"/>
      <w:r w:rsidRPr="00DD6014">
        <w:rPr>
          <w:sz w:val="28"/>
          <w:szCs w:val="28"/>
        </w:rPr>
        <w:t>акта</w:t>
      </w:r>
      <w:proofErr w:type="spellEnd"/>
      <w:r w:rsidRPr="00DD6014">
        <w:rPr>
          <w:sz w:val="28"/>
          <w:szCs w:val="28"/>
        </w:rPr>
        <w:t>.</w:t>
      </w:r>
    </w:p>
    <w:p w:rsidR="00F746B4" w:rsidRPr="00DD6014" w:rsidRDefault="00F746B4" w:rsidP="003C44A2">
      <w:pPr>
        <w:widowControl w:val="0"/>
        <w:pBdr>
          <w:top w:val="nil"/>
          <w:left w:val="nil"/>
          <w:bottom w:val="nil"/>
          <w:right w:val="nil"/>
          <w:between w:val="nil"/>
        </w:pBdr>
        <w:tabs>
          <w:tab w:val="left" w:pos="851"/>
        </w:tabs>
        <w:ind w:firstLine="567"/>
        <w:jc w:val="both"/>
        <w:rPr>
          <w:sz w:val="28"/>
          <w:szCs w:val="28"/>
        </w:rPr>
      </w:pPr>
      <w:r w:rsidRPr="00DD6014">
        <w:rPr>
          <w:sz w:val="28"/>
          <w:szCs w:val="28"/>
        </w:rPr>
        <w:t xml:space="preserve">2. Рівень поінформованості суб’єктів господарювання стосовно основних положень регуляторного </w:t>
      </w:r>
      <w:proofErr w:type="spellStart"/>
      <w:r w:rsidRPr="00DD6014">
        <w:rPr>
          <w:sz w:val="28"/>
          <w:szCs w:val="28"/>
        </w:rPr>
        <w:t>акта</w:t>
      </w:r>
      <w:proofErr w:type="spellEnd"/>
      <w:r w:rsidRPr="00DD6014">
        <w:rPr>
          <w:sz w:val="28"/>
          <w:szCs w:val="28"/>
        </w:rPr>
        <w:t xml:space="preserve"> − високий, оскільки </w:t>
      </w:r>
      <w:proofErr w:type="spellStart"/>
      <w:r w:rsidRPr="00DD6014">
        <w:rPr>
          <w:sz w:val="28"/>
          <w:szCs w:val="28"/>
        </w:rPr>
        <w:t>проєкт</w:t>
      </w:r>
      <w:proofErr w:type="spellEnd"/>
      <w:r w:rsidRPr="00DD6014">
        <w:rPr>
          <w:sz w:val="28"/>
          <w:szCs w:val="28"/>
        </w:rPr>
        <w:t xml:space="preserve"> наказу розміщено –оприлюднено на офіційному </w:t>
      </w:r>
      <w:proofErr w:type="spellStart"/>
      <w:r w:rsidRPr="00DD6014">
        <w:rPr>
          <w:sz w:val="28"/>
          <w:szCs w:val="28"/>
        </w:rPr>
        <w:t>вебсайті</w:t>
      </w:r>
      <w:proofErr w:type="spellEnd"/>
      <w:r w:rsidRPr="00DD6014">
        <w:rPr>
          <w:sz w:val="28"/>
          <w:szCs w:val="28"/>
        </w:rPr>
        <w:t xml:space="preserve"> Міністерства фінансів України  (http://www.minfin.gov.ua) з метою отримання зауважень та пропозицій до нього.</w:t>
      </w:r>
    </w:p>
    <w:p w:rsidR="00F746B4" w:rsidRPr="00DD6014" w:rsidRDefault="00F746B4" w:rsidP="003C44A2">
      <w:pPr>
        <w:widowControl w:val="0"/>
        <w:pBdr>
          <w:top w:val="nil"/>
          <w:left w:val="nil"/>
          <w:bottom w:val="nil"/>
          <w:right w:val="nil"/>
          <w:between w:val="nil"/>
        </w:pBdr>
        <w:tabs>
          <w:tab w:val="left" w:pos="851"/>
        </w:tabs>
        <w:ind w:firstLine="567"/>
        <w:jc w:val="both"/>
        <w:rPr>
          <w:sz w:val="28"/>
          <w:szCs w:val="28"/>
        </w:rPr>
      </w:pPr>
      <w:r w:rsidRPr="00DD6014">
        <w:rPr>
          <w:sz w:val="28"/>
          <w:szCs w:val="28"/>
        </w:rPr>
        <w:t>3. Кількість поданих суб’єктами господарювання податкових накладних/розрахунків коригування на реєстрацію в Реєстрі.</w:t>
      </w:r>
    </w:p>
    <w:p w:rsidR="00F746B4" w:rsidRPr="00DD6014" w:rsidRDefault="00F746B4" w:rsidP="003C44A2">
      <w:pPr>
        <w:widowControl w:val="0"/>
        <w:pBdr>
          <w:top w:val="nil"/>
          <w:left w:val="nil"/>
          <w:bottom w:val="nil"/>
          <w:right w:val="nil"/>
          <w:between w:val="nil"/>
        </w:pBdr>
        <w:tabs>
          <w:tab w:val="left" w:pos="851"/>
        </w:tabs>
        <w:ind w:firstLine="567"/>
        <w:jc w:val="both"/>
        <w:rPr>
          <w:sz w:val="28"/>
          <w:szCs w:val="28"/>
        </w:rPr>
      </w:pPr>
      <w:r w:rsidRPr="00DD6014">
        <w:rPr>
          <w:sz w:val="28"/>
          <w:szCs w:val="28"/>
        </w:rPr>
        <w:t>4. Кількість податкових накладних</w:t>
      </w:r>
      <w:r w:rsidR="00C30CF6" w:rsidRPr="00DD6014">
        <w:rPr>
          <w:sz w:val="28"/>
          <w:szCs w:val="28"/>
        </w:rPr>
        <w:t xml:space="preserve"> </w:t>
      </w:r>
      <w:r w:rsidRPr="00DD6014">
        <w:rPr>
          <w:sz w:val="28"/>
          <w:szCs w:val="28"/>
        </w:rPr>
        <w:t>/</w:t>
      </w:r>
      <w:r w:rsidR="00C30CF6" w:rsidRPr="00DD6014">
        <w:rPr>
          <w:sz w:val="28"/>
          <w:szCs w:val="28"/>
        </w:rPr>
        <w:t xml:space="preserve"> </w:t>
      </w:r>
      <w:r w:rsidRPr="00DD6014">
        <w:rPr>
          <w:sz w:val="28"/>
          <w:szCs w:val="28"/>
        </w:rPr>
        <w:t xml:space="preserve">розрахунків коригування, реєстрацію яких </w:t>
      </w:r>
      <w:proofErr w:type="spellStart"/>
      <w:r w:rsidRPr="00DD6014">
        <w:rPr>
          <w:sz w:val="28"/>
          <w:szCs w:val="28"/>
        </w:rPr>
        <w:t>зупинено</w:t>
      </w:r>
      <w:proofErr w:type="spellEnd"/>
      <w:r w:rsidRPr="00DD6014">
        <w:rPr>
          <w:sz w:val="28"/>
          <w:szCs w:val="28"/>
        </w:rPr>
        <w:t xml:space="preserve"> в Реєстрі.</w:t>
      </w:r>
    </w:p>
    <w:p w:rsidR="00F746B4" w:rsidRPr="00DD6014" w:rsidRDefault="00F746B4" w:rsidP="003C44A2">
      <w:pPr>
        <w:widowControl w:val="0"/>
        <w:tabs>
          <w:tab w:val="left" w:pos="851"/>
        </w:tabs>
        <w:ind w:firstLine="567"/>
        <w:jc w:val="both"/>
        <w:rPr>
          <w:sz w:val="28"/>
          <w:szCs w:val="28"/>
        </w:rPr>
      </w:pPr>
      <w:r w:rsidRPr="00DD6014">
        <w:rPr>
          <w:sz w:val="28"/>
          <w:szCs w:val="28"/>
        </w:rPr>
        <w:t xml:space="preserve">5. Сума надходжень податку на додану вартість до державного бюджету за рахунок удосконалення Порядку. </w:t>
      </w:r>
    </w:p>
    <w:p w:rsidR="003C44A2" w:rsidRPr="00DD6014" w:rsidRDefault="003C44A2" w:rsidP="003C44A2">
      <w:pPr>
        <w:pBdr>
          <w:top w:val="nil"/>
          <w:left w:val="nil"/>
          <w:bottom w:val="nil"/>
          <w:right w:val="nil"/>
          <w:between w:val="nil"/>
        </w:pBdr>
        <w:ind w:firstLine="567"/>
        <w:jc w:val="center"/>
        <w:rPr>
          <w:b/>
          <w:sz w:val="28"/>
          <w:szCs w:val="28"/>
        </w:rPr>
      </w:pPr>
    </w:p>
    <w:p w:rsidR="00F746B4" w:rsidRPr="00DD6014" w:rsidRDefault="00F746B4" w:rsidP="003C44A2">
      <w:pPr>
        <w:pBdr>
          <w:top w:val="nil"/>
          <w:left w:val="nil"/>
          <w:bottom w:val="nil"/>
          <w:right w:val="nil"/>
          <w:between w:val="nil"/>
        </w:pBdr>
        <w:ind w:firstLine="567"/>
        <w:jc w:val="center"/>
        <w:rPr>
          <w:b/>
          <w:sz w:val="28"/>
          <w:szCs w:val="28"/>
        </w:rPr>
      </w:pPr>
      <w:r w:rsidRPr="00DD6014">
        <w:rPr>
          <w:b/>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DD6014">
        <w:rPr>
          <w:b/>
          <w:sz w:val="28"/>
          <w:szCs w:val="28"/>
        </w:rPr>
        <w:t>акта</w:t>
      </w:r>
      <w:proofErr w:type="spellEnd"/>
    </w:p>
    <w:p w:rsidR="00F746B4" w:rsidRPr="00DD6014" w:rsidRDefault="00F746B4" w:rsidP="003C44A2">
      <w:pPr>
        <w:ind w:right="-79" w:firstLine="567"/>
        <w:jc w:val="both"/>
        <w:rPr>
          <w:sz w:val="28"/>
          <w:szCs w:val="28"/>
        </w:rPr>
      </w:pPr>
      <w:r w:rsidRPr="00DD6014">
        <w:rPr>
          <w:sz w:val="28"/>
          <w:szCs w:val="28"/>
        </w:rPr>
        <w:t xml:space="preserve">Відстеження результативності регуляторного </w:t>
      </w:r>
      <w:proofErr w:type="spellStart"/>
      <w:r w:rsidRPr="00DD6014">
        <w:rPr>
          <w:sz w:val="28"/>
          <w:szCs w:val="28"/>
        </w:rPr>
        <w:t>акта</w:t>
      </w:r>
      <w:proofErr w:type="spellEnd"/>
      <w:r w:rsidRPr="00DD6014">
        <w:rPr>
          <w:sz w:val="28"/>
          <w:szCs w:val="28"/>
        </w:rPr>
        <w:t xml:space="preserve"> здійснюватиметься Міністерством фінансів України статистичним методом шляхом базового та повторного відстеження показників результативності цього </w:t>
      </w:r>
      <w:proofErr w:type="spellStart"/>
      <w:r w:rsidRPr="00DD6014">
        <w:rPr>
          <w:sz w:val="28"/>
          <w:szCs w:val="28"/>
        </w:rPr>
        <w:t>акта</w:t>
      </w:r>
      <w:proofErr w:type="spellEnd"/>
      <w:r w:rsidRPr="00DD6014">
        <w:rPr>
          <w:sz w:val="28"/>
          <w:szCs w:val="28"/>
        </w:rPr>
        <w:t xml:space="preserve">, визначених під час проведення аналізу впливу регуляторного </w:t>
      </w:r>
      <w:proofErr w:type="spellStart"/>
      <w:r w:rsidRPr="00DD6014">
        <w:rPr>
          <w:sz w:val="28"/>
          <w:szCs w:val="28"/>
        </w:rPr>
        <w:t>акта</w:t>
      </w:r>
      <w:proofErr w:type="spellEnd"/>
      <w:r w:rsidRPr="00DD6014">
        <w:rPr>
          <w:sz w:val="28"/>
          <w:szCs w:val="28"/>
        </w:rPr>
        <w:t>.</w:t>
      </w:r>
    </w:p>
    <w:p w:rsidR="00F746B4" w:rsidRPr="00DD6014" w:rsidRDefault="00F746B4" w:rsidP="003C44A2">
      <w:pPr>
        <w:ind w:right="-82" w:firstLine="567"/>
        <w:jc w:val="both"/>
        <w:rPr>
          <w:sz w:val="28"/>
          <w:szCs w:val="28"/>
        </w:rPr>
      </w:pPr>
      <w:r w:rsidRPr="00DD6014">
        <w:rPr>
          <w:sz w:val="28"/>
          <w:szCs w:val="28"/>
        </w:rPr>
        <w:t xml:space="preserve">Базове відстеження результативності регуляторного </w:t>
      </w:r>
      <w:proofErr w:type="spellStart"/>
      <w:r w:rsidRPr="00DD6014">
        <w:rPr>
          <w:sz w:val="28"/>
          <w:szCs w:val="28"/>
        </w:rPr>
        <w:t>акта</w:t>
      </w:r>
      <w:proofErr w:type="spellEnd"/>
      <w:r w:rsidRPr="00DD6014">
        <w:rPr>
          <w:sz w:val="28"/>
          <w:szCs w:val="28"/>
        </w:rPr>
        <w:t xml:space="preserve"> здійснюватиметься через рік після набрання чинності акт</w:t>
      </w:r>
      <w:bookmarkStart w:id="1" w:name="bookmark=kix.2n40hl7vwfwj"/>
      <w:bookmarkEnd w:id="1"/>
      <w:r w:rsidRPr="00DD6014">
        <w:rPr>
          <w:sz w:val="28"/>
          <w:szCs w:val="28"/>
        </w:rPr>
        <w:t>ом.</w:t>
      </w:r>
    </w:p>
    <w:p w:rsidR="00F746B4" w:rsidRPr="00DD6014" w:rsidRDefault="00F746B4" w:rsidP="003C44A2">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992"/>
          <w:tab w:val="left" w:pos="11908"/>
          <w:tab w:val="left" w:pos="12824"/>
          <w:tab w:val="left" w:pos="13740"/>
          <w:tab w:val="left" w:pos="14656"/>
        </w:tabs>
        <w:ind w:right="-82" w:firstLine="567"/>
        <w:jc w:val="both"/>
        <w:rPr>
          <w:sz w:val="28"/>
          <w:szCs w:val="28"/>
        </w:rPr>
      </w:pPr>
      <w:r w:rsidRPr="00DD6014">
        <w:rPr>
          <w:sz w:val="28"/>
          <w:szCs w:val="28"/>
        </w:rPr>
        <w:t>Повторне відстеження результативності буде здійснено не пізніше ніж через три роки після набрання ним чинності.</w:t>
      </w:r>
      <w:bookmarkStart w:id="2" w:name="bookmark=kix.qli0kvupslba"/>
      <w:bookmarkEnd w:id="2"/>
    </w:p>
    <w:p w:rsidR="00F746B4" w:rsidRPr="00DD6014" w:rsidRDefault="00F746B4" w:rsidP="003C44A2">
      <w:pPr>
        <w:ind w:firstLine="567"/>
        <w:jc w:val="both"/>
        <w:rPr>
          <w:sz w:val="28"/>
          <w:szCs w:val="28"/>
        </w:rPr>
      </w:pPr>
      <w:bookmarkStart w:id="3" w:name="_heading=h.tyjcwt"/>
      <w:bookmarkEnd w:id="3"/>
      <w:r w:rsidRPr="00DD6014">
        <w:rPr>
          <w:sz w:val="28"/>
          <w:szCs w:val="28"/>
        </w:rPr>
        <w:t xml:space="preserve">Відстеження результативності регуляторного </w:t>
      </w:r>
      <w:proofErr w:type="spellStart"/>
      <w:r w:rsidRPr="00DD6014">
        <w:rPr>
          <w:sz w:val="28"/>
          <w:szCs w:val="28"/>
        </w:rPr>
        <w:t>акта</w:t>
      </w:r>
      <w:proofErr w:type="spellEnd"/>
      <w:r w:rsidRPr="00DD6014">
        <w:rPr>
          <w:sz w:val="28"/>
          <w:szCs w:val="28"/>
        </w:rPr>
        <w:t xml:space="preserve"> буде здійснювати Мінфін статистичним методом – шляхом аналізу динаміки</w:t>
      </w:r>
      <w:r w:rsidR="00C30CF6" w:rsidRPr="00DD6014">
        <w:rPr>
          <w:sz w:val="28"/>
          <w:szCs w:val="28"/>
        </w:rPr>
        <w:t xml:space="preserve"> показників, вказаних у розділі </w:t>
      </w:r>
      <w:r w:rsidRPr="00DD6014">
        <w:rPr>
          <w:sz w:val="28"/>
          <w:szCs w:val="28"/>
        </w:rPr>
        <w:t xml:space="preserve">VIII цього регуляторного </w:t>
      </w:r>
      <w:proofErr w:type="spellStart"/>
      <w:r w:rsidRPr="00DD6014">
        <w:rPr>
          <w:sz w:val="28"/>
          <w:szCs w:val="28"/>
        </w:rPr>
        <w:t>акта</w:t>
      </w:r>
      <w:proofErr w:type="spellEnd"/>
      <w:r w:rsidRPr="00DD6014">
        <w:rPr>
          <w:sz w:val="28"/>
          <w:szCs w:val="28"/>
        </w:rPr>
        <w:t>.</w:t>
      </w:r>
    </w:p>
    <w:p w:rsidR="00F746B4" w:rsidRPr="00DD6014" w:rsidRDefault="00F746B4" w:rsidP="003C44A2">
      <w:pPr>
        <w:pBdr>
          <w:top w:val="nil"/>
          <w:left w:val="nil"/>
          <w:bottom w:val="nil"/>
          <w:right w:val="nil"/>
          <w:between w:val="nil"/>
        </w:pBdr>
        <w:ind w:firstLine="567"/>
        <w:jc w:val="both"/>
        <w:rPr>
          <w:sz w:val="28"/>
          <w:szCs w:val="28"/>
          <w:highlight w:val="white"/>
        </w:rPr>
      </w:pPr>
      <w:bookmarkStart w:id="4" w:name="_heading=h.gjdgxs"/>
      <w:bookmarkEnd w:id="4"/>
    </w:p>
    <w:p w:rsidR="00F746B4" w:rsidRPr="00DD6014" w:rsidRDefault="00F746B4" w:rsidP="003C44A2">
      <w:pPr>
        <w:pBdr>
          <w:top w:val="nil"/>
          <w:left w:val="nil"/>
          <w:bottom w:val="nil"/>
          <w:right w:val="nil"/>
          <w:between w:val="nil"/>
        </w:pBdr>
        <w:ind w:firstLine="720"/>
        <w:jc w:val="both"/>
        <w:rPr>
          <w:sz w:val="28"/>
          <w:szCs w:val="28"/>
          <w:highlight w:val="white"/>
        </w:rPr>
      </w:pPr>
    </w:p>
    <w:p w:rsidR="00F746B4" w:rsidRPr="00DD6014" w:rsidRDefault="00F746B4" w:rsidP="003C44A2">
      <w:pPr>
        <w:pBdr>
          <w:top w:val="nil"/>
          <w:left w:val="nil"/>
          <w:bottom w:val="nil"/>
          <w:right w:val="nil"/>
          <w:between w:val="nil"/>
        </w:pBdr>
        <w:rPr>
          <w:sz w:val="28"/>
          <w:szCs w:val="28"/>
          <w:highlight w:val="white"/>
        </w:rPr>
      </w:pPr>
      <w:r w:rsidRPr="00DD6014">
        <w:rPr>
          <w:b/>
          <w:sz w:val="28"/>
          <w:szCs w:val="28"/>
          <w:highlight w:val="white"/>
        </w:rPr>
        <w:t>Міністр фінансів України                                                     Сергій МАРЧЕНКО</w:t>
      </w:r>
    </w:p>
    <w:p w:rsidR="00AE0FB2" w:rsidRPr="00DD6014" w:rsidRDefault="00AE0FB2" w:rsidP="003C44A2">
      <w:pPr>
        <w:pBdr>
          <w:top w:val="nil"/>
          <w:left w:val="nil"/>
          <w:bottom w:val="nil"/>
          <w:right w:val="nil"/>
          <w:between w:val="nil"/>
        </w:pBdr>
        <w:jc w:val="center"/>
        <w:rPr>
          <w:sz w:val="28"/>
          <w:szCs w:val="28"/>
          <w:highlight w:val="white"/>
        </w:rPr>
      </w:pPr>
    </w:p>
    <w:sectPr w:rsidR="00AE0FB2" w:rsidRPr="00DD6014" w:rsidSect="008A7B86">
      <w:headerReference w:type="even" r:id="rId8"/>
      <w:headerReference w:type="default" r:id="rId9"/>
      <w:pgSz w:w="11906" w:h="16838"/>
      <w:pgMar w:top="851" w:right="567" w:bottom="1531" w:left="1701"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49" w:rsidRDefault="00F87C49"/>
  </w:endnote>
  <w:endnote w:type="continuationSeparator" w:id="0">
    <w:p w:rsidR="00F87C49" w:rsidRDefault="00F87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49" w:rsidRDefault="00F87C49"/>
  </w:footnote>
  <w:footnote w:type="continuationSeparator" w:id="0">
    <w:p w:rsidR="00F87C49" w:rsidRDefault="00F87C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2" w:rsidRDefault="00F93AED">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w:t>
    </w:r>
    <w:r>
      <w:rPr>
        <w:color w:val="000000"/>
        <w:sz w:val="24"/>
        <w:szCs w:val="24"/>
      </w:rPr>
      <w:fldChar w:fldCharType="end"/>
    </w:r>
  </w:p>
  <w:p w:rsidR="00AE0FB2" w:rsidRDefault="00AE0FB2">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2" w:rsidRDefault="00F93AED">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D6014">
      <w:rPr>
        <w:noProof/>
        <w:color w:val="000000"/>
        <w:sz w:val="24"/>
        <w:szCs w:val="24"/>
      </w:rPr>
      <w:t>2</w:t>
    </w:r>
    <w:r>
      <w:rPr>
        <w:color w:val="000000"/>
        <w:sz w:val="24"/>
        <w:szCs w:val="24"/>
      </w:rPr>
      <w:fldChar w:fldCharType="end"/>
    </w:r>
  </w:p>
  <w:p w:rsidR="00AE0FB2" w:rsidRDefault="00AE0FB2">
    <w:pPr>
      <w:pBdr>
        <w:top w:val="nil"/>
        <w:left w:val="nil"/>
        <w:bottom w:val="nil"/>
        <w:right w:val="nil"/>
        <w:between w:val="nil"/>
      </w:pBdr>
      <w:tabs>
        <w:tab w:val="center" w:pos="4677"/>
        <w:tab w:val="right" w:pos="9355"/>
      </w:tabs>
      <w:jc w:val="center"/>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B2"/>
    <w:rsid w:val="000643C0"/>
    <w:rsid w:val="00090DF5"/>
    <w:rsid w:val="00112EB9"/>
    <w:rsid w:val="002E69DA"/>
    <w:rsid w:val="00337FC4"/>
    <w:rsid w:val="00347506"/>
    <w:rsid w:val="00375433"/>
    <w:rsid w:val="00381AEB"/>
    <w:rsid w:val="003925CB"/>
    <w:rsid w:val="003C44A2"/>
    <w:rsid w:val="003E63FF"/>
    <w:rsid w:val="004859F7"/>
    <w:rsid w:val="0049121B"/>
    <w:rsid w:val="004C27C0"/>
    <w:rsid w:val="0054012A"/>
    <w:rsid w:val="00541EC0"/>
    <w:rsid w:val="00592CBC"/>
    <w:rsid w:val="005D251D"/>
    <w:rsid w:val="005F520D"/>
    <w:rsid w:val="0066042C"/>
    <w:rsid w:val="006F2062"/>
    <w:rsid w:val="008455C4"/>
    <w:rsid w:val="008A451B"/>
    <w:rsid w:val="008A7B86"/>
    <w:rsid w:val="008C71EB"/>
    <w:rsid w:val="008D5C0E"/>
    <w:rsid w:val="00901276"/>
    <w:rsid w:val="00936CA4"/>
    <w:rsid w:val="00947747"/>
    <w:rsid w:val="009648BD"/>
    <w:rsid w:val="00986C27"/>
    <w:rsid w:val="00987BAD"/>
    <w:rsid w:val="009A58E9"/>
    <w:rsid w:val="00A81245"/>
    <w:rsid w:val="00AA607E"/>
    <w:rsid w:val="00AE0FB2"/>
    <w:rsid w:val="00C30CF6"/>
    <w:rsid w:val="00C44D9D"/>
    <w:rsid w:val="00D21ECD"/>
    <w:rsid w:val="00D61C98"/>
    <w:rsid w:val="00D94D55"/>
    <w:rsid w:val="00DC02A1"/>
    <w:rsid w:val="00DD6014"/>
    <w:rsid w:val="00E31A0F"/>
    <w:rsid w:val="00E50150"/>
    <w:rsid w:val="00E53B19"/>
    <w:rsid w:val="00E5552A"/>
    <w:rsid w:val="00E61380"/>
    <w:rsid w:val="00ED10B1"/>
    <w:rsid w:val="00F746B4"/>
    <w:rsid w:val="00F86485"/>
    <w:rsid w:val="00F87C49"/>
    <w:rsid w:val="00F93AED"/>
    <w:rsid w:val="00FF2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4CC6C-2CBD-44B2-91DE-3802C82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10"/>
    <w:next w:val="10"/>
    <w:semiHidden/>
    <w:qFormat/>
    <w:pPr>
      <w:keepNext/>
      <w:spacing w:before="240" w:after="60"/>
      <w:outlineLvl w:val="1"/>
    </w:pPr>
    <w:rPr>
      <w:rFonts w:ascii="Cambria" w:hAnsi="Cambria"/>
      <w:b/>
      <w:bCs/>
      <w:i/>
      <w:iCs/>
      <w:sz w:val="28"/>
      <w:szCs w:val="28"/>
    </w:rPr>
  </w:style>
  <w:style w:type="paragraph" w:styleId="3">
    <w:name w:val="heading 3"/>
    <w:basedOn w:val="10"/>
    <w:next w:val="a"/>
    <w:semiHidden/>
    <w:qFormat/>
    <w:pPr>
      <w:spacing w:before="100" w:beforeAutospacing="1" w:after="100" w:afterAutospacing="1"/>
      <w:outlineLvl w:val="2"/>
    </w:pPr>
    <w:rPr>
      <w:b/>
      <w:bCs/>
      <w:sz w:val="27"/>
      <w:szCs w:val="27"/>
    </w:rPr>
  </w:style>
  <w:style w:type="paragraph" w:styleId="4">
    <w:name w:val="heading 4"/>
    <w:basedOn w:val="a"/>
    <w:next w:val="a"/>
    <w:semiHidden/>
    <w:qFormat/>
    <w:pPr>
      <w:keepNext/>
      <w:keepLines/>
      <w:spacing w:before="240" w:after="40"/>
      <w:outlineLvl w:val="3"/>
    </w:pPr>
    <w:rPr>
      <w:b/>
      <w:sz w:val="24"/>
      <w:szCs w:val="24"/>
    </w:rPr>
  </w:style>
  <w:style w:type="paragraph" w:styleId="5">
    <w:name w:val="heading 5"/>
    <w:basedOn w:val="a"/>
    <w:next w:val="a"/>
    <w:semiHidden/>
    <w:qFormat/>
    <w:pPr>
      <w:keepNext/>
      <w:keepLines/>
      <w:spacing w:before="220" w:after="40"/>
      <w:outlineLvl w:val="4"/>
    </w:pPr>
    <w:rPr>
      <w:b/>
      <w:sz w:val="22"/>
    </w:rPr>
  </w:style>
  <w:style w:type="paragraph" w:styleId="6">
    <w:name w:val="heading 6"/>
    <w:basedOn w:val="a"/>
    <w:next w:val="a"/>
    <w:semiHidden/>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customStyle="1" w:styleId="10">
    <w:name w:val="Звичайний1"/>
    <w:pPr>
      <w:suppressAutoHyphens/>
      <w:spacing w:line="1" w:lineRule="atLeast"/>
      <w:ind w:left="-1" w:hanging="1"/>
      <w:outlineLvl w:val="0"/>
    </w:pPr>
    <w:rPr>
      <w:position w:val="-1"/>
      <w:sz w:val="24"/>
      <w:szCs w:val="24"/>
      <w:lang w:val="ru-RU"/>
    </w:rPr>
  </w:style>
  <w:style w:type="paragraph" w:customStyle="1" w:styleId="11111211112">
    <w:name w:val="Звичайний (веб);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к2"/>
    <w:basedOn w:val="10"/>
    <w:pPr>
      <w:spacing w:before="100" w:beforeAutospacing="1" w:after="100" w:afterAutospacing="1"/>
    </w:pPr>
  </w:style>
  <w:style w:type="paragraph" w:customStyle="1" w:styleId="11">
    <w:name w:val="Знак Знак Знак Знак Знак Знак Знак Знак1"/>
    <w:basedOn w:val="10"/>
    <w:rPr>
      <w:rFonts w:ascii="Verdana" w:hAnsi="Verdana"/>
      <w:sz w:val="20"/>
      <w:szCs w:val="20"/>
      <w:lang w:val="en-US" w:eastAsia="en-US"/>
    </w:rPr>
  </w:style>
  <w:style w:type="paragraph" w:customStyle="1" w:styleId="12">
    <w:name w:val="Верхній колонтитул1"/>
    <w:basedOn w:val="10"/>
    <w:pPr>
      <w:tabs>
        <w:tab w:val="center" w:pos="4677"/>
        <w:tab w:val="right" w:pos="9355"/>
      </w:tabs>
    </w:pPr>
  </w:style>
  <w:style w:type="paragraph" w:customStyle="1" w:styleId="13">
    <w:name w:val="Нижній колонтитул1"/>
    <w:basedOn w:val="1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10"/>
    <w:rPr>
      <w:rFonts w:ascii="Verdana" w:hAnsi="Verdana"/>
      <w:sz w:val="20"/>
      <w:szCs w:val="20"/>
      <w:lang w:val="en-US" w:eastAsia="en-US"/>
    </w:rPr>
  </w:style>
  <w:style w:type="paragraph" w:customStyle="1" w:styleId="a4">
    <w:name w:val="Знак Знак Знак Знак Знак Знак Знак"/>
    <w:basedOn w:val="10"/>
    <w:pPr>
      <w:spacing w:after="120"/>
      <w:ind w:firstLine="709"/>
      <w:jc w:val="both"/>
    </w:pPr>
    <w:rPr>
      <w:rFonts w:ascii="Verdana" w:hAnsi="Verdana"/>
      <w:sz w:val="20"/>
      <w:szCs w:val="20"/>
      <w:lang w:val="en-US" w:eastAsia="en-US"/>
    </w:rPr>
  </w:style>
  <w:style w:type="paragraph" w:customStyle="1" w:styleId="14">
    <w:name w:val="Текст у виносці1"/>
    <w:basedOn w:val="10"/>
    <w:rPr>
      <w:rFonts w:ascii="Tahoma" w:hAnsi="Tahoma"/>
      <w:sz w:val="16"/>
      <w:szCs w:val="16"/>
    </w:rPr>
  </w:style>
  <w:style w:type="paragraph" w:customStyle="1" w:styleId="CharCharCharChar">
    <w:name w:val="Char Знак Знак Char Знак Знак Char Знак Знак Char Знак Знак Знак Знак Знак Знак"/>
    <w:basedOn w:val="10"/>
    <w:rPr>
      <w:rFonts w:ascii="Verdana" w:hAnsi="Verdana"/>
      <w:sz w:val="20"/>
      <w:szCs w:val="20"/>
      <w:lang w:val="en-US" w:eastAsia="en-US"/>
    </w:rPr>
  </w:style>
  <w:style w:type="paragraph" w:customStyle="1" w:styleId="15">
    <w:name w:val="Текст виноски1"/>
    <w:basedOn w:val="10"/>
    <w:rPr>
      <w:sz w:val="20"/>
      <w:szCs w:val="20"/>
    </w:rPr>
  </w:style>
  <w:style w:type="paragraph" w:customStyle="1" w:styleId="16">
    <w:name w:val="Знак Знак1 Знак"/>
    <w:basedOn w:val="10"/>
    <w:rPr>
      <w:rFonts w:ascii="Verdana" w:hAnsi="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10"/>
    <w:rPr>
      <w:rFonts w:ascii="Verdana" w:hAnsi="Verdana"/>
      <w:sz w:val="20"/>
      <w:szCs w:val="20"/>
      <w:lang w:val="en-US" w:eastAsia="en-US"/>
    </w:rPr>
  </w:style>
  <w:style w:type="paragraph" w:customStyle="1" w:styleId="CharCharCharChar2">
    <w:name w:val="Char Знак Знак Char Знак Знак Char Знак Знак Char Знак Знак Знак Знак"/>
    <w:basedOn w:val="10"/>
    <w:rPr>
      <w:rFonts w:ascii="Verdana" w:hAnsi="Verdana"/>
      <w:sz w:val="20"/>
      <w:szCs w:val="20"/>
      <w:lang w:val="en-US" w:eastAsia="en-US"/>
    </w:rPr>
  </w:style>
  <w:style w:type="paragraph" w:customStyle="1" w:styleId="StyleZakonu">
    <w:name w:val="StyleZakonu"/>
    <w:basedOn w:val="10"/>
    <w:pPr>
      <w:spacing w:after="60" w:line="220" w:lineRule="atLeast"/>
      <w:ind w:firstLine="284"/>
      <w:jc w:val="both"/>
    </w:pPr>
    <w:rPr>
      <w:sz w:val="20"/>
      <w:szCs w:val="20"/>
      <w:lang w:val="uk-UA"/>
    </w:rPr>
  </w:style>
  <w:style w:type="paragraph" w:customStyle="1" w:styleId="a5">
    <w:name w:val="Знак Знак Знак Знак Знак Знак Знак Знак"/>
    <w:basedOn w:val="10"/>
    <w:rPr>
      <w:rFonts w:ascii="Verdana" w:hAnsi="Verdana"/>
      <w:sz w:val="20"/>
      <w:szCs w:val="20"/>
      <w:lang w:val="en-US" w:eastAsia="en-US"/>
    </w:rPr>
  </w:style>
  <w:style w:type="paragraph" w:customStyle="1" w:styleId="a6">
    <w:name w:val="Знак Знак Знак Знак Знак Знак Знак Знак Знак Знак Знак Знак Знак Знак"/>
    <w:basedOn w:val="10"/>
    <w:rPr>
      <w:rFonts w:ascii="Verdana" w:hAnsi="Verdana"/>
      <w:sz w:val="20"/>
      <w:szCs w:val="20"/>
      <w:lang w:val="en-US" w:eastAsia="en-US"/>
    </w:rPr>
  </w:style>
  <w:style w:type="paragraph" w:customStyle="1" w:styleId="CharCharCharChar3">
    <w:name w:val="Char Знак Знак Char Знак Знак Char Знак Знак Char Знак Знак Знак Знак Знак"/>
    <w:basedOn w:val="10"/>
    <w:rPr>
      <w:rFonts w:ascii="Verdana" w:hAnsi="Verdana"/>
      <w:sz w:val="20"/>
      <w:szCs w:val="20"/>
      <w:lang w:val="en-US" w:eastAsia="en-US"/>
    </w:rPr>
  </w:style>
  <w:style w:type="paragraph" w:customStyle="1" w:styleId="Style2">
    <w:name w:val="Style 2"/>
    <w:basedOn w:val="10"/>
    <w:pPr>
      <w:widowControl w:val="0"/>
      <w:shd w:val="clear" w:color="auto" w:fill="FFFFFF"/>
      <w:spacing w:after="540" w:line="307" w:lineRule="atLeast"/>
      <w:jc w:val="center"/>
    </w:pPr>
    <w:rPr>
      <w:sz w:val="26"/>
      <w:szCs w:val="26"/>
    </w:rPr>
  </w:style>
  <w:style w:type="paragraph" w:customStyle="1" w:styleId="a7">
    <w:name w:val="Знак Знак Знак Знак Знак Знак"/>
    <w:basedOn w:val="10"/>
    <w:rPr>
      <w:rFonts w:ascii="Verdana" w:hAnsi="Verdana"/>
      <w:sz w:val="20"/>
      <w:szCs w:val="20"/>
      <w:lang w:val="en-US" w:eastAsia="en-US"/>
    </w:rPr>
  </w:style>
  <w:style w:type="paragraph" w:customStyle="1" w:styleId="21">
    <w:name w:val="Основний текст 21"/>
    <w:basedOn w:val="10"/>
    <w:pPr>
      <w:ind w:right="-2" w:firstLine="567"/>
      <w:jc w:val="both"/>
    </w:pPr>
    <w:rPr>
      <w:i/>
      <w:iCs/>
      <w:sz w:val="28"/>
      <w:szCs w:val="28"/>
      <w:lang w:val="uk-UA"/>
    </w:rPr>
  </w:style>
  <w:style w:type="paragraph" w:customStyle="1" w:styleId="17">
    <w:name w:val="Текст примітки1"/>
    <w:basedOn w:val="10"/>
    <w:qFormat/>
    <w:rPr>
      <w:sz w:val="20"/>
      <w:szCs w:val="20"/>
    </w:rPr>
  </w:style>
  <w:style w:type="paragraph" w:customStyle="1" w:styleId="18">
    <w:name w:val="Тема примітки1"/>
    <w:basedOn w:val="17"/>
    <w:next w:val="17"/>
    <w:qFormat/>
    <w:rPr>
      <w:b/>
      <w:bCs/>
    </w:rPr>
  </w:style>
  <w:style w:type="paragraph" w:styleId="a8">
    <w:name w:val="Subtitle"/>
    <w:basedOn w:val="a"/>
    <w:next w:val="a"/>
    <w:pPr>
      <w:keepNext/>
      <w:keepLines/>
      <w:spacing w:before="360" w:after="80"/>
    </w:pPr>
    <w:rPr>
      <w:rFonts w:ascii="Georgia" w:hAnsi="Georgia"/>
      <w:i/>
      <w:color w:val="666666"/>
      <w:sz w:val="48"/>
      <w:szCs w:val="48"/>
    </w:rPr>
  </w:style>
  <w:style w:type="paragraph" w:styleId="a9">
    <w:name w:val="footnote text"/>
    <w:link w:val="aa"/>
    <w:semiHidden/>
    <w:rPr>
      <w:szCs w:val="20"/>
    </w:rPr>
  </w:style>
  <w:style w:type="paragraph" w:styleId="ab">
    <w:name w:val="endnote text"/>
    <w:link w:val="ac"/>
    <w:semiHidden/>
    <w:rPr>
      <w:szCs w:val="20"/>
    </w:rPr>
  </w:style>
  <w:style w:type="character" w:styleId="ad">
    <w:name w:val="line number"/>
    <w:basedOn w:val="a0"/>
    <w:semiHidden/>
  </w:style>
  <w:style w:type="character" w:styleId="ae">
    <w:name w:val="Hyperlink"/>
    <w:rPr>
      <w:color w:val="0000FF"/>
      <w:u w:val="single"/>
    </w:rPr>
  </w:style>
  <w:style w:type="character" w:customStyle="1" w:styleId="19">
    <w:name w:val="Шрифт абзацу за промовчанням;Знак Знак Знак Знак Знак Знак Знак Знак1 Знак"/>
    <w:rPr>
      <w:w w:val="100"/>
      <w:position w:val="-1"/>
      <w:vertAlign w:val="baseline"/>
      <w:cs w:val="0"/>
    </w:rPr>
  </w:style>
  <w:style w:type="character" w:customStyle="1" w:styleId="111111112112">
    <w:name w:val="Звичайний (веб) Знак;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к2 Знак"/>
    <w:rPr>
      <w:w w:val="100"/>
      <w:position w:val="-1"/>
      <w:sz w:val="24"/>
      <w:szCs w:val="24"/>
      <w:vertAlign w:val="baseline"/>
      <w:cs w:val="0"/>
      <w:lang w:val="ru-RU" w:eastAsia="ru-RU" w:bidi="ar-SA"/>
    </w:rPr>
  </w:style>
  <w:style w:type="character" w:customStyle="1" w:styleId="1a">
    <w:name w:val="Номер сторінки1"/>
    <w:basedOn w:val="19"/>
    <w:rPr>
      <w:w w:val="100"/>
      <w:position w:val="-1"/>
      <w:vertAlign w:val="baseline"/>
      <w:cs w:val="0"/>
    </w:rPr>
  </w:style>
  <w:style w:type="character" w:customStyle="1" w:styleId="1b">
    <w:name w:val="Знак виноски1"/>
    <w:rPr>
      <w:w w:val="100"/>
      <w:position w:val="-1"/>
      <w:vertAlign w:val="superscript"/>
      <w:cs w:val="0"/>
    </w:rPr>
  </w:style>
  <w:style w:type="character" w:customStyle="1" w:styleId="FontStyle15">
    <w:name w:val="Font Style15"/>
    <w:rPr>
      <w:rFonts w:ascii="Times New Roman" w:hAnsi="Times New Roman"/>
      <w:w w:val="100"/>
      <w:position w:val="-1"/>
      <w:sz w:val="26"/>
      <w:szCs w:val="26"/>
      <w:vertAlign w:val="baseline"/>
      <w:cs w:val="0"/>
    </w:rPr>
  </w:style>
  <w:style w:type="character" w:customStyle="1" w:styleId="StyleZakonu0">
    <w:name w:val="StyleZakonu Знак"/>
    <w:rPr>
      <w:w w:val="100"/>
      <w:position w:val="-1"/>
      <w:vertAlign w:val="baseline"/>
      <w:cs w:val="0"/>
      <w:lang w:val="uk-UA" w:eastAsia="ru-RU" w:bidi="ar-SA"/>
    </w:rPr>
  </w:style>
  <w:style w:type="character" w:customStyle="1" w:styleId="CharStyle3">
    <w:name w:val="Char Style 3"/>
    <w:rPr>
      <w:w w:val="100"/>
      <w:position w:val="-1"/>
      <w:sz w:val="26"/>
      <w:szCs w:val="26"/>
      <w:shd w:val="clear" w:color="auto" w:fill="FFFFFF"/>
      <w:vertAlign w:val="baseline"/>
      <w:cs w:val="0"/>
    </w:rPr>
  </w:style>
  <w:style w:type="character" w:customStyle="1" w:styleId="20">
    <w:name w:val="Заголовок 2 Знак"/>
    <w:rPr>
      <w:rFonts w:ascii="Cambria" w:hAnsi="Cambria"/>
      <w:b/>
      <w:bCs/>
      <w:i/>
      <w:iCs/>
      <w:w w:val="100"/>
      <w:position w:val="-1"/>
      <w:sz w:val="28"/>
      <w:szCs w:val="28"/>
      <w:vertAlign w:val="baseline"/>
      <w:cs w:val="0"/>
      <w:lang w:val="ru-RU" w:eastAsia="ru-RU"/>
    </w:rPr>
  </w:style>
  <w:style w:type="character" w:customStyle="1" w:styleId="22">
    <w:name w:val="Основний текст 2 Знак"/>
    <w:rPr>
      <w:i/>
      <w:iCs/>
      <w:w w:val="100"/>
      <w:position w:val="-1"/>
      <w:sz w:val="28"/>
      <w:szCs w:val="28"/>
      <w:vertAlign w:val="baseline"/>
      <w:cs w:val="0"/>
      <w:lang w:eastAsia="ru-RU"/>
    </w:rPr>
  </w:style>
  <w:style w:type="character" w:customStyle="1" w:styleId="1c">
    <w:name w:val="Знак примітки1"/>
    <w:qFormat/>
    <w:rPr>
      <w:w w:val="100"/>
      <w:position w:val="-1"/>
      <w:sz w:val="16"/>
      <w:szCs w:val="16"/>
      <w:vertAlign w:val="baseline"/>
      <w:cs w:val="0"/>
    </w:rPr>
  </w:style>
  <w:style w:type="character" w:customStyle="1" w:styleId="af">
    <w:name w:val="Текст примітки Знак"/>
    <w:rPr>
      <w:w w:val="100"/>
      <w:position w:val="-1"/>
      <w:vertAlign w:val="baseline"/>
      <w:cs w:val="0"/>
      <w:lang w:val="ru-RU" w:eastAsia="ru-RU"/>
    </w:rPr>
  </w:style>
  <w:style w:type="character" w:customStyle="1" w:styleId="af0">
    <w:name w:val="Тема примітки Знак"/>
    <w:rPr>
      <w:b/>
      <w:bCs/>
      <w:w w:val="100"/>
      <w:position w:val="-1"/>
      <w:vertAlign w:val="baseline"/>
      <w:cs w:val="0"/>
      <w:lang w:val="ru-RU" w:eastAsia="ru-RU"/>
    </w:rPr>
  </w:style>
  <w:style w:type="character" w:styleId="af1">
    <w:name w:val="footnote reference"/>
    <w:semiHidden/>
    <w:rPr>
      <w:vertAlign w:val="superscript"/>
    </w:rPr>
  </w:style>
  <w:style w:type="character" w:customStyle="1" w:styleId="aa">
    <w:name w:val="Текст виноски Знак"/>
    <w:link w:val="a9"/>
    <w:semiHidden/>
    <w:rPr>
      <w:sz w:val="20"/>
      <w:szCs w:val="20"/>
    </w:rPr>
  </w:style>
  <w:style w:type="character" w:styleId="af2">
    <w:name w:val="endnote reference"/>
    <w:semiHidden/>
    <w:rPr>
      <w:vertAlign w:val="superscript"/>
    </w:rPr>
  </w:style>
  <w:style w:type="character" w:customStyle="1" w:styleId="ac">
    <w:name w:val="Текст кінцевої виноски Знак"/>
    <w:link w:val="ab"/>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d">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1e">
    <w:name w:val="Звичайна таблиця1"/>
    <w:pPr>
      <w:suppressAutoHyphens/>
      <w:spacing w:line="1" w:lineRule="atLeast"/>
      <w:ind w:left="-1" w:hanging="1"/>
      <w:outlineLvl w:val="0"/>
    </w:pPr>
    <w:rPr>
      <w:position w:val="-1"/>
    </w:rPr>
    <w:tblPr>
      <w:tblInd w:w="0" w:type="dxa"/>
      <w:tblCellMar>
        <w:top w:w="0" w:type="dxa"/>
        <w:left w:w="108" w:type="dxa"/>
        <w:bottom w:w="0"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numbering" w:customStyle="1" w:styleId="1f">
    <w:name w:val="Немає списку1"/>
  </w:style>
  <w:style w:type="paragraph" w:styleId="af4">
    <w:name w:val="footer"/>
    <w:basedOn w:val="a"/>
    <w:link w:val="af5"/>
    <w:uiPriority w:val="99"/>
    <w:unhideWhenUsed/>
    <w:rsid w:val="008A7B86"/>
    <w:pPr>
      <w:tabs>
        <w:tab w:val="center" w:pos="4819"/>
        <w:tab w:val="right" w:pos="9639"/>
      </w:tabs>
    </w:pPr>
  </w:style>
  <w:style w:type="character" w:customStyle="1" w:styleId="af5">
    <w:name w:val="Нижній колонтитул Знак"/>
    <w:basedOn w:val="a0"/>
    <w:link w:val="af4"/>
    <w:uiPriority w:val="99"/>
    <w:rsid w:val="008A7B86"/>
  </w:style>
  <w:style w:type="paragraph" w:styleId="af6">
    <w:name w:val="header"/>
    <w:basedOn w:val="a"/>
    <w:link w:val="af7"/>
    <w:uiPriority w:val="99"/>
    <w:unhideWhenUsed/>
    <w:rsid w:val="008A7B86"/>
    <w:pPr>
      <w:tabs>
        <w:tab w:val="center" w:pos="4819"/>
        <w:tab w:val="right" w:pos="9639"/>
      </w:tabs>
    </w:pPr>
  </w:style>
  <w:style w:type="character" w:customStyle="1" w:styleId="af7">
    <w:name w:val="Верхній колонтитул Знак"/>
    <w:basedOn w:val="a0"/>
    <w:link w:val="af6"/>
    <w:uiPriority w:val="99"/>
    <w:rsid w:val="008A7B86"/>
  </w:style>
  <w:style w:type="paragraph" w:styleId="af8">
    <w:name w:val="List Paragraph"/>
    <w:basedOn w:val="a"/>
    <w:uiPriority w:val="34"/>
    <w:qFormat/>
    <w:rsid w:val="008A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5570">
      <w:bodyDiv w:val="1"/>
      <w:marLeft w:val="0"/>
      <w:marRight w:val="0"/>
      <w:marTop w:val="0"/>
      <w:marBottom w:val="0"/>
      <w:divBdr>
        <w:top w:val="none" w:sz="0" w:space="0" w:color="auto"/>
        <w:left w:val="none" w:sz="0" w:space="0" w:color="auto"/>
        <w:bottom w:val="none" w:sz="0" w:space="0" w:color="auto"/>
        <w:right w:val="none" w:sz="0" w:space="0" w:color="auto"/>
      </w:divBdr>
    </w:div>
    <w:div w:id="781261981">
      <w:bodyDiv w:val="1"/>
      <w:marLeft w:val="0"/>
      <w:marRight w:val="0"/>
      <w:marTop w:val="0"/>
      <w:marBottom w:val="0"/>
      <w:divBdr>
        <w:top w:val="none" w:sz="0" w:space="0" w:color="auto"/>
        <w:left w:val="none" w:sz="0" w:space="0" w:color="auto"/>
        <w:bottom w:val="none" w:sz="0" w:space="0" w:color="auto"/>
        <w:right w:val="none" w:sz="0" w:space="0" w:color="auto"/>
      </w:divBdr>
    </w:div>
    <w:div w:id="1423525843">
      <w:bodyDiv w:val="1"/>
      <w:marLeft w:val="0"/>
      <w:marRight w:val="0"/>
      <w:marTop w:val="0"/>
      <w:marBottom w:val="0"/>
      <w:divBdr>
        <w:top w:val="none" w:sz="0" w:space="0" w:color="auto"/>
        <w:left w:val="none" w:sz="0" w:space="0" w:color="auto"/>
        <w:bottom w:val="none" w:sz="0" w:space="0" w:color="auto"/>
        <w:right w:val="none" w:sz="0" w:space="0" w:color="auto"/>
      </w:divBdr>
    </w:div>
    <w:div w:id="1488781913">
      <w:bodyDiv w:val="1"/>
      <w:marLeft w:val="0"/>
      <w:marRight w:val="0"/>
      <w:marTop w:val="0"/>
      <w:marBottom w:val="0"/>
      <w:divBdr>
        <w:top w:val="none" w:sz="0" w:space="0" w:color="auto"/>
        <w:left w:val="none" w:sz="0" w:space="0" w:color="auto"/>
        <w:bottom w:val="none" w:sz="0" w:space="0" w:color="auto"/>
        <w:right w:val="none" w:sz="0" w:space="0" w:color="auto"/>
      </w:divBdr>
    </w:div>
    <w:div w:id="177782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6kxD7TUP7B0gCwXrqfEDKHmJQ==">AMUW2mUskA+4IhcRmDZRqhbiFA+EyaSSKODt1VKUyDXSGvEmfZs5w5sDpI7NCRedeJ5JKG7feDvHTvcuUhuQXtJnNJPrpXITQZldJsoMu/9hTLis+BGgMiU0Xz2FuL2QPlZyssv90+24EBCX0pYkewRvQpnBxHvSEJnSXvx4H+VA0+ajS1AwtRRzuZfhpmw6yC210zzslkADaPQ01OccgSbShllnPuX+vwS+sygFJ06dEOBtHPkfRGU=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9DA66D-216D-4A27-AA31-031FD9AD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13</Pages>
  <Words>15726</Words>
  <Characters>8965</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d16-rochnyak</dc:creator>
  <cp:lastModifiedBy>Жук Маргарита Сергіївна</cp:lastModifiedBy>
  <cp:revision>22</cp:revision>
  <dcterms:created xsi:type="dcterms:W3CDTF">2022-12-01T07:26:00Z</dcterms:created>
  <dcterms:modified xsi:type="dcterms:W3CDTF">2023-05-22T07:38:00Z</dcterms:modified>
</cp:coreProperties>
</file>