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FB2" w:rsidRPr="00B22D31" w:rsidRDefault="00F93AED" w:rsidP="003E3205">
      <w:pPr>
        <w:pBdr>
          <w:top w:val="nil"/>
          <w:left w:val="nil"/>
          <w:bottom w:val="nil"/>
          <w:right w:val="nil"/>
          <w:between w:val="nil"/>
        </w:pBdr>
        <w:jc w:val="center"/>
        <w:rPr>
          <w:b/>
          <w:sz w:val="28"/>
          <w:szCs w:val="28"/>
          <w:highlight w:val="white"/>
        </w:rPr>
      </w:pPr>
      <w:bookmarkStart w:id="0" w:name="_GoBack"/>
      <w:bookmarkEnd w:id="0"/>
      <w:r w:rsidRPr="00B22D31">
        <w:rPr>
          <w:b/>
          <w:sz w:val="28"/>
          <w:szCs w:val="28"/>
          <w:highlight w:val="white"/>
        </w:rPr>
        <w:t>АНАЛІЗ РЕГУЛЯТОРНОГО ВПЛИВУ</w:t>
      </w:r>
    </w:p>
    <w:p w:rsidR="00AE0FB2" w:rsidRPr="00B22D31" w:rsidRDefault="00F93AED" w:rsidP="00212731">
      <w:pPr>
        <w:pBdr>
          <w:top w:val="nil"/>
          <w:left w:val="nil"/>
          <w:bottom w:val="nil"/>
          <w:right w:val="nil"/>
          <w:between w:val="nil"/>
        </w:pBdr>
        <w:jc w:val="center"/>
        <w:rPr>
          <w:b/>
          <w:sz w:val="28"/>
          <w:szCs w:val="28"/>
          <w:highlight w:val="white"/>
        </w:rPr>
      </w:pPr>
      <w:r w:rsidRPr="00B22D31">
        <w:rPr>
          <w:b/>
          <w:sz w:val="28"/>
          <w:szCs w:val="28"/>
          <w:highlight w:val="white"/>
        </w:rPr>
        <w:t xml:space="preserve">проекту постанови Кабінету Міністрів України «Про внесення змін до Порядку зупинення реєстрації податкової накладної / розрахунку коригування в Єдиному реєстрі податкових накладних» </w:t>
      </w:r>
    </w:p>
    <w:p w:rsidR="00AE0FB2" w:rsidRPr="00B22D31" w:rsidRDefault="00AE0FB2" w:rsidP="00212731">
      <w:pPr>
        <w:pBdr>
          <w:top w:val="nil"/>
          <w:left w:val="nil"/>
          <w:bottom w:val="nil"/>
          <w:right w:val="nil"/>
          <w:between w:val="nil"/>
        </w:pBdr>
        <w:rPr>
          <w:b/>
          <w:sz w:val="28"/>
          <w:szCs w:val="28"/>
          <w:highlight w:val="white"/>
        </w:rPr>
      </w:pPr>
    </w:p>
    <w:p w:rsidR="00AE0FB2" w:rsidRPr="00B22D31" w:rsidRDefault="00F93AED" w:rsidP="00212731">
      <w:pPr>
        <w:pBdr>
          <w:top w:val="nil"/>
          <w:left w:val="nil"/>
          <w:bottom w:val="nil"/>
          <w:right w:val="nil"/>
          <w:between w:val="nil"/>
        </w:pBdr>
        <w:tabs>
          <w:tab w:val="left" w:pos="3261"/>
          <w:tab w:val="left" w:pos="3544"/>
        </w:tabs>
        <w:spacing w:line="360" w:lineRule="auto"/>
        <w:jc w:val="center"/>
        <w:rPr>
          <w:b/>
          <w:sz w:val="28"/>
          <w:szCs w:val="28"/>
          <w:highlight w:val="white"/>
        </w:rPr>
      </w:pPr>
      <w:r w:rsidRPr="00B22D31">
        <w:rPr>
          <w:b/>
          <w:sz w:val="28"/>
          <w:szCs w:val="28"/>
          <w:highlight w:val="white"/>
        </w:rPr>
        <w:t>І. Визначення проблеми</w:t>
      </w:r>
    </w:p>
    <w:p w:rsidR="00AE0FB2" w:rsidRPr="00B22D31" w:rsidRDefault="005D251D" w:rsidP="00212731">
      <w:pPr>
        <w:pBdr>
          <w:top w:val="nil"/>
          <w:left w:val="nil"/>
          <w:bottom w:val="nil"/>
          <w:right w:val="nil"/>
          <w:between w:val="nil"/>
        </w:pBdr>
        <w:ind w:firstLine="567"/>
        <w:jc w:val="both"/>
        <w:rPr>
          <w:sz w:val="28"/>
          <w:szCs w:val="28"/>
        </w:rPr>
      </w:pPr>
      <w:r w:rsidRPr="00B22D31">
        <w:rPr>
          <w:sz w:val="28"/>
          <w:szCs w:val="28"/>
        </w:rPr>
        <w:t>У зв’язку з прийняттям Закону України від 12.05.2022 № 2260-ІХ «Про внесення змін до Податкового кодексу України та інших законів України щодо особливостей податкового адміністрування податків, зборів та єдиного внеску під час дії воєнного, надзвичайного стану», яким передбачено відновлення реєстрації податкових накладних / розрахунків коригування в Єдиному реєстрі податкових накладних (далі – Реєстр), та постанови Кабінету Міністрів України від 12.10.2022 № 1154 «Про внесення змін до Порядку зупинення реєстрації податкової накладної/розрахунку коригування в Єдиному реєстрі податкових накладних», якою внесено зміни до безумовної реєстрації розрахунків коригування та критерію ризиковості здійснення операцій, виникла необхідність внесення змін до Порядку зупинення реєстрації податкової накладної / розрахунку коригування в Єдиному реєстрі податкових накладних (далі – Порядок зупинення), затвердженого постановою</w:t>
      </w:r>
      <w:r w:rsidR="00212731" w:rsidRPr="00B22D31">
        <w:rPr>
          <w:sz w:val="28"/>
          <w:szCs w:val="28"/>
        </w:rPr>
        <w:t xml:space="preserve"> Кабінету Міністрів України від </w:t>
      </w:r>
      <w:r w:rsidRPr="00B22D31">
        <w:rPr>
          <w:sz w:val="28"/>
          <w:szCs w:val="28"/>
        </w:rPr>
        <w:t>11.12.2019 № 1165 (далі – постанова № 1165)</w:t>
      </w:r>
    </w:p>
    <w:p w:rsidR="00AE0FB2" w:rsidRPr="00B22D31" w:rsidRDefault="005D251D" w:rsidP="00212731">
      <w:pPr>
        <w:pBdr>
          <w:top w:val="nil"/>
          <w:left w:val="nil"/>
          <w:bottom w:val="nil"/>
          <w:right w:val="nil"/>
          <w:between w:val="nil"/>
        </w:pBdr>
        <w:ind w:firstLine="567"/>
        <w:jc w:val="both"/>
        <w:rPr>
          <w:sz w:val="28"/>
          <w:szCs w:val="28"/>
        </w:rPr>
      </w:pPr>
      <w:r w:rsidRPr="00B22D31">
        <w:rPr>
          <w:sz w:val="28"/>
          <w:szCs w:val="28"/>
        </w:rPr>
        <w:t xml:space="preserve">Метою прийняття проекту постанови Кабінету Міністрів України «Про внесення змін до Порядку зупинення реєстрації податкової накладної/розрахунку коригування в Єдиному реєстрі податкових накладних» (далі – проект акта) </w:t>
      </w:r>
      <w:r w:rsidR="00D21ECD" w:rsidRPr="00B22D31">
        <w:rPr>
          <w:sz w:val="28"/>
          <w:szCs w:val="28"/>
        </w:rPr>
        <w:t>є створення сприятливих умов для реєстрації податкових накладних, удосконалення автоматизованого моніторингу відповідності податкової накладної</w:t>
      </w:r>
      <w:r w:rsidR="00212731" w:rsidRPr="00B22D31">
        <w:rPr>
          <w:sz w:val="28"/>
          <w:szCs w:val="28"/>
        </w:rPr>
        <w:t xml:space="preserve"> </w:t>
      </w:r>
      <w:r w:rsidR="00D21ECD" w:rsidRPr="00B22D31">
        <w:rPr>
          <w:sz w:val="28"/>
          <w:szCs w:val="28"/>
        </w:rPr>
        <w:t>/</w:t>
      </w:r>
      <w:r w:rsidR="00212731" w:rsidRPr="00B22D31">
        <w:rPr>
          <w:sz w:val="28"/>
          <w:szCs w:val="28"/>
        </w:rPr>
        <w:t xml:space="preserve"> </w:t>
      </w:r>
      <w:r w:rsidR="00D21ECD" w:rsidRPr="00B22D31">
        <w:rPr>
          <w:sz w:val="28"/>
          <w:szCs w:val="28"/>
        </w:rPr>
        <w:t>розрахунку коригування критеріям оцінки ступеня ризиків (далі – СМКОР), усунення непорозумінь між платниками податку та контролюючими органами та можливість держави своєчасно виконувати свої зобов’язання перед платниками податку в частині відшкодування податку на додану вартість з бюджету.</w:t>
      </w:r>
    </w:p>
    <w:p w:rsidR="00AE0FB2" w:rsidRPr="00B22D31" w:rsidRDefault="00F93AED" w:rsidP="00212731">
      <w:pPr>
        <w:pBdr>
          <w:top w:val="nil"/>
          <w:left w:val="nil"/>
          <w:bottom w:val="nil"/>
          <w:right w:val="nil"/>
          <w:between w:val="nil"/>
        </w:pBdr>
        <w:ind w:firstLine="567"/>
        <w:jc w:val="both"/>
        <w:rPr>
          <w:sz w:val="28"/>
          <w:szCs w:val="28"/>
        </w:rPr>
      </w:pPr>
      <w:r w:rsidRPr="00B22D31">
        <w:rPr>
          <w:sz w:val="28"/>
          <w:szCs w:val="28"/>
        </w:rPr>
        <w:t>Інформація про кількість суб’єктів господарювання, які зареєстровані платниками податку на додану вартість:</w:t>
      </w:r>
    </w:p>
    <w:tbl>
      <w:tblPr>
        <w:tblStyle w:val="af3"/>
        <w:tblW w:w="97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8"/>
        <w:gridCol w:w="2961"/>
        <w:gridCol w:w="3636"/>
      </w:tblGrid>
      <w:tr w:rsidR="00B22D31" w:rsidRPr="00B22D31">
        <w:tc>
          <w:tcPr>
            <w:tcW w:w="9735" w:type="dxa"/>
            <w:gridSpan w:val="3"/>
            <w:tcBorders>
              <w:top w:val="single" w:sz="4" w:space="0" w:color="000000"/>
              <w:left w:val="single" w:sz="4" w:space="0" w:color="000000"/>
              <w:bottom w:val="single" w:sz="4" w:space="0" w:color="000000"/>
              <w:right w:val="single" w:sz="4" w:space="0" w:color="000000"/>
            </w:tcBorders>
          </w:tcPr>
          <w:p w:rsidR="00AE0FB2" w:rsidRPr="00B22D31" w:rsidRDefault="00F93AED">
            <w:pPr>
              <w:widowControl w:val="0"/>
              <w:tabs>
                <w:tab w:val="left" w:pos="9411"/>
                <w:tab w:val="left" w:pos="9741"/>
              </w:tabs>
              <w:jc w:val="center"/>
              <w:rPr>
                <w:sz w:val="28"/>
                <w:szCs w:val="24"/>
                <w:highlight w:val="white"/>
              </w:rPr>
            </w:pPr>
            <w:r w:rsidRPr="00B22D31">
              <w:rPr>
                <w:sz w:val="28"/>
                <w:szCs w:val="24"/>
                <w:highlight w:val="white"/>
              </w:rPr>
              <w:t>Кількість суб’єктів господарювання</w:t>
            </w:r>
            <w:r w:rsidRPr="00B22D31">
              <w:rPr>
                <w:sz w:val="28"/>
                <w:szCs w:val="24"/>
                <w:highlight w:val="white"/>
                <w:vertAlign w:val="superscript"/>
              </w:rPr>
              <w:t xml:space="preserve"> </w:t>
            </w:r>
            <w:r w:rsidRPr="00B22D31">
              <w:rPr>
                <w:sz w:val="28"/>
                <w:szCs w:val="24"/>
                <w:highlight w:val="white"/>
              </w:rPr>
              <w:t>станом на 01.01.2022</w:t>
            </w:r>
          </w:p>
        </w:tc>
      </w:tr>
      <w:tr w:rsidR="00B22D31" w:rsidRPr="00B22D31">
        <w:tc>
          <w:tcPr>
            <w:tcW w:w="3138" w:type="dxa"/>
            <w:tcBorders>
              <w:top w:val="single" w:sz="4" w:space="0" w:color="000000"/>
              <w:left w:val="single" w:sz="4" w:space="0" w:color="000000"/>
              <w:bottom w:val="single" w:sz="4" w:space="0" w:color="000000"/>
              <w:right w:val="single" w:sz="4" w:space="0" w:color="000000"/>
            </w:tcBorders>
          </w:tcPr>
          <w:p w:rsidR="00AE0FB2" w:rsidRPr="00B22D31" w:rsidRDefault="00F93AED">
            <w:pPr>
              <w:widowControl w:val="0"/>
              <w:tabs>
                <w:tab w:val="left" w:pos="9411"/>
                <w:tab w:val="left" w:pos="9741"/>
              </w:tabs>
              <w:jc w:val="center"/>
              <w:rPr>
                <w:sz w:val="28"/>
                <w:szCs w:val="24"/>
                <w:highlight w:val="white"/>
              </w:rPr>
            </w:pPr>
            <w:r w:rsidRPr="00B22D31">
              <w:rPr>
                <w:sz w:val="28"/>
                <w:szCs w:val="24"/>
                <w:highlight w:val="white"/>
              </w:rPr>
              <w:t>Всього</w:t>
            </w:r>
          </w:p>
        </w:tc>
        <w:tc>
          <w:tcPr>
            <w:tcW w:w="2961" w:type="dxa"/>
            <w:tcBorders>
              <w:top w:val="single" w:sz="4" w:space="0" w:color="000000"/>
              <w:left w:val="single" w:sz="4" w:space="0" w:color="000000"/>
              <w:bottom w:val="single" w:sz="4" w:space="0" w:color="000000"/>
              <w:right w:val="single" w:sz="4" w:space="0" w:color="000000"/>
            </w:tcBorders>
          </w:tcPr>
          <w:p w:rsidR="00AE0FB2" w:rsidRPr="00B22D31" w:rsidRDefault="00F93AED">
            <w:pPr>
              <w:widowControl w:val="0"/>
              <w:tabs>
                <w:tab w:val="left" w:pos="9411"/>
                <w:tab w:val="left" w:pos="9741"/>
              </w:tabs>
              <w:jc w:val="center"/>
              <w:rPr>
                <w:sz w:val="28"/>
                <w:szCs w:val="24"/>
                <w:highlight w:val="white"/>
              </w:rPr>
            </w:pPr>
            <w:r w:rsidRPr="00B22D31">
              <w:rPr>
                <w:sz w:val="28"/>
                <w:szCs w:val="24"/>
                <w:highlight w:val="white"/>
              </w:rPr>
              <w:t>Юридичних осіб</w:t>
            </w:r>
          </w:p>
        </w:tc>
        <w:tc>
          <w:tcPr>
            <w:tcW w:w="3636" w:type="dxa"/>
            <w:tcBorders>
              <w:top w:val="single" w:sz="4" w:space="0" w:color="000000"/>
              <w:left w:val="single" w:sz="4" w:space="0" w:color="000000"/>
              <w:bottom w:val="single" w:sz="4" w:space="0" w:color="000000"/>
              <w:right w:val="single" w:sz="4" w:space="0" w:color="000000"/>
            </w:tcBorders>
          </w:tcPr>
          <w:p w:rsidR="00AE0FB2" w:rsidRPr="00B22D31" w:rsidRDefault="00F93AED">
            <w:pPr>
              <w:widowControl w:val="0"/>
              <w:tabs>
                <w:tab w:val="left" w:pos="9411"/>
                <w:tab w:val="left" w:pos="9741"/>
              </w:tabs>
              <w:jc w:val="center"/>
              <w:rPr>
                <w:sz w:val="28"/>
                <w:szCs w:val="24"/>
                <w:highlight w:val="white"/>
              </w:rPr>
            </w:pPr>
            <w:r w:rsidRPr="00B22D31">
              <w:rPr>
                <w:sz w:val="28"/>
                <w:szCs w:val="24"/>
                <w:highlight w:val="white"/>
              </w:rPr>
              <w:t>Фізичних осіб – підприємців</w:t>
            </w:r>
          </w:p>
        </w:tc>
      </w:tr>
      <w:tr w:rsidR="00B22D31" w:rsidRPr="00B22D31">
        <w:trPr>
          <w:trHeight w:val="187"/>
        </w:trPr>
        <w:tc>
          <w:tcPr>
            <w:tcW w:w="3138" w:type="dxa"/>
            <w:tcBorders>
              <w:top w:val="single" w:sz="4" w:space="0" w:color="000000"/>
              <w:left w:val="single" w:sz="4" w:space="0" w:color="000000"/>
              <w:bottom w:val="single" w:sz="4" w:space="0" w:color="000000"/>
              <w:right w:val="single" w:sz="4" w:space="0" w:color="000000"/>
            </w:tcBorders>
            <w:vAlign w:val="center"/>
          </w:tcPr>
          <w:p w:rsidR="00AE0FB2" w:rsidRPr="00B22D31" w:rsidRDefault="00F93AED">
            <w:pPr>
              <w:widowControl w:val="0"/>
              <w:tabs>
                <w:tab w:val="left" w:pos="9411"/>
                <w:tab w:val="left" w:pos="9741"/>
              </w:tabs>
              <w:jc w:val="center"/>
              <w:rPr>
                <w:sz w:val="28"/>
                <w:szCs w:val="24"/>
                <w:highlight w:val="white"/>
              </w:rPr>
            </w:pPr>
            <w:r w:rsidRPr="00B22D31">
              <w:rPr>
                <w:sz w:val="28"/>
                <w:szCs w:val="24"/>
                <w:highlight w:val="white"/>
              </w:rPr>
              <w:t>262 580</w:t>
            </w:r>
          </w:p>
        </w:tc>
        <w:tc>
          <w:tcPr>
            <w:tcW w:w="2961" w:type="dxa"/>
            <w:tcBorders>
              <w:top w:val="single" w:sz="4" w:space="0" w:color="000000"/>
              <w:left w:val="single" w:sz="4" w:space="0" w:color="000000"/>
              <w:bottom w:val="single" w:sz="4" w:space="0" w:color="000000"/>
              <w:right w:val="single" w:sz="4" w:space="0" w:color="000000"/>
            </w:tcBorders>
            <w:vAlign w:val="center"/>
          </w:tcPr>
          <w:p w:rsidR="00AE0FB2" w:rsidRPr="00B22D31" w:rsidRDefault="00F93AED">
            <w:pPr>
              <w:widowControl w:val="0"/>
              <w:tabs>
                <w:tab w:val="left" w:pos="9411"/>
                <w:tab w:val="left" w:pos="9741"/>
              </w:tabs>
              <w:jc w:val="center"/>
              <w:rPr>
                <w:sz w:val="28"/>
                <w:szCs w:val="24"/>
                <w:highlight w:val="white"/>
              </w:rPr>
            </w:pPr>
            <w:r w:rsidRPr="00B22D31">
              <w:rPr>
                <w:sz w:val="28"/>
                <w:szCs w:val="24"/>
                <w:highlight w:val="white"/>
              </w:rPr>
              <w:t>239 355</w:t>
            </w:r>
          </w:p>
        </w:tc>
        <w:tc>
          <w:tcPr>
            <w:tcW w:w="3636" w:type="dxa"/>
            <w:tcBorders>
              <w:top w:val="single" w:sz="4" w:space="0" w:color="000000"/>
              <w:left w:val="single" w:sz="4" w:space="0" w:color="000000"/>
              <w:bottom w:val="single" w:sz="4" w:space="0" w:color="000000"/>
              <w:right w:val="single" w:sz="4" w:space="0" w:color="000000"/>
            </w:tcBorders>
            <w:vAlign w:val="center"/>
          </w:tcPr>
          <w:p w:rsidR="00AE0FB2" w:rsidRPr="00B22D31" w:rsidRDefault="00F93AED">
            <w:pPr>
              <w:widowControl w:val="0"/>
              <w:tabs>
                <w:tab w:val="left" w:pos="9411"/>
                <w:tab w:val="left" w:pos="9741"/>
              </w:tabs>
              <w:jc w:val="center"/>
              <w:rPr>
                <w:sz w:val="28"/>
                <w:szCs w:val="24"/>
                <w:highlight w:val="white"/>
              </w:rPr>
            </w:pPr>
            <w:r w:rsidRPr="00B22D31">
              <w:rPr>
                <w:sz w:val="28"/>
                <w:szCs w:val="24"/>
                <w:highlight w:val="white"/>
              </w:rPr>
              <w:t>23 225</w:t>
            </w:r>
          </w:p>
        </w:tc>
      </w:tr>
    </w:tbl>
    <w:p w:rsidR="00AE0FB2" w:rsidRPr="00B22D31" w:rsidRDefault="00212731">
      <w:pPr>
        <w:widowControl w:val="0"/>
        <w:tabs>
          <w:tab w:val="left" w:pos="1110"/>
        </w:tabs>
        <w:ind w:firstLine="566"/>
        <w:jc w:val="both"/>
        <w:rPr>
          <w:sz w:val="28"/>
          <w:szCs w:val="28"/>
          <w:highlight w:val="white"/>
        </w:rPr>
      </w:pPr>
      <w:r w:rsidRPr="00B22D31">
        <w:rPr>
          <w:sz w:val="28"/>
          <w:szCs w:val="28"/>
          <w:highlight w:val="white"/>
        </w:rPr>
        <w:t xml:space="preserve">СМКОР, </w:t>
      </w:r>
      <w:r w:rsidR="003E3205" w:rsidRPr="00B22D31">
        <w:rPr>
          <w:sz w:val="28"/>
          <w:szCs w:val="28"/>
          <w:highlight w:val="white"/>
        </w:rPr>
        <w:t xml:space="preserve">що </w:t>
      </w:r>
      <w:r w:rsidRPr="00B22D31">
        <w:rPr>
          <w:sz w:val="28"/>
          <w:szCs w:val="28"/>
          <w:highlight w:val="white"/>
        </w:rPr>
        <w:t>спрямован</w:t>
      </w:r>
      <w:r w:rsidR="003E3205" w:rsidRPr="00B22D31">
        <w:rPr>
          <w:sz w:val="28"/>
          <w:szCs w:val="28"/>
          <w:highlight w:val="white"/>
        </w:rPr>
        <w:t>о</w:t>
      </w:r>
      <w:r w:rsidR="00F93AED" w:rsidRPr="00B22D31">
        <w:rPr>
          <w:sz w:val="28"/>
          <w:szCs w:val="28"/>
          <w:highlight w:val="white"/>
        </w:rPr>
        <w:t xml:space="preserve"> на здійснення контролю за нарахуванням податкових зобов’язань з податку на додану вартість, забезпечує повноту надходжень податку до бюджету, що зі свого боку забезпечує можливість державі своєчасно виконувати свої зобов’язання перед платниками податку в частині відшкодування податку на додану вартість з бюджету. Також  зазначене дозволяє бізнесу прозоро планувати свої бізнес-процеси.</w:t>
      </w:r>
    </w:p>
    <w:p w:rsidR="00AE0FB2" w:rsidRPr="00B22D31" w:rsidRDefault="00F93AED" w:rsidP="005D251D">
      <w:pPr>
        <w:widowControl w:val="0"/>
        <w:tabs>
          <w:tab w:val="left" w:pos="1110"/>
        </w:tabs>
        <w:ind w:firstLine="566"/>
        <w:jc w:val="both"/>
        <w:rPr>
          <w:sz w:val="28"/>
          <w:szCs w:val="28"/>
        </w:rPr>
      </w:pPr>
      <w:r w:rsidRPr="00B22D31">
        <w:rPr>
          <w:sz w:val="28"/>
          <w:szCs w:val="28"/>
        </w:rPr>
        <w:t>За наявною в Міністерстві фінансів України інформацією, протягом 2020</w:t>
      </w:r>
      <w:r w:rsidR="00212731" w:rsidRPr="00B22D31">
        <w:rPr>
          <w:sz w:val="28"/>
          <w:szCs w:val="28"/>
        </w:rPr>
        <w:t> </w:t>
      </w:r>
      <w:r w:rsidRPr="00B22D31">
        <w:rPr>
          <w:sz w:val="28"/>
          <w:szCs w:val="28"/>
        </w:rPr>
        <w:t xml:space="preserve">року кількість платників податку на додану вартість, яким було зупинено </w:t>
      </w:r>
      <w:r w:rsidRPr="00B22D31">
        <w:rPr>
          <w:sz w:val="28"/>
          <w:szCs w:val="28"/>
        </w:rPr>
        <w:lastRenderedPageBreak/>
        <w:t>реєстрацію податкових накладних / розрахунків коригування в Реєстрі, становить 38 089 суб’єктів господарювання (15</w:t>
      </w:r>
      <w:r w:rsidR="00212731" w:rsidRPr="00B22D31">
        <w:rPr>
          <w:sz w:val="28"/>
          <w:szCs w:val="28"/>
        </w:rPr>
        <w:t xml:space="preserve"> </w:t>
      </w:r>
      <w:r w:rsidRPr="00B22D31">
        <w:rPr>
          <w:sz w:val="28"/>
          <w:szCs w:val="28"/>
        </w:rPr>
        <w:t xml:space="preserve">% від загальної кількості зареєстрованих платників податку), а в 2021 році кількість таких платників становила </w:t>
      </w:r>
      <w:r w:rsidR="00901276" w:rsidRPr="00B22D31">
        <w:rPr>
          <w:sz w:val="28"/>
          <w:szCs w:val="28"/>
        </w:rPr>
        <w:t>44 220</w:t>
      </w:r>
      <w:r w:rsidRPr="00B22D31">
        <w:rPr>
          <w:sz w:val="28"/>
          <w:szCs w:val="28"/>
        </w:rPr>
        <w:t xml:space="preserve"> суб’єктів господарювання (1</w:t>
      </w:r>
      <w:r w:rsidR="00E50150" w:rsidRPr="00B22D31">
        <w:rPr>
          <w:sz w:val="28"/>
          <w:szCs w:val="28"/>
        </w:rPr>
        <w:t>7</w:t>
      </w:r>
      <w:r w:rsidR="00212731" w:rsidRPr="00B22D31">
        <w:rPr>
          <w:sz w:val="28"/>
          <w:szCs w:val="28"/>
        </w:rPr>
        <w:t xml:space="preserve"> </w:t>
      </w:r>
      <w:r w:rsidRPr="00B22D31">
        <w:rPr>
          <w:sz w:val="28"/>
          <w:szCs w:val="28"/>
        </w:rPr>
        <w:t xml:space="preserve">% від загальної кількості зареєстрованих платників податку), що на </w:t>
      </w:r>
      <w:r w:rsidR="00212731" w:rsidRPr="00B22D31">
        <w:rPr>
          <w:sz w:val="28"/>
          <w:szCs w:val="28"/>
        </w:rPr>
        <w:t>6131 платник</w:t>
      </w:r>
      <w:r w:rsidR="00901276" w:rsidRPr="00B22D31">
        <w:rPr>
          <w:sz w:val="28"/>
          <w:szCs w:val="28"/>
        </w:rPr>
        <w:t>, або 16</w:t>
      </w:r>
      <w:r w:rsidR="00212731" w:rsidRPr="00B22D31">
        <w:rPr>
          <w:sz w:val="28"/>
          <w:szCs w:val="28"/>
        </w:rPr>
        <w:t xml:space="preserve"> </w:t>
      </w:r>
      <w:r w:rsidRPr="00B22D31">
        <w:rPr>
          <w:sz w:val="28"/>
          <w:szCs w:val="28"/>
        </w:rPr>
        <w:t>%</w:t>
      </w:r>
      <w:r w:rsidR="00212731" w:rsidRPr="00B22D31">
        <w:rPr>
          <w:sz w:val="28"/>
          <w:szCs w:val="28"/>
        </w:rPr>
        <w:t>,</w:t>
      </w:r>
      <w:r w:rsidRPr="00B22D31">
        <w:rPr>
          <w:sz w:val="28"/>
          <w:szCs w:val="28"/>
        </w:rPr>
        <w:t xml:space="preserve"> більше порівняно з попереднім періодом.</w:t>
      </w:r>
    </w:p>
    <w:p w:rsidR="00E31A0F" w:rsidRPr="00B22D31" w:rsidRDefault="00212731" w:rsidP="00E31A0F">
      <w:pPr>
        <w:widowControl w:val="0"/>
        <w:tabs>
          <w:tab w:val="left" w:pos="1110"/>
        </w:tabs>
        <w:ind w:firstLine="566"/>
        <w:jc w:val="both"/>
        <w:rPr>
          <w:sz w:val="28"/>
          <w:szCs w:val="28"/>
          <w:highlight w:val="white"/>
        </w:rPr>
      </w:pPr>
      <w:r w:rsidRPr="00B22D31">
        <w:rPr>
          <w:sz w:val="28"/>
          <w:szCs w:val="28"/>
          <w:highlight w:val="white"/>
        </w:rPr>
        <w:t>Проектом акта запропоновано</w:t>
      </w:r>
      <w:r w:rsidR="00E31A0F" w:rsidRPr="00B22D31">
        <w:rPr>
          <w:sz w:val="28"/>
          <w:szCs w:val="28"/>
          <w:highlight w:val="white"/>
        </w:rPr>
        <w:t>:</w:t>
      </w:r>
    </w:p>
    <w:p w:rsidR="005D251D" w:rsidRPr="00B22D31" w:rsidRDefault="005D251D" w:rsidP="005D251D">
      <w:pPr>
        <w:ind w:firstLine="566"/>
        <w:jc w:val="both"/>
        <w:rPr>
          <w:sz w:val="28"/>
          <w:szCs w:val="28"/>
        </w:rPr>
      </w:pPr>
      <w:r w:rsidRPr="00B22D31">
        <w:rPr>
          <w:sz w:val="28"/>
          <w:szCs w:val="28"/>
        </w:rPr>
        <w:t>1. Запровадити разову автоматичну реєстрацію податкових накладних / розрахунків коригування, що були зупинені у період з 14.10.2022 до дати набрання чинності запропонованими змінами до постанови № 1165, якщо у таких податкових накладних / розрахунках коригування зазначені операції з кодами товарів згідно з УКТ ЗЕД та/або кодами послуг згідно з Державним класифікатором продукції та послуг, що відображені у таблицях даних платника податку, за якими прийнято рішення про врахування.</w:t>
      </w:r>
    </w:p>
    <w:p w:rsidR="005D251D" w:rsidRPr="00B22D31" w:rsidRDefault="005D251D" w:rsidP="005D251D">
      <w:pPr>
        <w:ind w:firstLine="566"/>
        <w:jc w:val="both"/>
        <w:rPr>
          <w:sz w:val="28"/>
          <w:szCs w:val="28"/>
        </w:rPr>
      </w:pPr>
      <w:r w:rsidRPr="00B22D31">
        <w:rPr>
          <w:sz w:val="28"/>
          <w:szCs w:val="28"/>
        </w:rPr>
        <w:t>2. Внести зміни до Порядку зупинення, затвердженого постановою № 1165, а саме:</w:t>
      </w:r>
    </w:p>
    <w:p w:rsidR="005D251D" w:rsidRPr="00B22D31" w:rsidRDefault="005D251D" w:rsidP="005D251D">
      <w:pPr>
        <w:ind w:firstLine="566"/>
        <w:jc w:val="both"/>
        <w:rPr>
          <w:sz w:val="28"/>
          <w:szCs w:val="28"/>
        </w:rPr>
      </w:pPr>
      <w:r w:rsidRPr="00B22D31">
        <w:rPr>
          <w:sz w:val="28"/>
          <w:szCs w:val="28"/>
        </w:rPr>
        <w:t>1) розширити ознаки безумовної реєстрації податкових накладних / розрахунків коригування в Реєстрі, зокрема, виключити з моніторингу:</w:t>
      </w:r>
    </w:p>
    <w:p w:rsidR="005D251D" w:rsidRPr="00B22D31" w:rsidRDefault="005D251D" w:rsidP="005D251D">
      <w:pPr>
        <w:ind w:firstLine="566"/>
        <w:jc w:val="both"/>
        <w:rPr>
          <w:sz w:val="28"/>
          <w:szCs w:val="28"/>
        </w:rPr>
      </w:pPr>
      <w:r w:rsidRPr="00B22D31">
        <w:rPr>
          <w:sz w:val="28"/>
          <w:szCs w:val="28"/>
        </w:rPr>
        <w:t>податкові накладні, в яких обсяг постачання не перевищує 5 тис. гривень;</w:t>
      </w:r>
    </w:p>
    <w:p w:rsidR="005D251D" w:rsidRPr="00B22D31" w:rsidRDefault="005D251D" w:rsidP="005D251D">
      <w:pPr>
        <w:ind w:firstLine="566"/>
        <w:jc w:val="both"/>
        <w:rPr>
          <w:sz w:val="28"/>
          <w:szCs w:val="28"/>
        </w:rPr>
      </w:pPr>
      <w:r w:rsidRPr="00B22D31">
        <w:rPr>
          <w:sz w:val="28"/>
          <w:szCs w:val="28"/>
        </w:rPr>
        <w:t>розрахунки коригування, в яких абсолютне значення суми коригування на зменшення/збільшення суми компенсації не перевищує 5 тис. гривень.</w:t>
      </w:r>
    </w:p>
    <w:p w:rsidR="005D251D" w:rsidRPr="00B22D31" w:rsidRDefault="005D251D" w:rsidP="005D251D">
      <w:pPr>
        <w:ind w:firstLine="566"/>
        <w:jc w:val="both"/>
        <w:rPr>
          <w:sz w:val="28"/>
          <w:szCs w:val="28"/>
        </w:rPr>
      </w:pPr>
      <w:r w:rsidRPr="00B22D31">
        <w:rPr>
          <w:sz w:val="28"/>
          <w:szCs w:val="28"/>
        </w:rPr>
        <w:t>Водночас обсяг операцій у поточному місяці за такими податковими накладними / розрахунками коригування не перевищує 500 тис. гривень;</w:t>
      </w:r>
    </w:p>
    <w:p w:rsidR="005D251D" w:rsidRPr="00B22D31" w:rsidRDefault="005D251D" w:rsidP="005D251D">
      <w:pPr>
        <w:ind w:firstLine="566"/>
        <w:jc w:val="both"/>
        <w:rPr>
          <w:sz w:val="28"/>
          <w:szCs w:val="28"/>
        </w:rPr>
      </w:pPr>
      <w:r w:rsidRPr="00B22D31">
        <w:rPr>
          <w:sz w:val="28"/>
          <w:szCs w:val="28"/>
        </w:rPr>
        <w:t>2) змінити форми додатка 4 до Порядку зупинення «Рішення про відповідність/невідповідність платника податку на додану вартість критеріям ризиковості платника податку», додатка 6 до Порядку зупинення «Рішення про врахування/неврахування таблиці даних платника податку на додану вартість» та додатка 7 до Порядку зупинення «Рішення про неврахування таблиці даних платника податку на додану вартість» шляхом зазначення у відповідних полях рішень детальної інформація, за якою встановлено відповідність критеріям ризиковості платника податку, тип операції (придбання/постачання), період здійснення господарської операції, код згідно з УКТ ЗЕД /ДКПП/ умовним кодом товару, податковий номер платника податку, задіяного в ризиковій операції;</w:t>
      </w:r>
    </w:p>
    <w:p w:rsidR="005D251D" w:rsidRPr="00B22D31" w:rsidRDefault="005D251D" w:rsidP="005D251D">
      <w:pPr>
        <w:ind w:firstLine="566"/>
        <w:jc w:val="both"/>
        <w:rPr>
          <w:sz w:val="28"/>
          <w:szCs w:val="28"/>
        </w:rPr>
      </w:pPr>
      <w:r w:rsidRPr="00B22D31">
        <w:rPr>
          <w:sz w:val="28"/>
          <w:szCs w:val="28"/>
        </w:rPr>
        <w:t>3) встановити, що у разі виключення платника податку з переліку платників, які відповідають критеріям ризиковості платника податку, на підставі рішення комісії регіо</w:t>
      </w:r>
      <w:r w:rsidR="00212731" w:rsidRPr="00B22D31">
        <w:rPr>
          <w:sz w:val="28"/>
          <w:szCs w:val="28"/>
        </w:rPr>
        <w:t>нального рівня або рішення суду</w:t>
      </w:r>
      <w:r w:rsidRPr="00B22D31">
        <w:rPr>
          <w:sz w:val="28"/>
          <w:szCs w:val="28"/>
        </w:rPr>
        <w:t xml:space="preserve"> автоматично виключати з переліку ризикових його контрагентів з урахуванням встановлених умов;</w:t>
      </w:r>
    </w:p>
    <w:p w:rsidR="005D251D" w:rsidRPr="00B22D31" w:rsidRDefault="005D251D" w:rsidP="005D251D">
      <w:pPr>
        <w:ind w:firstLine="566"/>
        <w:jc w:val="both"/>
        <w:rPr>
          <w:sz w:val="28"/>
          <w:szCs w:val="28"/>
        </w:rPr>
      </w:pPr>
      <w:r w:rsidRPr="00B22D31">
        <w:rPr>
          <w:sz w:val="28"/>
          <w:szCs w:val="28"/>
        </w:rPr>
        <w:t>4) встановити, що критерії ризиковості платника податку стосовно неподання податкової звітності з податку на додану вартість за два останніх звітних (податкових) періоди та неподання фінансової звітності за останній звітний період застосовуватимуться з урахуванням можливості/неможливості подання такої звітності в умовах воєнного стану (підпункт 69.1 пункт</w:t>
      </w:r>
      <w:r w:rsidR="00212731" w:rsidRPr="00B22D31">
        <w:rPr>
          <w:sz w:val="28"/>
          <w:szCs w:val="28"/>
        </w:rPr>
        <w:t>у</w:t>
      </w:r>
      <w:r w:rsidRPr="00B22D31">
        <w:rPr>
          <w:sz w:val="28"/>
          <w:szCs w:val="28"/>
        </w:rPr>
        <w:t xml:space="preserve"> 69 Податкового кодексу України</w:t>
      </w:r>
      <w:r w:rsidR="003E3205" w:rsidRPr="00B22D31">
        <w:rPr>
          <w:sz w:val="28"/>
          <w:szCs w:val="28"/>
        </w:rPr>
        <w:t xml:space="preserve"> (далі – Кодекс)</w:t>
      </w:r>
      <w:r w:rsidRPr="00B22D31">
        <w:rPr>
          <w:sz w:val="28"/>
          <w:szCs w:val="28"/>
        </w:rPr>
        <w:t>);</w:t>
      </w:r>
    </w:p>
    <w:p w:rsidR="005D251D" w:rsidRPr="00B22D31" w:rsidRDefault="005D251D" w:rsidP="005D251D">
      <w:pPr>
        <w:ind w:firstLine="566"/>
        <w:jc w:val="both"/>
        <w:rPr>
          <w:sz w:val="28"/>
          <w:szCs w:val="28"/>
        </w:rPr>
      </w:pPr>
      <w:r w:rsidRPr="00B22D31">
        <w:rPr>
          <w:sz w:val="28"/>
          <w:szCs w:val="28"/>
        </w:rPr>
        <w:lastRenderedPageBreak/>
        <w:t>5) запровадити довідник кодів податкової інформації, яка є підставою для прийняття рішення про відповідність платника податку критеріям ризиковості платника податку. Такий довідник визначається ДПС та затверджується відповідним наказом, оприлюдненим на офіційному вебсайті ДПС;</w:t>
      </w:r>
    </w:p>
    <w:p w:rsidR="005D251D" w:rsidRPr="00B22D31" w:rsidRDefault="005D251D" w:rsidP="005D251D">
      <w:pPr>
        <w:ind w:firstLine="566"/>
        <w:jc w:val="both"/>
        <w:rPr>
          <w:sz w:val="28"/>
          <w:szCs w:val="28"/>
        </w:rPr>
      </w:pPr>
      <w:r w:rsidRPr="00B22D31">
        <w:rPr>
          <w:sz w:val="28"/>
          <w:szCs w:val="28"/>
        </w:rPr>
        <w:t xml:space="preserve">6) розширити показник пункту 1 позитивної податкової історії платника податку на додану вартість щодо одночасного виконання умов досягнення обсягів постачання за поточний період, зокрема, збільшити вимоги до обсягу постачання з </w:t>
      </w:r>
      <w:r w:rsidR="009C4FAF" w:rsidRPr="00B22D31">
        <w:rPr>
          <w:sz w:val="28"/>
          <w:szCs w:val="28"/>
        </w:rPr>
        <w:t>500 тис. грн до 1 млн</w:t>
      </w:r>
      <w:r w:rsidRPr="00B22D31">
        <w:rPr>
          <w:sz w:val="28"/>
          <w:szCs w:val="28"/>
        </w:rPr>
        <w:t xml:space="preserve"> грн та на </w:t>
      </w:r>
      <w:r w:rsidR="009C4FAF" w:rsidRPr="00B22D31">
        <w:rPr>
          <w:sz w:val="28"/>
          <w:szCs w:val="28"/>
        </w:rPr>
        <w:t>одного отримувача з 50 тис. грн</w:t>
      </w:r>
      <w:r w:rsidRPr="00B22D31">
        <w:rPr>
          <w:sz w:val="28"/>
          <w:szCs w:val="28"/>
        </w:rPr>
        <w:t xml:space="preserve"> до 100 тис. гривень;</w:t>
      </w:r>
    </w:p>
    <w:p w:rsidR="005D251D" w:rsidRPr="00B22D31" w:rsidRDefault="005D251D" w:rsidP="005D251D">
      <w:pPr>
        <w:ind w:firstLine="566"/>
        <w:jc w:val="both"/>
        <w:rPr>
          <w:sz w:val="28"/>
          <w:szCs w:val="28"/>
        </w:rPr>
      </w:pPr>
      <w:r w:rsidRPr="00B22D31">
        <w:rPr>
          <w:sz w:val="28"/>
          <w:szCs w:val="28"/>
        </w:rPr>
        <w:t>7) доповнити показник, за яким визначається позитивна податкова історія для сільськогосподарських підприємств, умовою, за якої ним зможуть скористатися платники податку, які перебувають на спрощеній системі оподаткування четвертої групи та якими сплачено податкові зобов’язання з єдиного податку в повному обсязі та у строки, передбачені законодавством;</w:t>
      </w:r>
    </w:p>
    <w:p w:rsidR="005D251D" w:rsidRPr="00B22D31" w:rsidRDefault="005D251D" w:rsidP="005D251D">
      <w:pPr>
        <w:ind w:firstLine="566"/>
        <w:jc w:val="both"/>
        <w:rPr>
          <w:sz w:val="28"/>
          <w:szCs w:val="28"/>
        </w:rPr>
      </w:pPr>
      <w:r w:rsidRPr="00B22D31">
        <w:rPr>
          <w:sz w:val="28"/>
          <w:szCs w:val="28"/>
        </w:rPr>
        <w:t>8) пом’якшити критерії ризиковості здійснення операцій шляхом:</w:t>
      </w:r>
    </w:p>
    <w:p w:rsidR="005D251D" w:rsidRPr="00B22D31" w:rsidRDefault="005D251D" w:rsidP="005D251D">
      <w:pPr>
        <w:ind w:firstLine="566"/>
        <w:jc w:val="both"/>
        <w:rPr>
          <w:sz w:val="28"/>
          <w:szCs w:val="28"/>
        </w:rPr>
      </w:pPr>
      <w:r w:rsidRPr="00B22D31">
        <w:rPr>
          <w:sz w:val="28"/>
          <w:szCs w:val="28"/>
        </w:rPr>
        <w:t>виключення умови щодо відсутності у таблиці даних платника податку на додану вартість товару/послуги, зазначеного/зазначеної в податковій накладній, поданій для реєстрації в Реєстрі;</w:t>
      </w:r>
    </w:p>
    <w:p w:rsidR="005D251D" w:rsidRPr="00B22D31" w:rsidRDefault="005D251D" w:rsidP="005D251D">
      <w:pPr>
        <w:ind w:firstLine="566"/>
        <w:jc w:val="both"/>
        <w:rPr>
          <w:sz w:val="28"/>
          <w:szCs w:val="28"/>
        </w:rPr>
      </w:pPr>
      <w:r w:rsidRPr="00B22D31">
        <w:rPr>
          <w:sz w:val="28"/>
          <w:szCs w:val="28"/>
        </w:rPr>
        <w:t>доповнення коефіцієнта націнки 1,5 у формулу визначення залишку товару, в межах якого можна реєструвати розрахунок коригування на зменшення суми податкових зобов’язань;</w:t>
      </w:r>
    </w:p>
    <w:p w:rsidR="005D251D" w:rsidRPr="00B22D31" w:rsidRDefault="005D251D" w:rsidP="005D251D">
      <w:pPr>
        <w:ind w:firstLine="566"/>
        <w:jc w:val="both"/>
        <w:rPr>
          <w:sz w:val="28"/>
          <w:szCs w:val="28"/>
        </w:rPr>
      </w:pPr>
      <w:r w:rsidRPr="00B22D31">
        <w:rPr>
          <w:sz w:val="28"/>
          <w:szCs w:val="28"/>
        </w:rPr>
        <w:t>встановлення, що не вважатиметься ризиковою операція, за якою складено розрахунок коригування за операціями з постачання електричної енергії, природного газу, теплової енергії.</w:t>
      </w:r>
    </w:p>
    <w:p w:rsidR="00592CBC" w:rsidRPr="00B22D31" w:rsidRDefault="00987BAD" w:rsidP="00592CBC">
      <w:pPr>
        <w:ind w:firstLine="566"/>
        <w:jc w:val="both"/>
        <w:rPr>
          <w:sz w:val="28"/>
          <w:szCs w:val="28"/>
          <w:highlight w:val="yellow"/>
        </w:rPr>
      </w:pPr>
      <w:r w:rsidRPr="00B22D31">
        <w:rPr>
          <w:sz w:val="28"/>
          <w:szCs w:val="28"/>
        </w:rPr>
        <w:t>В</w:t>
      </w:r>
      <w:r w:rsidR="00F93AED" w:rsidRPr="00B22D31">
        <w:rPr>
          <w:sz w:val="28"/>
          <w:szCs w:val="28"/>
        </w:rPr>
        <w:t>несенн</w:t>
      </w:r>
      <w:r w:rsidR="009C4FAF" w:rsidRPr="00B22D31">
        <w:rPr>
          <w:sz w:val="28"/>
          <w:szCs w:val="28"/>
        </w:rPr>
        <w:t>я</w:t>
      </w:r>
      <w:r w:rsidR="00F93AED" w:rsidRPr="00B22D31">
        <w:rPr>
          <w:sz w:val="28"/>
          <w:szCs w:val="28"/>
        </w:rPr>
        <w:t xml:space="preserve"> змін до Порядку </w:t>
      </w:r>
      <w:r w:rsidR="00F93AED" w:rsidRPr="00B22D31">
        <w:rPr>
          <w:sz w:val="28"/>
          <w:szCs w:val="28"/>
          <w:shd w:val="clear" w:color="auto" w:fill="FFFFFF" w:themeFill="background1"/>
        </w:rPr>
        <w:t xml:space="preserve">зупинення зумовлено </w:t>
      </w:r>
      <w:r w:rsidRPr="00B22D31">
        <w:rPr>
          <w:sz w:val="28"/>
          <w:szCs w:val="28"/>
          <w:shd w:val="clear" w:color="auto" w:fill="FFFFFF" w:themeFill="background1"/>
        </w:rPr>
        <w:t xml:space="preserve">необхідністю </w:t>
      </w:r>
      <w:r w:rsidR="00592CBC" w:rsidRPr="00B22D31">
        <w:rPr>
          <w:sz w:val="28"/>
          <w:szCs w:val="28"/>
          <w:shd w:val="clear" w:color="auto" w:fill="FFFFFF" w:themeFill="background1"/>
        </w:rPr>
        <w:t>удосконалення роботи системи автоматизованого моніторингу відповідності податкових накладних критеріям оцінки ступеня</w:t>
      </w:r>
      <w:r w:rsidR="00592CBC" w:rsidRPr="00B22D31">
        <w:rPr>
          <w:sz w:val="28"/>
          <w:szCs w:val="28"/>
        </w:rPr>
        <w:t xml:space="preserve"> ризику, спрямованого на забезпечення проведення ефективного автоматизованого моніторингу ризикових операцій для виявлення податкових ризиків, необтяжливого для сумлінних платників проходження моніторингу, без зайвого втручання в господарську діяльність та витрачання часу та додаткових ресурсів суб’єктами господарювання на подання податковим органам</w:t>
      </w:r>
      <w:r w:rsidR="009C4FAF" w:rsidRPr="00B22D31">
        <w:rPr>
          <w:sz w:val="28"/>
          <w:szCs w:val="28"/>
        </w:rPr>
        <w:t xml:space="preserve"> значної кількості підтверджувальних та уточнювальн</w:t>
      </w:r>
      <w:r w:rsidR="00592CBC" w:rsidRPr="00B22D31">
        <w:rPr>
          <w:sz w:val="28"/>
          <w:szCs w:val="28"/>
        </w:rPr>
        <w:t>их документів.</w:t>
      </w:r>
    </w:p>
    <w:p w:rsidR="00AE0FB2" w:rsidRPr="00B22D31" w:rsidRDefault="00F93AED">
      <w:pPr>
        <w:pBdr>
          <w:top w:val="nil"/>
          <w:left w:val="nil"/>
          <w:bottom w:val="nil"/>
          <w:right w:val="nil"/>
          <w:between w:val="nil"/>
        </w:pBdr>
        <w:ind w:firstLine="566"/>
        <w:jc w:val="both"/>
        <w:rPr>
          <w:sz w:val="28"/>
          <w:szCs w:val="28"/>
          <w:highlight w:val="white"/>
        </w:rPr>
      </w:pPr>
      <w:r w:rsidRPr="00B22D31">
        <w:rPr>
          <w:sz w:val="28"/>
          <w:szCs w:val="28"/>
          <w:highlight w:val="white"/>
        </w:rPr>
        <w:t>Основні групи (підгрупи), на які проблема справляє вплив:</w:t>
      </w:r>
    </w:p>
    <w:p w:rsidR="00AE0FB2" w:rsidRPr="00B22D31" w:rsidRDefault="00AE0FB2">
      <w:pPr>
        <w:pBdr>
          <w:top w:val="nil"/>
          <w:left w:val="nil"/>
          <w:bottom w:val="nil"/>
          <w:right w:val="nil"/>
          <w:between w:val="nil"/>
        </w:pBdr>
        <w:ind w:firstLine="567"/>
        <w:jc w:val="both"/>
        <w:rPr>
          <w:sz w:val="4"/>
          <w:szCs w:val="4"/>
          <w:highlight w:val="white"/>
        </w:rPr>
      </w:pPr>
    </w:p>
    <w:tbl>
      <w:tblPr>
        <w:tblStyle w:val="af3"/>
        <w:tblW w:w="9639" w:type="dxa"/>
        <w:tblInd w:w="89"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ayout w:type="fixed"/>
        <w:tblLook w:val="0000" w:firstRow="0" w:lastRow="0" w:firstColumn="0" w:lastColumn="0" w:noHBand="0" w:noVBand="0"/>
      </w:tblPr>
      <w:tblGrid>
        <w:gridCol w:w="4404"/>
        <w:gridCol w:w="2839"/>
        <w:gridCol w:w="2396"/>
      </w:tblGrid>
      <w:tr w:rsidR="00B22D31" w:rsidRPr="00B22D31">
        <w:tc>
          <w:tcPr>
            <w:tcW w:w="4404"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Групи (підгрупи)</w:t>
            </w:r>
          </w:p>
        </w:tc>
        <w:tc>
          <w:tcPr>
            <w:tcW w:w="2839"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Так</w:t>
            </w:r>
          </w:p>
        </w:tc>
        <w:tc>
          <w:tcPr>
            <w:tcW w:w="2396"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Ні</w:t>
            </w:r>
          </w:p>
        </w:tc>
      </w:tr>
      <w:tr w:rsidR="00B22D31" w:rsidRPr="00B22D31">
        <w:tc>
          <w:tcPr>
            <w:tcW w:w="4404"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rPr>
                <w:sz w:val="28"/>
                <w:szCs w:val="24"/>
                <w:highlight w:val="white"/>
              </w:rPr>
            </w:pPr>
            <w:r w:rsidRPr="00B22D31">
              <w:rPr>
                <w:sz w:val="28"/>
                <w:szCs w:val="24"/>
                <w:highlight w:val="white"/>
              </w:rPr>
              <w:t>Громадяни</w:t>
            </w:r>
          </w:p>
        </w:tc>
        <w:tc>
          <w:tcPr>
            <w:tcW w:w="2839" w:type="dxa"/>
            <w:tcBorders>
              <w:top w:val="single" w:sz="6" w:space="0" w:color="000000"/>
              <w:left w:val="single" w:sz="6" w:space="0" w:color="000000"/>
              <w:bottom w:val="single" w:sz="6" w:space="0" w:color="000000"/>
              <w:right w:val="single" w:sz="6" w:space="0" w:color="000000"/>
            </w:tcBorders>
            <w:vAlign w:val="center"/>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w:t>
            </w:r>
          </w:p>
        </w:tc>
        <w:tc>
          <w:tcPr>
            <w:tcW w:w="2396" w:type="dxa"/>
            <w:tcBorders>
              <w:top w:val="single" w:sz="6" w:space="0" w:color="000000"/>
              <w:left w:val="single" w:sz="6" w:space="0" w:color="000000"/>
              <w:bottom w:val="single" w:sz="6" w:space="0" w:color="000000"/>
              <w:right w:val="single" w:sz="6" w:space="0" w:color="000000"/>
            </w:tcBorders>
          </w:tcPr>
          <w:p w:rsidR="00AE0FB2" w:rsidRPr="00B22D31" w:rsidRDefault="00F93AED">
            <w:pPr>
              <w:jc w:val="center"/>
              <w:rPr>
                <w:sz w:val="28"/>
                <w:szCs w:val="24"/>
                <w:highlight w:val="white"/>
              </w:rPr>
            </w:pPr>
            <w:r w:rsidRPr="00B22D31">
              <w:rPr>
                <w:sz w:val="28"/>
                <w:szCs w:val="24"/>
                <w:highlight w:val="white"/>
              </w:rPr>
              <w:t>–</w:t>
            </w:r>
          </w:p>
        </w:tc>
      </w:tr>
      <w:tr w:rsidR="00B22D31" w:rsidRPr="00B22D31">
        <w:tc>
          <w:tcPr>
            <w:tcW w:w="4404"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rPr>
                <w:sz w:val="28"/>
                <w:szCs w:val="24"/>
                <w:highlight w:val="white"/>
              </w:rPr>
            </w:pPr>
            <w:r w:rsidRPr="00B22D31">
              <w:rPr>
                <w:sz w:val="28"/>
                <w:szCs w:val="24"/>
                <w:highlight w:val="white"/>
              </w:rPr>
              <w:t>Держава</w:t>
            </w:r>
          </w:p>
        </w:tc>
        <w:tc>
          <w:tcPr>
            <w:tcW w:w="2839" w:type="dxa"/>
            <w:tcBorders>
              <w:top w:val="single" w:sz="6" w:space="0" w:color="000000"/>
              <w:left w:val="single" w:sz="6" w:space="0" w:color="000000"/>
              <w:bottom w:val="single" w:sz="6" w:space="0" w:color="000000"/>
              <w:right w:val="single" w:sz="6" w:space="0" w:color="000000"/>
            </w:tcBorders>
            <w:vAlign w:val="center"/>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w:t>
            </w:r>
          </w:p>
        </w:tc>
        <w:tc>
          <w:tcPr>
            <w:tcW w:w="2396"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w:t>
            </w:r>
          </w:p>
        </w:tc>
      </w:tr>
      <w:tr w:rsidR="00B22D31" w:rsidRPr="00B22D31">
        <w:tc>
          <w:tcPr>
            <w:tcW w:w="4404"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rPr>
                <w:sz w:val="28"/>
                <w:szCs w:val="24"/>
                <w:highlight w:val="white"/>
              </w:rPr>
            </w:pPr>
            <w:r w:rsidRPr="00B22D31">
              <w:rPr>
                <w:sz w:val="28"/>
                <w:szCs w:val="24"/>
                <w:highlight w:val="white"/>
              </w:rPr>
              <w:t>Суб’єкти господарювання,</w:t>
            </w:r>
          </w:p>
        </w:tc>
        <w:tc>
          <w:tcPr>
            <w:tcW w:w="2839" w:type="dxa"/>
            <w:tcBorders>
              <w:top w:val="single" w:sz="6" w:space="0" w:color="000000"/>
              <w:left w:val="single" w:sz="6" w:space="0" w:color="000000"/>
              <w:bottom w:val="single" w:sz="6" w:space="0" w:color="000000"/>
              <w:right w:val="single" w:sz="6" w:space="0" w:color="000000"/>
            </w:tcBorders>
            <w:vAlign w:val="center"/>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w:t>
            </w:r>
          </w:p>
        </w:tc>
        <w:tc>
          <w:tcPr>
            <w:tcW w:w="2396"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w:t>
            </w:r>
          </w:p>
        </w:tc>
      </w:tr>
      <w:tr w:rsidR="00AE0FB2" w:rsidRPr="00B22D31">
        <w:tc>
          <w:tcPr>
            <w:tcW w:w="4404"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rPr>
                <w:sz w:val="28"/>
                <w:szCs w:val="24"/>
                <w:highlight w:val="white"/>
              </w:rPr>
            </w:pPr>
            <w:r w:rsidRPr="00B22D31">
              <w:rPr>
                <w:sz w:val="28"/>
                <w:szCs w:val="24"/>
                <w:highlight w:val="white"/>
              </w:rPr>
              <w:t>у тому числі суб’єкти малого підприємництва</w:t>
            </w:r>
          </w:p>
        </w:tc>
        <w:tc>
          <w:tcPr>
            <w:tcW w:w="2839" w:type="dxa"/>
            <w:tcBorders>
              <w:top w:val="single" w:sz="6" w:space="0" w:color="000000"/>
              <w:left w:val="single" w:sz="6" w:space="0" w:color="000000"/>
              <w:bottom w:val="single" w:sz="6" w:space="0" w:color="000000"/>
              <w:right w:val="single" w:sz="6" w:space="0" w:color="000000"/>
            </w:tcBorders>
            <w:vAlign w:val="center"/>
          </w:tcPr>
          <w:p w:rsidR="00AE0FB2" w:rsidRPr="00B22D31" w:rsidRDefault="00592CBC">
            <w:pPr>
              <w:pBdr>
                <w:top w:val="nil"/>
                <w:left w:val="nil"/>
                <w:bottom w:val="nil"/>
                <w:right w:val="nil"/>
                <w:between w:val="nil"/>
              </w:pBdr>
              <w:jc w:val="center"/>
              <w:rPr>
                <w:sz w:val="28"/>
                <w:szCs w:val="24"/>
                <w:highlight w:val="white"/>
              </w:rPr>
            </w:pPr>
            <w:r w:rsidRPr="00B22D31">
              <w:rPr>
                <w:sz w:val="28"/>
                <w:szCs w:val="24"/>
              </w:rPr>
              <w:t>+</w:t>
            </w:r>
          </w:p>
        </w:tc>
        <w:tc>
          <w:tcPr>
            <w:tcW w:w="2396" w:type="dxa"/>
            <w:tcBorders>
              <w:top w:val="single" w:sz="6" w:space="0" w:color="000000"/>
              <w:left w:val="single" w:sz="6" w:space="0" w:color="000000"/>
              <w:bottom w:val="single" w:sz="6" w:space="0" w:color="000000"/>
              <w:right w:val="single" w:sz="6" w:space="0" w:color="000000"/>
            </w:tcBorders>
            <w:vAlign w:val="center"/>
          </w:tcPr>
          <w:p w:rsidR="00AE0FB2" w:rsidRPr="00B22D31" w:rsidRDefault="00592CBC">
            <w:pPr>
              <w:pBdr>
                <w:top w:val="nil"/>
                <w:left w:val="nil"/>
                <w:bottom w:val="nil"/>
                <w:right w:val="nil"/>
                <w:between w:val="nil"/>
              </w:pBdr>
              <w:jc w:val="center"/>
              <w:rPr>
                <w:sz w:val="28"/>
                <w:szCs w:val="24"/>
                <w:highlight w:val="white"/>
              </w:rPr>
            </w:pPr>
            <w:r w:rsidRPr="00B22D31">
              <w:rPr>
                <w:sz w:val="28"/>
                <w:szCs w:val="24"/>
              </w:rPr>
              <w:t>–</w:t>
            </w:r>
          </w:p>
        </w:tc>
      </w:tr>
    </w:tbl>
    <w:p w:rsidR="00AE0FB2" w:rsidRPr="00B22D31" w:rsidRDefault="00AE0FB2">
      <w:pPr>
        <w:pBdr>
          <w:top w:val="nil"/>
          <w:left w:val="nil"/>
          <w:bottom w:val="nil"/>
          <w:right w:val="nil"/>
          <w:between w:val="nil"/>
        </w:pBdr>
        <w:jc w:val="both"/>
        <w:rPr>
          <w:sz w:val="6"/>
          <w:szCs w:val="6"/>
          <w:highlight w:val="white"/>
        </w:rPr>
      </w:pPr>
    </w:p>
    <w:p w:rsidR="00AE0FB2" w:rsidRPr="00B22D31" w:rsidRDefault="00F93AED">
      <w:pPr>
        <w:ind w:firstLine="567"/>
        <w:jc w:val="both"/>
        <w:rPr>
          <w:sz w:val="28"/>
          <w:szCs w:val="28"/>
        </w:rPr>
      </w:pPr>
      <w:r w:rsidRPr="00B22D31">
        <w:rPr>
          <w:sz w:val="28"/>
          <w:szCs w:val="28"/>
          <w:highlight w:val="white"/>
        </w:rPr>
        <w:t xml:space="preserve">Урегулювання зазначених питань у частині оподаткування податком на </w:t>
      </w:r>
      <w:r w:rsidRPr="00B22D31">
        <w:rPr>
          <w:sz w:val="28"/>
          <w:szCs w:val="28"/>
        </w:rPr>
        <w:t>додану вартість не може бути здійснено за допомогою:</w:t>
      </w:r>
    </w:p>
    <w:p w:rsidR="00AE0FB2" w:rsidRPr="00B22D31" w:rsidRDefault="00F93AED">
      <w:pPr>
        <w:ind w:firstLine="567"/>
        <w:jc w:val="both"/>
        <w:rPr>
          <w:sz w:val="28"/>
          <w:szCs w:val="28"/>
        </w:rPr>
      </w:pPr>
      <w:r w:rsidRPr="00B22D31">
        <w:rPr>
          <w:sz w:val="28"/>
          <w:szCs w:val="28"/>
        </w:rPr>
        <w:lastRenderedPageBreak/>
        <w:t>ринкових механізмів, оскільки такі питання регулюються виключно нормативно-правовими актами;</w:t>
      </w:r>
    </w:p>
    <w:p w:rsidR="00AE0FB2" w:rsidRPr="00B22D31" w:rsidRDefault="00F93AED">
      <w:pPr>
        <w:pBdr>
          <w:top w:val="nil"/>
          <w:left w:val="nil"/>
          <w:bottom w:val="nil"/>
          <w:right w:val="nil"/>
          <w:between w:val="nil"/>
        </w:pBdr>
        <w:ind w:firstLine="567"/>
        <w:jc w:val="both"/>
        <w:rPr>
          <w:sz w:val="28"/>
          <w:szCs w:val="28"/>
        </w:rPr>
      </w:pPr>
      <w:r w:rsidRPr="00B22D31">
        <w:rPr>
          <w:sz w:val="28"/>
          <w:szCs w:val="28"/>
        </w:rPr>
        <w:t>чинних регуляторних актів, оскільки постанов</w:t>
      </w:r>
      <w:r w:rsidR="00592CBC" w:rsidRPr="00B22D31">
        <w:rPr>
          <w:sz w:val="28"/>
          <w:szCs w:val="28"/>
        </w:rPr>
        <w:t xml:space="preserve">а </w:t>
      </w:r>
      <w:r w:rsidRPr="00B22D31">
        <w:rPr>
          <w:sz w:val="28"/>
          <w:szCs w:val="28"/>
        </w:rPr>
        <w:t xml:space="preserve">№ 1165 є єдиним документом, який затверджено на виконання вимог пункту 201.16 статті 201 </w:t>
      </w:r>
      <w:r w:rsidR="003E3205" w:rsidRPr="00B22D31">
        <w:rPr>
          <w:sz w:val="28"/>
          <w:szCs w:val="28"/>
        </w:rPr>
        <w:t>Кодексу</w:t>
      </w:r>
      <w:r w:rsidRPr="00B22D31">
        <w:rPr>
          <w:sz w:val="28"/>
          <w:szCs w:val="28"/>
        </w:rPr>
        <w:t>.</w:t>
      </w:r>
    </w:p>
    <w:p w:rsidR="00AE0FB2" w:rsidRPr="00B22D31" w:rsidRDefault="00F93AED">
      <w:pPr>
        <w:pBdr>
          <w:top w:val="nil"/>
          <w:left w:val="nil"/>
          <w:bottom w:val="nil"/>
          <w:right w:val="nil"/>
          <w:between w:val="nil"/>
        </w:pBdr>
        <w:spacing w:before="240"/>
        <w:jc w:val="center"/>
        <w:rPr>
          <w:b/>
          <w:sz w:val="28"/>
          <w:szCs w:val="28"/>
          <w:highlight w:val="white"/>
        </w:rPr>
      </w:pPr>
      <w:r w:rsidRPr="00B22D31">
        <w:rPr>
          <w:b/>
          <w:sz w:val="28"/>
          <w:szCs w:val="28"/>
          <w:highlight w:val="white"/>
        </w:rPr>
        <w:t>II. Цілі державного регулювання</w:t>
      </w:r>
    </w:p>
    <w:p w:rsidR="00AE0FB2" w:rsidRPr="00B22D31" w:rsidRDefault="00AE0FB2">
      <w:pPr>
        <w:pBdr>
          <w:top w:val="nil"/>
          <w:left w:val="nil"/>
          <w:bottom w:val="nil"/>
          <w:right w:val="nil"/>
          <w:between w:val="nil"/>
        </w:pBdr>
        <w:ind w:firstLine="720"/>
        <w:jc w:val="both"/>
        <w:rPr>
          <w:sz w:val="6"/>
          <w:szCs w:val="6"/>
          <w:highlight w:val="white"/>
        </w:rPr>
      </w:pPr>
    </w:p>
    <w:p w:rsidR="00AE0FB2" w:rsidRPr="00B22D31" w:rsidRDefault="00F93AED">
      <w:pPr>
        <w:pBdr>
          <w:top w:val="nil"/>
          <w:left w:val="nil"/>
          <w:bottom w:val="nil"/>
          <w:right w:val="nil"/>
          <w:between w:val="nil"/>
        </w:pBdr>
        <w:ind w:firstLine="567"/>
        <w:jc w:val="both"/>
        <w:rPr>
          <w:sz w:val="28"/>
          <w:szCs w:val="28"/>
          <w:highlight w:val="white"/>
        </w:rPr>
      </w:pPr>
      <w:r w:rsidRPr="00B22D31">
        <w:rPr>
          <w:sz w:val="28"/>
          <w:szCs w:val="28"/>
          <w:highlight w:val="white"/>
        </w:rPr>
        <w:t xml:space="preserve">Ціллю державного регулювання є встановлення справедливих умов для реєстрації платниками податку податкових накладних в Реєстрі, усунення непорозумінь між платниками податку та контролюючими органами та можливість держави своєчасно виконувати свої зобов’язання перед платниками податку в частині відшкодування податку на додану вартість з бюджету. </w:t>
      </w:r>
    </w:p>
    <w:p w:rsidR="00AE0FB2" w:rsidRPr="00B22D31" w:rsidRDefault="00AE0FB2">
      <w:pPr>
        <w:pBdr>
          <w:top w:val="nil"/>
          <w:left w:val="nil"/>
          <w:bottom w:val="nil"/>
          <w:right w:val="nil"/>
          <w:between w:val="nil"/>
        </w:pBdr>
        <w:ind w:firstLine="567"/>
        <w:jc w:val="center"/>
        <w:rPr>
          <w:b/>
          <w:sz w:val="16"/>
          <w:szCs w:val="16"/>
          <w:highlight w:val="white"/>
        </w:rPr>
      </w:pPr>
    </w:p>
    <w:p w:rsidR="00AE0FB2" w:rsidRPr="00B22D31" w:rsidRDefault="00F93AED">
      <w:pPr>
        <w:pBdr>
          <w:top w:val="nil"/>
          <w:left w:val="nil"/>
          <w:bottom w:val="nil"/>
          <w:right w:val="nil"/>
          <w:between w:val="nil"/>
        </w:pBdr>
        <w:ind w:firstLine="567"/>
        <w:jc w:val="center"/>
        <w:rPr>
          <w:b/>
          <w:sz w:val="28"/>
          <w:szCs w:val="28"/>
          <w:highlight w:val="white"/>
        </w:rPr>
      </w:pPr>
      <w:r w:rsidRPr="00B22D31">
        <w:rPr>
          <w:b/>
          <w:sz w:val="28"/>
          <w:szCs w:val="28"/>
          <w:highlight w:val="white"/>
        </w:rPr>
        <w:t>III. Визначення та оцінка альтернативних способів досягнення цілей</w:t>
      </w:r>
    </w:p>
    <w:p w:rsidR="00AE0FB2" w:rsidRPr="00B22D31" w:rsidRDefault="00AE0FB2">
      <w:pPr>
        <w:pBdr>
          <w:top w:val="nil"/>
          <w:left w:val="nil"/>
          <w:bottom w:val="nil"/>
          <w:right w:val="nil"/>
          <w:between w:val="nil"/>
        </w:pBdr>
        <w:ind w:firstLine="567"/>
        <w:jc w:val="both"/>
        <w:rPr>
          <w:sz w:val="6"/>
          <w:szCs w:val="6"/>
          <w:highlight w:val="white"/>
        </w:rPr>
      </w:pPr>
    </w:p>
    <w:p w:rsidR="00AE0FB2" w:rsidRPr="00B22D31" w:rsidRDefault="00F93AED">
      <w:pPr>
        <w:widowControl w:val="0"/>
        <w:spacing w:before="120"/>
        <w:ind w:firstLine="567"/>
        <w:jc w:val="both"/>
        <w:rPr>
          <w:sz w:val="28"/>
          <w:szCs w:val="28"/>
          <w:highlight w:val="white"/>
        </w:rPr>
      </w:pPr>
      <w:r w:rsidRPr="00B22D31">
        <w:rPr>
          <w:sz w:val="28"/>
          <w:szCs w:val="28"/>
          <w:highlight w:val="white"/>
        </w:rPr>
        <w:t xml:space="preserve">Визначення та оцінка альтернативних способів досягнення цілей розроблено за результатами проведення </w:t>
      </w:r>
      <w:r w:rsidR="00592CBC" w:rsidRPr="00B22D31">
        <w:rPr>
          <w:sz w:val="28"/>
          <w:szCs w:val="28"/>
          <w:highlight w:val="white"/>
        </w:rPr>
        <w:t>8</w:t>
      </w:r>
      <w:r w:rsidRPr="00B22D31">
        <w:rPr>
          <w:sz w:val="28"/>
          <w:szCs w:val="28"/>
          <w:highlight w:val="white"/>
        </w:rPr>
        <w:t xml:space="preserve"> засідань робочої групи з вдосконалення нормативно-правових актів з питань зупинення реєстрації податкової накладної</w:t>
      </w:r>
      <w:r w:rsidR="009C4FAF" w:rsidRPr="00B22D31">
        <w:rPr>
          <w:sz w:val="28"/>
          <w:szCs w:val="28"/>
          <w:highlight w:val="white"/>
        </w:rPr>
        <w:t xml:space="preserve"> </w:t>
      </w:r>
      <w:r w:rsidRPr="00B22D31">
        <w:rPr>
          <w:sz w:val="28"/>
          <w:szCs w:val="28"/>
          <w:highlight w:val="white"/>
        </w:rPr>
        <w:t>/</w:t>
      </w:r>
      <w:r w:rsidR="009C4FAF" w:rsidRPr="00B22D31">
        <w:rPr>
          <w:sz w:val="28"/>
          <w:szCs w:val="28"/>
          <w:highlight w:val="white"/>
        </w:rPr>
        <w:t xml:space="preserve"> </w:t>
      </w:r>
      <w:r w:rsidRPr="00B22D31">
        <w:rPr>
          <w:sz w:val="28"/>
          <w:szCs w:val="28"/>
          <w:highlight w:val="white"/>
        </w:rPr>
        <w:t xml:space="preserve">розрахунку коригування в Єдиному реєстрі податкових накладних, розгляду </w:t>
      </w:r>
      <w:r w:rsidR="00592CBC" w:rsidRPr="00B22D31">
        <w:rPr>
          <w:sz w:val="28"/>
          <w:szCs w:val="28"/>
          <w:highlight w:val="white"/>
        </w:rPr>
        <w:t>65</w:t>
      </w:r>
      <w:r w:rsidRPr="00B22D31">
        <w:rPr>
          <w:sz w:val="28"/>
          <w:szCs w:val="28"/>
          <w:highlight w:val="white"/>
        </w:rPr>
        <w:t xml:space="preserve"> звернень платників податку та асоціацій щодо вдосконалення СМКОР, проведених </w:t>
      </w:r>
      <w:r w:rsidR="002E69DA" w:rsidRPr="00B22D31">
        <w:rPr>
          <w:sz w:val="28"/>
          <w:szCs w:val="28"/>
          <w:highlight w:val="white"/>
        </w:rPr>
        <w:t>2</w:t>
      </w:r>
      <w:r w:rsidRPr="00B22D31">
        <w:rPr>
          <w:sz w:val="28"/>
          <w:szCs w:val="28"/>
          <w:highlight w:val="white"/>
        </w:rPr>
        <w:t xml:space="preserve"> круглих столів тощо.</w:t>
      </w:r>
    </w:p>
    <w:p w:rsidR="00AE0FB2" w:rsidRPr="00B22D31" w:rsidRDefault="00F93AED">
      <w:pPr>
        <w:widowControl w:val="0"/>
        <w:spacing w:before="120"/>
        <w:ind w:firstLine="567"/>
        <w:jc w:val="both"/>
        <w:rPr>
          <w:sz w:val="28"/>
          <w:szCs w:val="28"/>
          <w:highlight w:val="white"/>
        </w:rPr>
      </w:pPr>
      <w:r w:rsidRPr="00B22D31">
        <w:rPr>
          <w:sz w:val="28"/>
          <w:szCs w:val="28"/>
          <w:highlight w:val="white"/>
        </w:rPr>
        <w:t>1. Визначення альтернативних способів</w:t>
      </w:r>
    </w:p>
    <w:p w:rsidR="00AE0FB2" w:rsidRPr="00B22D31" w:rsidRDefault="00AE0FB2">
      <w:pPr>
        <w:pBdr>
          <w:top w:val="nil"/>
          <w:left w:val="nil"/>
          <w:bottom w:val="nil"/>
          <w:right w:val="nil"/>
          <w:between w:val="nil"/>
        </w:pBdr>
        <w:spacing w:before="120"/>
        <w:jc w:val="both"/>
        <w:rPr>
          <w:sz w:val="6"/>
          <w:szCs w:val="6"/>
          <w:highlight w:val="white"/>
        </w:rPr>
      </w:pPr>
    </w:p>
    <w:tbl>
      <w:tblPr>
        <w:tblStyle w:val="af3"/>
        <w:tblW w:w="972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19"/>
        <w:gridCol w:w="7609"/>
      </w:tblGrid>
      <w:tr w:rsidR="00B22D31" w:rsidRPr="00B22D31">
        <w:tc>
          <w:tcPr>
            <w:tcW w:w="2119" w:type="dxa"/>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Вид альтернативи</w:t>
            </w:r>
          </w:p>
        </w:tc>
        <w:tc>
          <w:tcPr>
            <w:tcW w:w="7609" w:type="dxa"/>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Опис альтернативи</w:t>
            </w:r>
          </w:p>
        </w:tc>
      </w:tr>
      <w:tr w:rsidR="00B22D31" w:rsidRPr="00B22D31">
        <w:tc>
          <w:tcPr>
            <w:tcW w:w="2119" w:type="dxa"/>
          </w:tcPr>
          <w:p w:rsidR="00AE0FB2" w:rsidRPr="00B22D31" w:rsidRDefault="00F93AED">
            <w:pPr>
              <w:pBdr>
                <w:top w:val="nil"/>
                <w:left w:val="nil"/>
                <w:bottom w:val="nil"/>
                <w:right w:val="nil"/>
                <w:between w:val="nil"/>
              </w:pBdr>
              <w:ind w:right="-68"/>
              <w:rPr>
                <w:sz w:val="28"/>
                <w:szCs w:val="24"/>
                <w:highlight w:val="white"/>
              </w:rPr>
            </w:pPr>
            <w:r w:rsidRPr="00B22D31">
              <w:rPr>
                <w:sz w:val="28"/>
                <w:szCs w:val="24"/>
                <w:highlight w:val="white"/>
              </w:rPr>
              <w:t>Альтернатива 1</w:t>
            </w:r>
          </w:p>
        </w:tc>
        <w:tc>
          <w:tcPr>
            <w:tcW w:w="7609" w:type="dxa"/>
          </w:tcPr>
          <w:p w:rsidR="00AE0FB2" w:rsidRPr="00B22D31" w:rsidRDefault="00F93AED" w:rsidP="00592CBC">
            <w:pPr>
              <w:pBdr>
                <w:top w:val="nil"/>
                <w:left w:val="nil"/>
                <w:bottom w:val="nil"/>
                <w:right w:val="nil"/>
                <w:between w:val="nil"/>
              </w:pBdr>
              <w:ind w:firstLine="290"/>
              <w:jc w:val="both"/>
              <w:rPr>
                <w:sz w:val="28"/>
                <w:szCs w:val="24"/>
                <w:highlight w:val="white"/>
              </w:rPr>
            </w:pPr>
            <w:r w:rsidRPr="00B22D31">
              <w:rPr>
                <w:sz w:val="28"/>
                <w:szCs w:val="24"/>
                <w:highlight w:val="white"/>
              </w:rPr>
              <w:t xml:space="preserve">Не прийняти проект постанови Кабінету Міністрів України </w:t>
            </w:r>
            <w:r w:rsidR="002E69DA" w:rsidRPr="00B22D31">
              <w:rPr>
                <w:sz w:val="28"/>
                <w:szCs w:val="24"/>
              </w:rPr>
              <w:t>«</w:t>
            </w:r>
            <w:r w:rsidR="00592CBC" w:rsidRPr="00B22D31">
              <w:rPr>
                <w:sz w:val="28"/>
                <w:szCs w:val="24"/>
              </w:rPr>
              <w:t>Про внесення змін до Порядку зупинення реєстрації податкової накладної/розрахунку коригування в Єдиному реєстрі податкових накладних</w:t>
            </w:r>
            <w:r w:rsidR="002E69DA" w:rsidRPr="00B22D31">
              <w:rPr>
                <w:sz w:val="28"/>
                <w:szCs w:val="24"/>
              </w:rPr>
              <w:t>»</w:t>
            </w:r>
            <w:r w:rsidRPr="00B22D31">
              <w:rPr>
                <w:sz w:val="28"/>
                <w:szCs w:val="24"/>
                <w:highlight w:val="white"/>
              </w:rPr>
              <w:t>, що призведе до несвоєчасного відшкодування податку на додану вартість з бюджету та виникнення непорозумінь між платниками по</w:t>
            </w:r>
            <w:r w:rsidR="009C4FAF" w:rsidRPr="00B22D31">
              <w:rPr>
                <w:sz w:val="28"/>
                <w:szCs w:val="24"/>
                <w:highlight w:val="white"/>
              </w:rPr>
              <w:t>датку та контролюючими органами</w:t>
            </w:r>
          </w:p>
        </w:tc>
      </w:tr>
      <w:tr w:rsidR="00B22D31" w:rsidRPr="00B22D31">
        <w:tc>
          <w:tcPr>
            <w:tcW w:w="2119" w:type="dxa"/>
          </w:tcPr>
          <w:p w:rsidR="00AE0FB2" w:rsidRPr="00B22D31" w:rsidRDefault="00F93AED">
            <w:pPr>
              <w:pBdr>
                <w:top w:val="nil"/>
                <w:left w:val="nil"/>
                <w:bottom w:val="nil"/>
                <w:right w:val="nil"/>
                <w:between w:val="nil"/>
              </w:pBdr>
              <w:ind w:right="-67"/>
              <w:rPr>
                <w:sz w:val="28"/>
                <w:szCs w:val="24"/>
                <w:highlight w:val="white"/>
              </w:rPr>
            </w:pPr>
            <w:r w:rsidRPr="00B22D31">
              <w:rPr>
                <w:sz w:val="28"/>
                <w:szCs w:val="24"/>
                <w:highlight w:val="white"/>
              </w:rPr>
              <w:t>Альтернатива 2</w:t>
            </w:r>
          </w:p>
        </w:tc>
        <w:tc>
          <w:tcPr>
            <w:tcW w:w="7609" w:type="dxa"/>
          </w:tcPr>
          <w:p w:rsidR="00AE0FB2" w:rsidRPr="00B22D31" w:rsidRDefault="00F93AED" w:rsidP="00592CBC">
            <w:pPr>
              <w:pBdr>
                <w:top w:val="nil"/>
                <w:left w:val="nil"/>
                <w:bottom w:val="nil"/>
                <w:right w:val="nil"/>
                <w:between w:val="nil"/>
              </w:pBdr>
              <w:ind w:firstLine="290"/>
              <w:jc w:val="both"/>
              <w:rPr>
                <w:sz w:val="28"/>
                <w:szCs w:val="24"/>
                <w:highlight w:val="white"/>
              </w:rPr>
            </w:pPr>
            <w:r w:rsidRPr="00B22D31">
              <w:rPr>
                <w:sz w:val="28"/>
                <w:szCs w:val="24"/>
                <w:highlight w:val="white"/>
              </w:rPr>
              <w:t xml:space="preserve">Прийняти проект постанови Кабінету Міністрів України </w:t>
            </w:r>
            <w:r w:rsidR="002E69DA" w:rsidRPr="00B22D31">
              <w:rPr>
                <w:sz w:val="28"/>
                <w:szCs w:val="24"/>
              </w:rPr>
              <w:t>«</w:t>
            </w:r>
            <w:r w:rsidR="00592CBC" w:rsidRPr="00B22D31">
              <w:rPr>
                <w:sz w:val="28"/>
                <w:szCs w:val="24"/>
              </w:rPr>
              <w:t>Про внесення змін до Порядку зупинення реєстрації податкової накладної/розрахунку коригування в Єдиному реєстрі податкових накладних</w:t>
            </w:r>
            <w:r w:rsidR="002E69DA" w:rsidRPr="00B22D31">
              <w:rPr>
                <w:sz w:val="28"/>
                <w:szCs w:val="24"/>
              </w:rPr>
              <w:t>»</w:t>
            </w:r>
            <w:r w:rsidRPr="00B22D31">
              <w:rPr>
                <w:sz w:val="28"/>
                <w:szCs w:val="24"/>
                <w:highlight w:val="white"/>
              </w:rPr>
              <w:t>, що надасть можливість встановлення справедливих умов для реєстрації платниками податку податкових накладних в Реєстрі, усунення непорозумінь між платниками податку та контролюючими органами та можливість держави своєчасно виконувати свої зобов’язання перед платниками податку в частині відшкодування податку на додану вартість з бюджету.</w:t>
            </w:r>
          </w:p>
        </w:tc>
      </w:tr>
    </w:tbl>
    <w:p w:rsidR="00AE0FB2" w:rsidRPr="00B22D31" w:rsidRDefault="00F93AED">
      <w:pPr>
        <w:widowControl w:val="0"/>
        <w:spacing w:before="120"/>
        <w:ind w:firstLine="709"/>
        <w:jc w:val="both"/>
        <w:rPr>
          <w:sz w:val="28"/>
          <w:szCs w:val="28"/>
          <w:highlight w:val="white"/>
        </w:rPr>
      </w:pPr>
      <w:r w:rsidRPr="00B22D31">
        <w:rPr>
          <w:sz w:val="28"/>
          <w:szCs w:val="28"/>
          <w:highlight w:val="white"/>
        </w:rPr>
        <w:t>2. Оцінка вибраних альтернативних способів досягнення цілей</w:t>
      </w:r>
    </w:p>
    <w:p w:rsidR="00AE0FB2" w:rsidRPr="00B22D31" w:rsidRDefault="00F93AED">
      <w:pPr>
        <w:widowControl w:val="0"/>
        <w:spacing w:before="120"/>
        <w:ind w:firstLine="709"/>
        <w:jc w:val="both"/>
        <w:rPr>
          <w:sz w:val="28"/>
          <w:szCs w:val="28"/>
          <w:highlight w:val="white"/>
        </w:rPr>
      </w:pPr>
      <w:r w:rsidRPr="00B22D31">
        <w:rPr>
          <w:sz w:val="28"/>
          <w:szCs w:val="28"/>
          <w:highlight w:val="white"/>
        </w:rPr>
        <w:t>2.1. Оцінка впливу на сферу інтересів держави</w:t>
      </w:r>
    </w:p>
    <w:tbl>
      <w:tblPr>
        <w:tblStyle w:val="af3"/>
        <w:tblW w:w="9728" w:type="dxa"/>
        <w:tblInd w:w="0"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ayout w:type="fixed"/>
        <w:tblLook w:val="0000" w:firstRow="0" w:lastRow="0" w:firstColumn="0" w:lastColumn="0" w:noHBand="0" w:noVBand="0"/>
      </w:tblPr>
      <w:tblGrid>
        <w:gridCol w:w="2119"/>
        <w:gridCol w:w="3783"/>
        <w:gridCol w:w="3826"/>
      </w:tblGrid>
      <w:tr w:rsidR="00B22D31" w:rsidRPr="00B22D31">
        <w:tc>
          <w:tcPr>
            <w:tcW w:w="2119"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lastRenderedPageBreak/>
              <w:t>Вид альтернативи</w:t>
            </w:r>
          </w:p>
        </w:tc>
        <w:tc>
          <w:tcPr>
            <w:tcW w:w="3783"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Вигоди</w:t>
            </w:r>
          </w:p>
        </w:tc>
        <w:tc>
          <w:tcPr>
            <w:tcW w:w="3826"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Витрати</w:t>
            </w:r>
          </w:p>
        </w:tc>
      </w:tr>
      <w:tr w:rsidR="00B22D31" w:rsidRPr="00B22D31">
        <w:tc>
          <w:tcPr>
            <w:tcW w:w="2119"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rPr>
                <w:sz w:val="28"/>
                <w:szCs w:val="24"/>
                <w:highlight w:val="white"/>
              </w:rPr>
            </w:pPr>
            <w:r w:rsidRPr="00B22D31">
              <w:rPr>
                <w:sz w:val="28"/>
                <w:szCs w:val="24"/>
                <w:highlight w:val="white"/>
              </w:rPr>
              <w:t>Альтернатива 1</w:t>
            </w:r>
          </w:p>
        </w:tc>
        <w:tc>
          <w:tcPr>
            <w:tcW w:w="3783"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ind w:firstLine="295"/>
              <w:jc w:val="both"/>
              <w:rPr>
                <w:sz w:val="28"/>
                <w:szCs w:val="24"/>
                <w:highlight w:val="white"/>
              </w:rPr>
            </w:pPr>
            <w:r w:rsidRPr="00B22D31">
              <w:rPr>
                <w:sz w:val="28"/>
                <w:szCs w:val="24"/>
                <w:highlight w:val="white"/>
              </w:rPr>
              <w:t>Відсутні</w:t>
            </w:r>
          </w:p>
        </w:tc>
        <w:tc>
          <w:tcPr>
            <w:tcW w:w="3826"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ind w:firstLine="284"/>
              <w:jc w:val="both"/>
              <w:rPr>
                <w:sz w:val="28"/>
                <w:szCs w:val="24"/>
                <w:highlight w:val="white"/>
              </w:rPr>
            </w:pPr>
            <w:r w:rsidRPr="00B22D31">
              <w:rPr>
                <w:sz w:val="28"/>
                <w:szCs w:val="24"/>
                <w:highlight w:val="white"/>
              </w:rPr>
              <w:t xml:space="preserve">Альтернатива є неприйнятною, оскільки не забезпечує досягнення поставленої мети. </w:t>
            </w:r>
          </w:p>
          <w:p w:rsidR="00AE0FB2" w:rsidRPr="00B22D31" w:rsidRDefault="00EE6FB7" w:rsidP="003E63FF">
            <w:pPr>
              <w:pBdr>
                <w:top w:val="nil"/>
                <w:left w:val="nil"/>
                <w:bottom w:val="nil"/>
                <w:right w:val="nil"/>
                <w:between w:val="nil"/>
              </w:pBdr>
              <w:ind w:firstLine="284"/>
              <w:jc w:val="both"/>
              <w:rPr>
                <w:sz w:val="28"/>
                <w:szCs w:val="24"/>
                <w:highlight w:val="white"/>
              </w:rPr>
            </w:pPr>
            <w:r w:rsidRPr="00B22D31">
              <w:rPr>
                <w:sz w:val="28"/>
                <w:szCs w:val="24"/>
                <w:highlight w:val="white"/>
              </w:rPr>
              <w:t xml:space="preserve">Не прийняття проекту акта </w:t>
            </w:r>
            <w:r w:rsidR="00F93AED" w:rsidRPr="00B22D31">
              <w:rPr>
                <w:sz w:val="28"/>
                <w:szCs w:val="24"/>
                <w:highlight w:val="white"/>
              </w:rPr>
              <w:t>призведе до несвоєчасного відшкодування податку на додану вартість з бюджету та виникнення непорозумінь між платниками податку та контролюючими органами</w:t>
            </w:r>
          </w:p>
        </w:tc>
      </w:tr>
      <w:tr w:rsidR="00AE0FB2" w:rsidRPr="00B22D31">
        <w:tc>
          <w:tcPr>
            <w:tcW w:w="2119"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rPr>
                <w:sz w:val="28"/>
                <w:szCs w:val="24"/>
                <w:highlight w:val="white"/>
              </w:rPr>
            </w:pPr>
            <w:r w:rsidRPr="00B22D31">
              <w:rPr>
                <w:sz w:val="28"/>
                <w:szCs w:val="24"/>
                <w:highlight w:val="white"/>
              </w:rPr>
              <w:t>Альтернатива 2</w:t>
            </w:r>
          </w:p>
        </w:tc>
        <w:tc>
          <w:tcPr>
            <w:tcW w:w="3783" w:type="dxa"/>
            <w:tcBorders>
              <w:top w:val="single" w:sz="6" w:space="0" w:color="000000"/>
              <w:left w:val="single" w:sz="6" w:space="0" w:color="000000"/>
              <w:bottom w:val="single" w:sz="6" w:space="0" w:color="000000"/>
              <w:right w:val="single" w:sz="6" w:space="0" w:color="000000"/>
            </w:tcBorders>
          </w:tcPr>
          <w:p w:rsidR="00AE0FB2" w:rsidRPr="00B22D31" w:rsidRDefault="00F93AED" w:rsidP="003E63FF">
            <w:pPr>
              <w:ind w:firstLine="295"/>
              <w:jc w:val="both"/>
              <w:rPr>
                <w:sz w:val="28"/>
                <w:szCs w:val="24"/>
                <w:highlight w:val="white"/>
              </w:rPr>
            </w:pPr>
            <w:r w:rsidRPr="00B22D31">
              <w:rPr>
                <w:sz w:val="28"/>
                <w:szCs w:val="24"/>
                <w:highlight w:val="white"/>
              </w:rPr>
              <w:t>Є необхідним і достатнім способом вирішенн</w:t>
            </w:r>
            <w:r w:rsidR="00EE6FB7" w:rsidRPr="00B22D31">
              <w:rPr>
                <w:sz w:val="28"/>
                <w:szCs w:val="24"/>
                <w:highlight w:val="white"/>
              </w:rPr>
              <w:t>я проблеми, оскільки проект акта</w:t>
            </w:r>
            <w:r w:rsidRPr="00B22D31">
              <w:rPr>
                <w:sz w:val="28"/>
                <w:szCs w:val="24"/>
                <w:highlight w:val="white"/>
              </w:rPr>
              <w:t xml:space="preserve"> спрямований на встановлення справедливих умов для реєстрації платниками податку податкових накладних/розрахунків коригування в Реєстрі, усунення непорозумінь між платниками податку та контролюючими органами та можливість держави своєчасно виконувати свої зобов’язання перед платниками податку в частині відшкодування подат</w:t>
            </w:r>
            <w:r w:rsidR="00EE6FB7" w:rsidRPr="00B22D31">
              <w:rPr>
                <w:sz w:val="28"/>
                <w:szCs w:val="24"/>
                <w:highlight w:val="white"/>
              </w:rPr>
              <w:t>ку на додану вартість з бюджету</w:t>
            </w:r>
          </w:p>
        </w:tc>
        <w:tc>
          <w:tcPr>
            <w:tcW w:w="3826"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ind w:firstLine="284"/>
              <w:jc w:val="both"/>
              <w:rPr>
                <w:sz w:val="28"/>
                <w:szCs w:val="24"/>
                <w:highlight w:val="white"/>
              </w:rPr>
            </w:pPr>
            <w:r w:rsidRPr="00B22D31">
              <w:rPr>
                <w:sz w:val="28"/>
                <w:szCs w:val="24"/>
                <w:highlight w:val="white"/>
              </w:rPr>
              <w:t>Відсутні</w:t>
            </w:r>
          </w:p>
        </w:tc>
      </w:tr>
    </w:tbl>
    <w:p w:rsidR="00AE0FB2" w:rsidRPr="00B22D31" w:rsidRDefault="00AE0FB2">
      <w:pPr>
        <w:pBdr>
          <w:top w:val="nil"/>
          <w:left w:val="nil"/>
          <w:bottom w:val="nil"/>
          <w:right w:val="nil"/>
          <w:between w:val="nil"/>
        </w:pBdr>
        <w:jc w:val="both"/>
        <w:rPr>
          <w:sz w:val="8"/>
          <w:szCs w:val="8"/>
          <w:highlight w:val="white"/>
        </w:rPr>
      </w:pPr>
    </w:p>
    <w:p w:rsidR="00AE0FB2" w:rsidRPr="00B22D31" w:rsidRDefault="00F93AED">
      <w:pPr>
        <w:pBdr>
          <w:top w:val="nil"/>
          <w:left w:val="nil"/>
          <w:bottom w:val="nil"/>
          <w:right w:val="nil"/>
          <w:between w:val="nil"/>
        </w:pBdr>
        <w:spacing w:before="120"/>
        <w:ind w:firstLine="567"/>
        <w:jc w:val="both"/>
        <w:rPr>
          <w:sz w:val="28"/>
          <w:szCs w:val="28"/>
          <w:highlight w:val="white"/>
        </w:rPr>
      </w:pPr>
      <w:r w:rsidRPr="00B22D31">
        <w:rPr>
          <w:sz w:val="28"/>
          <w:szCs w:val="28"/>
          <w:highlight w:val="white"/>
        </w:rPr>
        <w:t>2.2. Проект акта не розповсюджується на сферу інтересів громадян.</w:t>
      </w:r>
    </w:p>
    <w:p w:rsidR="00AE0FB2" w:rsidRPr="00B22D31" w:rsidRDefault="00F93AED">
      <w:pPr>
        <w:pBdr>
          <w:top w:val="nil"/>
          <w:left w:val="nil"/>
          <w:bottom w:val="nil"/>
          <w:right w:val="nil"/>
          <w:between w:val="nil"/>
        </w:pBdr>
        <w:spacing w:before="120"/>
        <w:ind w:firstLine="567"/>
        <w:jc w:val="both"/>
        <w:rPr>
          <w:sz w:val="28"/>
          <w:szCs w:val="28"/>
          <w:highlight w:val="white"/>
        </w:rPr>
      </w:pPr>
      <w:r w:rsidRPr="00B22D31">
        <w:rPr>
          <w:sz w:val="28"/>
          <w:szCs w:val="28"/>
          <w:highlight w:val="white"/>
        </w:rPr>
        <w:t>2.3. Оцінка впливу на сферу інтересів суб’єктів господарювання.</w:t>
      </w:r>
    </w:p>
    <w:p w:rsidR="00E50150" w:rsidRPr="00B22D31" w:rsidRDefault="00F93AED">
      <w:pPr>
        <w:ind w:firstLine="567"/>
        <w:jc w:val="both"/>
        <w:rPr>
          <w:sz w:val="28"/>
          <w:szCs w:val="28"/>
        </w:rPr>
      </w:pPr>
      <w:r w:rsidRPr="00B22D31">
        <w:rPr>
          <w:sz w:val="28"/>
          <w:szCs w:val="28"/>
        </w:rPr>
        <w:t xml:space="preserve">За даними інформаційних систем ДПС, протягом 2021 року було зупинено реєстрацію податкових накладних в Реєстрі у </w:t>
      </w:r>
      <w:r w:rsidR="00ED10B1" w:rsidRPr="00B22D31">
        <w:rPr>
          <w:sz w:val="28"/>
          <w:szCs w:val="28"/>
        </w:rPr>
        <w:t xml:space="preserve">44 220 </w:t>
      </w:r>
      <w:r w:rsidRPr="00B22D31">
        <w:rPr>
          <w:sz w:val="28"/>
          <w:szCs w:val="28"/>
        </w:rPr>
        <w:t>суб’єктів господарювання.</w:t>
      </w:r>
    </w:p>
    <w:p w:rsidR="00E50150" w:rsidRPr="00B22D31" w:rsidRDefault="00E50150">
      <w:pPr>
        <w:rPr>
          <w:sz w:val="28"/>
          <w:szCs w:val="28"/>
        </w:rPr>
      </w:pPr>
      <w:r w:rsidRPr="00B22D31">
        <w:rPr>
          <w:sz w:val="28"/>
          <w:szCs w:val="28"/>
        </w:rPr>
        <w:br w:type="page"/>
      </w:r>
    </w:p>
    <w:p w:rsidR="00AE0FB2" w:rsidRPr="00B22D31" w:rsidRDefault="00AE0FB2">
      <w:pPr>
        <w:pBdr>
          <w:top w:val="nil"/>
          <w:left w:val="nil"/>
          <w:bottom w:val="nil"/>
          <w:right w:val="nil"/>
          <w:between w:val="nil"/>
        </w:pBdr>
        <w:spacing w:before="120"/>
        <w:ind w:firstLine="567"/>
        <w:jc w:val="both"/>
        <w:rPr>
          <w:sz w:val="8"/>
          <w:szCs w:val="8"/>
        </w:rPr>
      </w:pPr>
    </w:p>
    <w:tbl>
      <w:tblPr>
        <w:tblStyle w:val="af3"/>
        <w:tblW w:w="981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35"/>
        <w:gridCol w:w="1293"/>
        <w:gridCol w:w="1124"/>
        <w:gridCol w:w="1136"/>
        <w:gridCol w:w="1234"/>
        <w:gridCol w:w="1294"/>
      </w:tblGrid>
      <w:tr w:rsidR="00B22D31" w:rsidRPr="00B22D31">
        <w:tc>
          <w:tcPr>
            <w:tcW w:w="3735" w:type="dxa"/>
          </w:tcPr>
          <w:p w:rsidR="00AE0FB2" w:rsidRPr="00B22D31" w:rsidRDefault="00F93AED">
            <w:pPr>
              <w:pBdr>
                <w:top w:val="nil"/>
                <w:left w:val="nil"/>
                <w:bottom w:val="nil"/>
                <w:right w:val="nil"/>
                <w:between w:val="nil"/>
              </w:pBdr>
              <w:jc w:val="center"/>
              <w:rPr>
                <w:sz w:val="28"/>
                <w:szCs w:val="24"/>
              </w:rPr>
            </w:pPr>
            <w:r w:rsidRPr="00B22D31">
              <w:rPr>
                <w:sz w:val="28"/>
                <w:szCs w:val="24"/>
              </w:rPr>
              <w:t>Показник</w:t>
            </w:r>
          </w:p>
        </w:tc>
        <w:tc>
          <w:tcPr>
            <w:tcW w:w="1293" w:type="dxa"/>
          </w:tcPr>
          <w:p w:rsidR="00AE0FB2" w:rsidRPr="00B22D31" w:rsidRDefault="00F93AED">
            <w:pPr>
              <w:pBdr>
                <w:top w:val="nil"/>
                <w:left w:val="nil"/>
                <w:bottom w:val="nil"/>
                <w:right w:val="nil"/>
                <w:between w:val="nil"/>
              </w:pBdr>
              <w:jc w:val="center"/>
              <w:rPr>
                <w:sz w:val="28"/>
                <w:szCs w:val="24"/>
              </w:rPr>
            </w:pPr>
            <w:r w:rsidRPr="00B22D31">
              <w:rPr>
                <w:sz w:val="28"/>
                <w:szCs w:val="24"/>
              </w:rPr>
              <w:t>Великі</w:t>
            </w:r>
          </w:p>
        </w:tc>
        <w:tc>
          <w:tcPr>
            <w:tcW w:w="1124" w:type="dxa"/>
          </w:tcPr>
          <w:p w:rsidR="00AE0FB2" w:rsidRPr="00B22D31" w:rsidRDefault="00F93AED">
            <w:pPr>
              <w:pBdr>
                <w:top w:val="nil"/>
                <w:left w:val="nil"/>
                <w:bottom w:val="nil"/>
                <w:right w:val="nil"/>
                <w:between w:val="nil"/>
              </w:pBdr>
              <w:jc w:val="center"/>
              <w:rPr>
                <w:sz w:val="28"/>
                <w:szCs w:val="24"/>
              </w:rPr>
            </w:pPr>
            <w:r w:rsidRPr="00B22D31">
              <w:rPr>
                <w:sz w:val="28"/>
                <w:szCs w:val="24"/>
              </w:rPr>
              <w:t>Середні</w:t>
            </w:r>
          </w:p>
        </w:tc>
        <w:tc>
          <w:tcPr>
            <w:tcW w:w="1136" w:type="dxa"/>
          </w:tcPr>
          <w:p w:rsidR="00AE0FB2" w:rsidRPr="00B22D31" w:rsidRDefault="00F93AED">
            <w:pPr>
              <w:pBdr>
                <w:top w:val="nil"/>
                <w:left w:val="nil"/>
                <w:bottom w:val="nil"/>
                <w:right w:val="nil"/>
                <w:between w:val="nil"/>
              </w:pBdr>
              <w:jc w:val="center"/>
              <w:rPr>
                <w:sz w:val="28"/>
                <w:szCs w:val="24"/>
              </w:rPr>
            </w:pPr>
            <w:r w:rsidRPr="00B22D31">
              <w:rPr>
                <w:sz w:val="28"/>
                <w:szCs w:val="24"/>
              </w:rPr>
              <w:t>Малі</w:t>
            </w:r>
          </w:p>
        </w:tc>
        <w:tc>
          <w:tcPr>
            <w:tcW w:w="1234" w:type="dxa"/>
          </w:tcPr>
          <w:p w:rsidR="00AE0FB2" w:rsidRPr="00B22D31" w:rsidRDefault="00F93AED">
            <w:pPr>
              <w:pBdr>
                <w:top w:val="nil"/>
                <w:left w:val="nil"/>
                <w:bottom w:val="nil"/>
                <w:right w:val="nil"/>
                <w:between w:val="nil"/>
              </w:pBdr>
              <w:jc w:val="center"/>
              <w:rPr>
                <w:sz w:val="28"/>
                <w:szCs w:val="24"/>
              </w:rPr>
            </w:pPr>
            <w:r w:rsidRPr="00B22D31">
              <w:rPr>
                <w:sz w:val="28"/>
                <w:szCs w:val="24"/>
              </w:rPr>
              <w:t>Мікро</w:t>
            </w:r>
          </w:p>
        </w:tc>
        <w:tc>
          <w:tcPr>
            <w:tcW w:w="1294" w:type="dxa"/>
          </w:tcPr>
          <w:p w:rsidR="00AE0FB2" w:rsidRPr="00B22D31" w:rsidRDefault="00F93AED">
            <w:pPr>
              <w:pBdr>
                <w:top w:val="nil"/>
                <w:left w:val="nil"/>
                <w:bottom w:val="nil"/>
                <w:right w:val="nil"/>
                <w:between w:val="nil"/>
              </w:pBdr>
              <w:jc w:val="center"/>
              <w:rPr>
                <w:sz w:val="28"/>
                <w:szCs w:val="24"/>
              </w:rPr>
            </w:pPr>
            <w:r w:rsidRPr="00B22D31">
              <w:rPr>
                <w:sz w:val="28"/>
                <w:szCs w:val="24"/>
              </w:rPr>
              <w:t>Разом</w:t>
            </w:r>
          </w:p>
        </w:tc>
      </w:tr>
      <w:tr w:rsidR="00B22D31" w:rsidRPr="00B22D31">
        <w:tc>
          <w:tcPr>
            <w:tcW w:w="3735" w:type="dxa"/>
          </w:tcPr>
          <w:p w:rsidR="00AE0FB2" w:rsidRPr="00B22D31" w:rsidRDefault="00F93AED">
            <w:pPr>
              <w:pBdr>
                <w:top w:val="nil"/>
                <w:left w:val="nil"/>
                <w:bottom w:val="nil"/>
                <w:right w:val="nil"/>
                <w:between w:val="nil"/>
              </w:pBdr>
              <w:rPr>
                <w:sz w:val="28"/>
                <w:szCs w:val="24"/>
              </w:rPr>
            </w:pPr>
            <w:r w:rsidRPr="00B22D31">
              <w:rPr>
                <w:sz w:val="28"/>
                <w:szCs w:val="24"/>
              </w:rPr>
              <w:t>Кількість суб’єктів господарювання, що підпадають під дію регулювання, одиниць*</w:t>
            </w:r>
          </w:p>
        </w:tc>
        <w:tc>
          <w:tcPr>
            <w:tcW w:w="1293" w:type="dxa"/>
            <w:vAlign w:val="center"/>
          </w:tcPr>
          <w:p w:rsidR="00AE0FB2" w:rsidRPr="00B22D31" w:rsidRDefault="00375433">
            <w:pPr>
              <w:pBdr>
                <w:top w:val="nil"/>
                <w:left w:val="nil"/>
                <w:bottom w:val="nil"/>
                <w:right w:val="nil"/>
                <w:between w:val="nil"/>
              </w:pBdr>
              <w:jc w:val="center"/>
              <w:rPr>
                <w:sz w:val="28"/>
                <w:szCs w:val="24"/>
              </w:rPr>
            </w:pPr>
            <w:r w:rsidRPr="00B22D31">
              <w:rPr>
                <w:sz w:val="28"/>
                <w:szCs w:val="24"/>
              </w:rPr>
              <w:t>11</w:t>
            </w:r>
          </w:p>
        </w:tc>
        <w:tc>
          <w:tcPr>
            <w:tcW w:w="1124" w:type="dxa"/>
            <w:vAlign w:val="center"/>
          </w:tcPr>
          <w:p w:rsidR="00AE0FB2" w:rsidRPr="00B22D31" w:rsidRDefault="00375433" w:rsidP="00375433">
            <w:pPr>
              <w:jc w:val="center"/>
              <w:rPr>
                <w:sz w:val="28"/>
                <w:szCs w:val="24"/>
              </w:rPr>
            </w:pPr>
            <w:r w:rsidRPr="00B22D31">
              <w:rPr>
                <w:sz w:val="28"/>
                <w:szCs w:val="24"/>
              </w:rPr>
              <w:t>12 876</w:t>
            </w:r>
          </w:p>
        </w:tc>
        <w:tc>
          <w:tcPr>
            <w:tcW w:w="1136" w:type="dxa"/>
            <w:vAlign w:val="center"/>
          </w:tcPr>
          <w:p w:rsidR="00AE0FB2" w:rsidRPr="00B22D31" w:rsidRDefault="00375433" w:rsidP="00375433">
            <w:pPr>
              <w:jc w:val="center"/>
              <w:rPr>
                <w:sz w:val="28"/>
                <w:szCs w:val="24"/>
              </w:rPr>
            </w:pPr>
            <w:r w:rsidRPr="00B22D31">
              <w:rPr>
                <w:sz w:val="28"/>
                <w:szCs w:val="24"/>
              </w:rPr>
              <w:t>3 498</w:t>
            </w:r>
          </w:p>
        </w:tc>
        <w:tc>
          <w:tcPr>
            <w:tcW w:w="1234" w:type="dxa"/>
            <w:vAlign w:val="center"/>
          </w:tcPr>
          <w:p w:rsidR="00AE0FB2" w:rsidRPr="00B22D31" w:rsidRDefault="00375433" w:rsidP="00375433">
            <w:pPr>
              <w:jc w:val="center"/>
              <w:rPr>
                <w:sz w:val="28"/>
                <w:szCs w:val="24"/>
              </w:rPr>
            </w:pPr>
            <w:r w:rsidRPr="00B22D31">
              <w:rPr>
                <w:sz w:val="28"/>
                <w:szCs w:val="24"/>
              </w:rPr>
              <w:t>27 835</w:t>
            </w:r>
          </w:p>
        </w:tc>
        <w:tc>
          <w:tcPr>
            <w:tcW w:w="1294" w:type="dxa"/>
            <w:vAlign w:val="center"/>
          </w:tcPr>
          <w:p w:rsidR="00AE0FB2" w:rsidRPr="00B22D31" w:rsidRDefault="00375433" w:rsidP="00375433">
            <w:pPr>
              <w:jc w:val="center"/>
              <w:rPr>
                <w:sz w:val="28"/>
                <w:szCs w:val="24"/>
              </w:rPr>
            </w:pPr>
            <w:r w:rsidRPr="00B22D31">
              <w:rPr>
                <w:sz w:val="28"/>
                <w:szCs w:val="24"/>
              </w:rPr>
              <w:t>44 220</w:t>
            </w:r>
          </w:p>
        </w:tc>
      </w:tr>
      <w:tr w:rsidR="00B22D31" w:rsidRPr="00B22D31" w:rsidTr="00375433">
        <w:tc>
          <w:tcPr>
            <w:tcW w:w="3735" w:type="dxa"/>
          </w:tcPr>
          <w:p w:rsidR="00375433" w:rsidRPr="00B22D31" w:rsidRDefault="00375433" w:rsidP="00375433">
            <w:pPr>
              <w:pBdr>
                <w:top w:val="nil"/>
                <w:left w:val="nil"/>
                <w:bottom w:val="nil"/>
                <w:right w:val="nil"/>
                <w:between w:val="nil"/>
              </w:pBdr>
              <w:rPr>
                <w:sz w:val="28"/>
                <w:szCs w:val="24"/>
              </w:rPr>
            </w:pPr>
            <w:r w:rsidRPr="00B22D31">
              <w:rPr>
                <w:sz w:val="28"/>
                <w:szCs w:val="24"/>
              </w:rPr>
              <w:t>Питома вага групи у загальній кількості, відсотків</w:t>
            </w:r>
          </w:p>
        </w:tc>
        <w:tc>
          <w:tcPr>
            <w:tcW w:w="1293" w:type="dxa"/>
            <w:vAlign w:val="center"/>
          </w:tcPr>
          <w:p w:rsidR="00375433" w:rsidRPr="00B22D31" w:rsidRDefault="00375433" w:rsidP="00375433">
            <w:pPr>
              <w:jc w:val="center"/>
              <w:rPr>
                <w:sz w:val="28"/>
                <w:szCs w:val="24"/>
              </w:rPr>
            </w:pPr>
            <w:r w:rsidRPr="00B22D31">
              <w:rPr>
                <w:sz w:val="28"/>
                <w:szCs w:val="24"/>
              </w:rPr>
              <w:t>0,02</w:t>
            </w:r>
            <w:r w:rsidR="00EE6FB7" w:rsidRPr="00B22D31">
              <w:rPr>
                <w:sz w:val="28"/>
                <w:szCs w:val="24"/>
              </w:rPr>
              <w:t xml:space="preserve"> </w:t>
            </w:r>
            <w:r w:rsidRPr="00B22D31">
              <w:rPr>
                <w:sz w:val="28"/>
                <w:szCs w:val="24"/>
              </w:rPr>
              <w:t>%</w:t>
            </w:r>
          </w:p>
        </w:tc>
        <w:tc>
          <w:tcPr>
            <w:tcW w:w="1124" w:type="dxa"/>
            <w:vAlign w:val="center"/>
          </w:tcPr>
          <w:p w:rsidR="00375433" w:rsidRPr="00B22D31" w:rsidRDefault="00375433" w:rsidP="00375433">
            <w:pPr>
              <w:jc w:val="center"/>
              <w:rPr>
                <w:sz w:val="28"/>
                <w:szCs w:val="24"/>
              </w:rPr>
            </w:pPr>
            <w:r w:rsidRPr="00B22D31">
              <w:rPr>
                <w:sz w:val="28"/>
                <w:szCs w:val="24"/>
              </w:rPr>
              <w:t>29</w:t>
            </w:r>
            <w:r w:rsidR="00EE6FB7" w:rsidRPr="00B22D31">
              <w:rPr>
                <w:sz w:val="28"/>
                <w:szCs w:val="24"/>
              </w:rPr>
              <w:t xml:space="preserve"> </w:t>
            </w:r>
            <w:r w:rsidRPr="00B22D31">
              <w:rPr>
                <w:sz w:val="28"/>
                <w:szCs w:val="24"/>
              </w:rPr>
              <w:t>%</w:t>
            </w:r>
          </w:p>
        </w:tc>
        <w:tc>
          <w:tcPr>
            <w:tcW w:w="1136" w:type="dxa"/>
            <w:vAlign w:val="center"/>
          </w:tcPr>
          <w:p w:rsidR="00375433" w:rsidRPr="00B22D31" w:rsidRDefault="00375433" w:rsidP="00375433">
            <w:pPr>
              <w:jc w:val="center"/>
              <w:rPr>
                <w:sz w:val="28"/>
                <w:szCs w:val="24"/>
              </w:rPr>
            </w:pPr>
            <w:r w:rsidRPr="00B22D31">
              <w:rPr>
                <w:sz w:val="28"/>
                <w:szCs w:val="24"/>
              </w:rPr>
              <w:t>8</w:t>
            </w:r>
            <w:r w:rsidR="00EE6FB7" w:rsidRPr="00B22D31">
              <w:rPr>
                <w:sz w:val="28"/>
                <w:szCs w:val="24"/>
              </w:rPr>
              <w:t xml:space="preserve"> </w:t>
            </w:r>
            <w:r w:rsidRPr="00B22D31">
              <w:rPr>
                <w:sz w:val="28"/>
                <w:szCs w:val="24"/>
              </w:rPr>
              <w:t>%</w:t>
            </w:r>
          </w:p>
        </w:tc>
        <w:tc>
          <w:tcPr>
            <w:tcW w:w="1234" w:type="dxa"/>
            <w:vAlign w:val="center"/>
          </w:tcPr>
          <w:p w:rsidR="00375433" w:rsidRPr="00B22D31" w:rsidRDefault="00375433" w:rsidP="00375433">
            <w:pPr>
              <w:jc w:val="center"/>
              <w:rPr>
                <w:sz w:val="28"/>
                <w:szCs w:val="24"/>
              </w:rPr>
            </w:pPr>
            <w:r w:rsidRPr="00B22D31">
              <w:rPr>
                <w:sz w:val="28"/>
                <w:szCs w:val="24"/>
              </w:rPr>
              <w:t>63</w:t>
            </w:r>
            <w:r w:rsidR="00EE6FB7" w:rsidRPr="00B22D31">
              <w:rPr>
                <w:sz w:val="28"/>
                <w:szCs w:val="24"/>
              </w:rPr>
              <w:t xml:space="preserve"> </w:t>
            </w:r>
            <w:r w:rsidRPr="00B22D31">
              <w:rPr>
                <w:sz w:val="28"/>
                <w:szCs w:val="24"/>
              </w:rPr>
              <w:t>%</w:t>
            </w:r>
          </w:p>
        </w:tc>
        <w:tc>
          <w:tcPr>
            <w:tcW w:w="1294" w:type="dxa"/>
            <w:vAlign w:val="center"/>
          </w:tcPr>
          <w:p w:rsidR="00375433" w:rsidRPr="00B22D31" w:rsidRDefault="00375433" w:rsidP="00375433">
            <w:pPr>
              <w:jc w:val="center"/>
              <w:rPr>
                <w:sz w:val="28"/>
                <w:szCs w:val="24"/>
              </w:rPr>
            </w:pPr>
            <w:r w:rsidRPr="00B22D31">
              <w:rPr>
                <w:sz w:val="28"/>
                <w:szCs w:val="24"/>
              </w:rPr>
              <w:t>100</w:t>
            </w:r>
            <w:r w:rsidR="00EE6FB7" w:rsidRPr="00B22D31">
              <w:rPr>
                <w:sz w:val="28"/>
                <w:szCs w:val="24"/>
              </w:rPr>
              <w:t xml:space="preserve"> </w:t>
            </w:r>
            <w:r w:rsidRPr="00B22D31">
              <w:rPr>
                <w:sz w:val="28"/>
                <w:szCs w:val="24"/>
              </w:rPr>
              <w:t>%</w:t>
            </w:r>
          </w:p>
        </w:tc>
      </w:tr>
    </w:tbl>
    <w:p w:rsidR="00AE0FB2" w:rsidRPr="00B22D31" w:rsidRDefault="00F93AED">
      <w:pPr>
        <w:rPr>
          <w:sz w:val="24"/>
          <w:szCs w:val="24"/>
          <w:highlight w:val="white"/>
        </w:rPr>
      </w:pPr>
      <w:r w:rsidRPr="00B22D31">
        <w:rPr>
          <w:sz w:val="24"/>
          <w:szCs w:val="24"/>
          <w:highlight w:val="white"/>
        </w:rPr>
        <w:t xml:space="preserve"> ____________</w:t>
      </w:r>
    </w:p>
    <w:p w:rsidR="00AE0FB2" w:rsidRPr="00B22D31" w:rsidRDefault="00F93AED">
      <w:pPr>
        <w:rPr>
          <w:sz w:val="24"/>
          <w:szCs w:val="24"/>
          <w:highlight w:val="white"/>
        </w:rPr>
      </w:pPr>
      <w:r w:rsidRPr="00B22D31">
        <w:rPr>
          <w:sz w:val="24"/>
          <w:szCs w:val="24"/>
          <w:highlight w:val="white"/>
        </w:rPr>
        <w:t>* Показники щодо кількості суб’єктів господарювання, які підпадають під дію регулювання, з Єдиного реєстру податкових накладних.</w:t>
      </w:r>
    </w:p>
    <w:p w:rsidR="00AE0FB2" w:rsidRPr="00B22D31" w:rsidRDefault="00AE0FB2">
      <w:pPr>
        <w:pBdr>
          <w:top w:val="nil"/>
          <w:left w:val="nil"/>
          <w:bottom w:val="nil"/>
          <w:right w:val="nil"/>
          <w:between w:val="nil"/>
        </w:pBdr>
        <w:ind w:firstLine="567"/>
        <w:jc w:val="both"/>
        <w:rPr>
          <w:sz w:val="28"/>
          <w:szCs w:val="28"/>
          <w:highlight w:val="white"/>
        </w:rPr>
      </w:pPr>
    </w:p>
    <w:tbl>
      <w:tblPr>
        <w:tblStyle w:val="af3"/>
        <w:tblW w:w="9814" w:type="dxa"/>
        <w:tblInd w:w="0"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ayout w:type="fixed"/>
        <w:tblLook w:val="0000" w:firstRow="0" w:lastRow="0" w:firstColumn="0" w:lastColumn="0" w:noHBand="0" w:noVBand="0"/>
      </w:tblPr>
      <w:tblGrid>
        <w:gridCol w:w="2119"/>
        <w:gridCol w:w="3795"/>
        <w:gridCol w:w="3900"/>
      </w:tblGrid>
      <w:tr w:rsidR="00B22D31" w:rsidRPr="00B22D31">
        <w:tc>
          <w:tcPr>
            <w:tcW w:w="2119"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Вид альтернативи</w:t>
            </w:r>
          </w:p>
        </w:tc>
        <w:tc>
          <w:tcPr>
            <w:tcW w:w="3795"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Вигоди</w:t>
            </w:r>
          </w:p>
        </w:tc>
        <w:tc>
          <w:tcPr>
            <w:tcW w:w="3900"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Витрати</w:t>
            </w:r>
          </w:p>
        </w:tc>
      </w:tr>
      <w:tr w:rsidR="00B22D31" w:rsidRPr="00B22D31">
        <w:tc>
          <w:tcPr>
            <w:tcW w:w="2119"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Альтернатива 1</w:t>
            </w:r>
          </w:p>
        </w:tc>
        <w:tc>
          <w:tcPr>
            <w:tcW w:w="3795" w:type="dxa"/>
            <w:tcBorders>
              <w:top w:val="single" w:sz="6" w:space="0" w:color="000000"/>
              <w:left w:val="single" w:sz="6" w:space="0" w:color="000000"/>
              <w:bottom w:val="single" w:sz="6" w:space="0" w:color="000000"/>
              <w:right w:val="single" w:sz="6" w:space="0" w:color="000000"/>
            </w:tcBorders>
          </w:tcPr>
          <w:p w:rsidR="00AE0FB2" w:rsidRPr="00B22D31" w:rsidRDefault="00F93AED">
            <w:pPr>
              <w:ind w:left="720"/>
              <w:jc w:val="center"/>
              <w:rPr>
                <w:sz w:val="28"/>
                <w:szCs w:val="24"/>
                <w:highlight w:val="white"/>
              </w:rPr>
            </w:pPr>
            <w:r w:rsidRPr="00B22D31">
              <w:rPr>
                <w:sz w:val="28"/>
                <w:szCs w:val="24"/>
                <w:highlight w:val="white"/>
              </w:rPr>
              <w:t>Відсутні</w:t>
            </w:r>
          </w:p>
        </w:tc>
        <w:tc>
          <w:tcPr>
            <w:tcW w:w="3900" w:type="dxa"/>
            <w:tcBorders>
              <w:top w:val="single" w:sz="6" w:space="0" w:color="000000"/>
              <w:left w:val="single" w:sz="6" w:space="0" w:color="000000"/>
              <w:bottom w:val="single" w:sz="6" w:space="0" w:color="000000"/>
              <w:right w:val="single" w:sz="6" w:space="0" w:color="000000"/>
            </w:tcBorders>
            <w:vAlign w:val="center"/>
          </w:tcPr>
          <w:p w:rsidR="00AE0FB2" w:rsidRPr="00B22D31" w:rsidRDefault="00347506">
            <w:pPr>
              <w:ind w:firstLine="284"/>
              <w:jc w:val="both"/>
              <w:rPr>
                <w:sz w:val="28"/>
                <w:szCs w:val="24"/>
                <w:highlight w:val="white"/>
              </w:rPr>
            </w:pPr>
            <w:r w:rsidRPr="00B22D31">
              <w:rPr>
                <w:sz w:val="28"/>
                <w:szCs w:val="24"/>
                <w:highlight w:val="white"/>
              </w:rPr>
              <w:t>Д</w:t>
            </w:r>
            <w:r w:rsidR="00F93AED" w:rsidRPr="00B22D31">
              <w:rPr>
                <w:sz w:val="28"/>
                <w:szCs w:val="24"/>
                <w:highlight w:val="white"/>
              </w:rPr>
              <w:t>ержава не матиме можливості своєчасно виконувати свої зобов’язання перед платниками податку в частині відшкодування податку на додану вартість з бюджету та виникнення непорозумінь між платниками по</w:t>
            </w:r>
            <w:r w:rsidR="00EE6FB7" w:rsidRPr="00B22D31">
              <w:rPr>
                <w:sz w:val="28"/>
                <w:szCs w:val="24"/>
                <w:highlight w:val="white"/>
              </w:rPr>
              <w:t>датку та контролюючими органами</w:t>
            </w:r>
          </w:p>
        </w:tc>
      </w:tr>
      <w:tr w:rsidR="00AE0FB2" w:rsidRPr="00B22D31">
        <w:tc>
          <w:tcPr>
            <w:tcW w:w="2119"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Альтернатива 2</w:t>
            </w:r>
          </w:p>
        </w:tc>
        <w:tc>
          <w:tcPr>
            <w:tcW w:w="3795" w:type="dxa"/>
            <w:tcBorders>
              <w:top w:val="single" w:sz="6" w:space="0" w:color="000000"/>
              <w:left w:val="single" w:sz="6" w:space="0" w:color="000000"/>
              <w:bottom w:val="single" w:sz="6" w:space="0" w:color="000000"/>
              <w:right w:val="single" w:sz="6" w:space="0" w:color="000000"/>
            </w:tcBorders>
          </w:tcPr>
          <w:p w:rsidR="00AE0FB2" w:rsidRPr="00B22D31" w:rsidRDefault="00F93AED" w:rsidP="00347506">
            <w:pPr>
              <w:jc w:val="both"/>
              <w:rPr>
                <w:sz w:val="28"/>
                <w:szCs w:val="24"/>
                <w:highlight w:val="white"/>
              </w:rPr>
            </w:pPr>
            <w:r w:rsidRPr="00B22D31">
              <w:rPr>
                <w:sz w:val="28"/>
                <w:szCs w:val="24"/>
                <w:highlight w:val="white"/>
              </w:rPr>
              <w:t> Забезпечить встановлення справедливих умов для реєстрації платниками податку податкових накладних/розрахунків коригування в Реєстрі, усунення непорозумінь між платниками податку та контролюючими органами, створить можливість держави своєчасно виконувати свої зобов’язання перед платниками податку в частині відшкодування податк</w:t>
            </w:r>
            <w:r w:rsidR="00347506" w:rsidRPr="00B22D31">
              <w:rPr>
                <w:sz w:val="28"/>
                <w:szCs w:val="24"/>
                <w:highlight w:val="white"/>
              </w:rPr>
              <w:t xml:space="preserve">у на </w:t>
            </w:r>
            <w:r w:rsidR="00EE6FB7" w:rsidRPr="00B22D31">
              <w:rPr>
                <w:sz w:val="28"/>
                <w:szCs w:val="24"/>
                <w:highlight w:val="white"/>
              </w:rPr>
              <w:t>додану вартість з бюджету</w:t>
            </w:r>
          </w:p>
        </w:tc>
        <w:tc>
          <w:tcPr>
            <w:tcW w:w="3900" w:type="dxa"/>
            <w:tcBorders>
              <w:top w:val="single" w:sz="6" w:space="0" w:color="000000"/>
              <w:left w:val="single" w:sz="6" w:space="0" w:color="000000"/>
              <w:bottom w:val="single" w:sz="6" w:space="0" w:color="000000"/>
              <w:right w:val="single" w:sz="6" w:space="0" w:color="000000"/>
            </w:tcBorders>
          </w:tcPr>
          <w:p w:rsidR="00AE0FB2" w:rsidRPr="00B22D31" w:rsidRDefault="00F93AED">
            <w:pPr>
              <w:ind w:left="720"/>
              <w:rPr>
                <w:sz w:val="28"/>
                <w:szCs w:val="24"/>
                <w:highlight w:val="white"/>
              </w:rPr>
            </w:pPr>
            <w:r w:rsidRPr="00B22D31">
              <w:rPr>
                <w:sz w:val="28"/>
                <w:szCs w:val="24"/>
                <w:highlight w:val="white"/>
              </w:rPr>
              <w:t>Відсутні</w:t>
            </w:r>
          </w:p>
        </w:tc>
      </w:tr>
    </w:tbl>
    <w:p w:rsidR="00AE0FB2" w:rsidRPr="00B22D31" w:rsidRDefault="00AE0FB2">
      <w:pPr>
        <w:widowControl w:val="0"/>
        <w:spacing w:after="120"/>
        <w:ind w:firstLine="459"/>
        <w:jc w:val="center"/>
        <w:rPr>
          <w:sz w:val="28"/>
          <w:szCs w:val="28"/>
          <w:highlight w:val="white"/>
        </w:rPr>
      </w:pPr>
    </w:p>
    <w:p w:rsidR="00987BAD" w:rsidRPr="00B22D31" w:rsidRDefault="00987BAD">
      <w:pPr>
        <w:rPr>
          <w:b/>
          <w:sz w:val="28"/>
          <w:szCs w:val="28"/>
          <w:highlight w:val="white"/>
        </w:rPr>
      </w:pPr>
      <w:r w:rsidRPr="00B22D31">
        <w:rPr>
          <w:b/>
          <w:sz w:val="28"/>
          <w:szCs w:val="28"/>
          <w:highlight w:val="white"/>
        </w:rPr>
        <w:br w:type="page"/>
      </w:r>
    </w:p>
    <w:p w:rsidR="00AE0FB2" w:rsidRPr="00B22D31" w:rsidRDefault="00F93AED">
      <w:pPr>
        <w:pBdr>
          <w:top w:val="nil"/>
          <w:left w:val="nil"/>
          <w:bottom w:val="nil"/>
          <w:right w:val="nil"/>
          <w:between w:val="nil"/>
        </w:pBdr>
        <w:ind w:firstLine="567"/>
        <w:jc w:val="center"/>
        <w:rPr>
          <w:b/>
          <w:sz w:val="28"/>
          <w:szCs w:val="28"/>
          <w:highlight w:val="white"/>
        </w:rPr>
      </w:pPr>
      <w:r w:rsidRPr="00B22D31">
        <w:rPr>
          <w:b/>
          <w:sz w:val="28"/>
          <w:szCs w:val="28"/>
          <w:highlight w:val="white"/>
        </w:rPr>
        <w:lastRenderedPageBreak/>
        <w:t>Витрати на одного суб’єкта господарювання, які виникають внаслідок дії регуляторного акта</w:t>
      </w:r>
    </w:p>
    <w:p w:rsidR="00AE0FB2" w:rsidRPr="00B22D31" w:rsidRDefault="00F93AED">
      <w:pPr>
        <w:pBdr>
          <w:top w:val="nil"/>
          <w:left w:val="nil"/>
          <w:bottom w:val="nil"/>
          <w:right w:val="nil"/>
          <w:between w:val="nil"/>
        </w:pBdr>
        <w:ind w:firstLine="567"/>
        <w:jc w:val="both"/>
        <w:rPr>
          <w:sz w:val="28"/>
          <w:szCs w:val="28"/>
        </w:rPr>
      </w:pPr>
      <w:r w:rsidRPr="00B22D31">
        <w:rPr>
          <w:sz w:val="28"/>
          <w:szCs w:val="28"/>
        </w:rPr>
        <w:t xml:space="preserve">Розрахунок зроблено на підставі вибіркових даних щодо кількості суб’єктів господарювання, які розподілені на окремі категорії суб’єктів великого, середнього, малого та мікропідприємництва. Загальна кількість суб’єктів великого та середнього підприємництва становить </w:t>
      </w:r>
      <w:r w:rsidR="00347506" w:rsidRPr="00B22D31">
        <w:rPr>
          <w:sz w:val="28"/>
          <w:szCs w:val="28"/>
        </w:rPr>
        <w:t>12 887</w:t>
      </w:r>
      <w:r w:rsidRPr="00B22D31">
        <w:rPr>
          <w:sz w:val="28"/>
          <w:szCs w:val="28"/>
        </w:rPr>
        <w:t xml:space="preserve"> суб’єктів </w:t>
      </w:r>
      <w:r w:rsidRPr="00B22D31">
        <w:rPr>
          <w:sz w:val="28"/>
        </w:rPr>
        <w:t>господарювання</w:t>
      </w:r>
      <w:r w:rsidRPr="00B22D31">
        <w:rPr>
          <w:sz w:val="28"/>
          <w:szCs w:val="28"/>
        </w:rPr>
        <w:t xml:space="preserve">, водночас кількість суб’єктів господарювання, які належать до суб’єктів малого та мікропідприємництва – </w:t>
      </w:r>
      <w:r w:rsidR="00347506" w:rsidRPr="00B22D31">
        <w:rPr>
          <w:sz w:val="28"/>
          <w:szCs w:val="28"/>
        </w:rPr>
        <w:t>31 333</w:t>
      </w:r>
      <w:r w:rsidRPr="00B22D31">
        <w:rPr>
          <w:sz w:val="28"/>
          <w:szCs w:val="28"/>
        </w:rPr>
        <w:t xml:space="preserve">, що становить </w:t>
      </w:r>
      <w:r w:rsidR="00347506" w:rsidRPr="00B22D31">
        <w:rPr>
          <w:sz w:val="28"/>
          <w:szCs w:val="28"/>
        </w:rPr>
        <w:t>71</w:t>
      </w:r>
      <w:r w:rsidR="00EE6FB7" w:rsidRPr="00B22D31">
        <w:rPr>
          <w:sz w:val="28"/>
          <w:szCs w:val="28"/>
        </w:rPr>
        <w:t xml:space="preserve"> </w:t>
      </w:r>
      <w:r w:rsidRPr="00B22D31">
        <w:rPr>
          <w:sz w:val="28"/>
          <w:szCs w:val="28"/>
        </w:rPr>
        <w:t xml:space="preserve">% від загальної кількості суб’єктів господарювання. Ураховуючи відсоткову перевагу суб’єктів малого та мікропідприємництва під час підготовки аналізу регуляторного впливу проекту регуляторного </w:t>
      </w:r>
      <w:r w:rsidR="00EE6FB7" w:rsidRPr="00B22D31">
        <w:rPr>
          <w:sz w:val="28"/>
          <w:szCs w:val="28"/>
        </w:rPr>
        <w:t>акта, проведено М-тест (додаток </w:t>
      </w:r>
      <w:r w:rsidRPr="00B22D31">
        <w:rPr>
          <w:sz w:val="28"/>
          <w:szCs w:val="28"/>
        </w:rPr>
        <w:t>1).</w:t>
      </w:r>
    </w:p>
    <w:p w:rsidR="00AE0FB2" w:rsidRPr="00B22D31" w:rsidRDefault="00F93AED">
      <w:pPr>
        <w:pBdr>
          <w:top w:val="nil"/>
          <w:left w:val="nil"/>
          <w:bottom w:val="nil"/>
          <w:right w:val="nil"/>
          <w:between w:val="nil"/>
        </w:pBdr>
        <w:ind w:firstLine="567"/>
        <w:jc w:val="both"/>
        <w:rPr>
          <w:sz w:val="28"/>
          <w:szCs w:val="28"/>
        </w:rPr>
      </w:pPr>
      <w:r w:rsidRPr="00B22D31">
        <w:rPr>
          <w:sz w:val="28"/>
          <w:szCs w:val="28"/>
        </w:rPr>
        <w:t xml:space="preserve">Витрати на одного суб’єкта господарювання, які виникають внаслідок дії регуляторного акта, проводяться із розрахунку </w:t>
      </w:r>
      <w:r w:rsidR="00347506" w:rsidRPr="00B22D31">
        <w:rPr>
          <w:sz w:val="28"/>
          <w:szCs w:val="28"/>
        </w:rPr>
        <w:t>12 887</w:t>
      </w:r>
      <w:r w:rsidRPr="00B22D31">
        <w:rPr>
          <w:sz w:val="28"/>
          <w:szCs w:val="28"/>
        </w:rPr>
        <w:t xml:space="preserve"> суб’єктів.</w:t>
      </w:r>
    </w:p>
    <w:tbl>
      <w:tblPr>
        <w:tblStyle w:val="af3"/>
        <w:tblW w:w="100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2"/>
        <w:gridCol w:w="3849"/>
        <w:gridCol w:w="2061"/>
        <w:gridCol w:w="3123"/>
      </w:tblGrid>
      <w:tr w:rsidR="00B22D31" w:rsidRPr="00B22D31">
        <w:trPr>
          <w:trHeight w:val="1055"/>
          <w:jc w:val="center"/>
        </w:trPr>
        <w:tc>
          <w:tcPr>
            <w:tcW w:w="1042" w:type="dxa"/>
          </w:tcPr>
          <w:p w:rsidR="00AE0FB2" w:rsidRPr="00B22D31" w:rsidRDefault="00F93AED">
            <w:pPr>
              <w:pBdr>
                <w:top w:val="nil"/>
                <w:left w:val="nil"/>
                <w:bottom w:val="nil"/>
                <w:right w:val="nil"/>
                <w:between w:val="nil"/>
              </w:pBdr>
              <w:jc w:val="center"/>
              <w:rPr>
                <w:sz w:val="28"/>
                <w:szCs w:val="28"/>
                <w:highlight w:val="white"/>
              </w:rPr>
            </w:pPr>
            <w:r w:rsidRPr="00B22D31">
              <w:rPr>
                <w:sz w:val="28"/>
                <w:szCs w:val="28"/>
                <w:highlight w:val="white"/>
              </w:rPr>
              <w:t>№</w:t>
            </w:r>
          </w:p>
          <w:p w:rsidR="00AE0FB2" w:rsidRPr="00B22D31" w:rsidRDefault="00F93AED">
            <w:pPr>
              <w:pBdr>
                <w:top w:val="nil"/>
                <w:left w:val="nil"/>
                <w:bottom w:val="nil"/>
                <w:right w:val="nil"/>
                <w:between w:val="nil"/>
              </w:pBdr>
              <w:jc w:val="center"/>
              <w:rPr>
                <w:sz w:val="28"/>
                <w:szCs w:val="28"/>
                <w:highlight w:val="white"/>
              </w:rPr>
            </w:pPr>
            <w:r w:rsidRPr="00B22D31">
              <w:rPr>
                <w:sz w:val="28"/>
                <w:szCs w:val="28"/>
                <w:highlight w:val="white"/>
              </w:rPr>
              <w:t>з/п</w:t>
            </w:r>
          </w:p>
        </w:tc>
        <w:tc>
          <w:tcPr>
            <w:tcW w:w="3849" w:type="dxa"/>
          </w:tcPr>
          <w:p w:rsidR="00AE0FB2" w:rsidRPr="00B22D31" w:rsidRDefault="00F93AED">
            <w:pPr>
              <w:pBdr>
                <w:top w:val="nil"/>
                <w:left w:val="nil"/>
                <w:bottom w:val="nil"/>
                <w:right w:val="nil"/>
                <w:between w:val="nil"/>
              </w:pBdr>
              <w:jc w:val="center"/>
              <w:rPr>
                <w:sz w:val="28"/>
                <w:szCs w:val="28"/>
                <w:highlight w:val="white"/>
              </w:rPr>
            </w:pPr>
            <w:r w:rsidRPr="00B22D31">
              <w:rPr>
                <w:sz w:val="28"/>
                <w:szCs w:val="28"/>
                <w:highlight w:val="white"/>
              </w:rPr>
              <w:t>Витрати</w:t>
            </w:r>
          </w:p>
        </w:tc>
        <w:tc>
          <w:tcPr>
            <w:tcW w:w="2061" w:type="dxa"/>
          </w:tcPr>
          <w:p w:rsidR="00AE0FB2" w:rsidRPr="00B22D31" w:rsidRDefault="00F93AED">
            <w:pPr>
              <w:pBdr>
                <w:top w:val="nil"/>
                <w:left w:val="nil"/>
                <w:bottom w:val="nil"/>
                <w:right w:val="nil"/>
                <w:between w:val="nil"/>
              </w:pBdr>
              <w:jc w:val="center"/>
              <w:rPr>
                <w:sz w:val="28"/>
                <w:szCs w:val="28"/>
                <w:highlight w:val="white"/>
              </w:rPr>
            </w:pPr>
            <w:r w:rsidRPr="00B22D31">
              <w:rPr>
                <w:sz w:val="28"/>
                <w:szCs w:val="28"/>
                <w:highlight w:val="white"/>
              </w:rPr>
              <w:t xml:space="preserve">Чинний акт/ </w:t>
            </w:r>
          </w:p>
          <w:p w:rsidR="00AE0FB2" w:rsidRPr="00B22D31" w:rsidRDefault="00F93AED">
            <w:pPr>
              <w:pBdr>
                <w:top w:val="nil"/>
                <w:left w:val="nil"/>
                <w:bottom w:val="nil"/>
                <w:right w:val="nil"/>
                <w:between w:val="nil"/>
              </w:pBdr>
              <w:jc w:val="center"/>
              <w:rPr>
                <w:sz w:val="28"/>
                <w:szCs w:val="28"/>
                <w:highlight w:val="white"/>
              </w:rPr>
            </w:pPr>
            <w:r w:rsidRPr="00B22D31">
              <w:rPr>
                <w:sz w:val="28"/>
                <w:szCs w:val="28"/>
                <w:highlight w:val="white"/>
              </w:rPr>
              <w:t>грн</w:t>
            </w:r>
          </w:p>
        </w:tc>
        <w:tc>
          <w:tcPr>
            <w:tcW w:w="3123" w:type="dxa"/>
          </w:tcPr>
          <w:p w:rsidR="00AE0FB2" w:rsidRPr="00B22D31" w:rsidRDefault="00F93AED">
            <w:pPr>
              <w:pBdr>
                <w:top w:val="nil"/>
                <w:left w:val="nil"/>
                <w:bottom w:val="nil"/>
                <w:right w:val="nil"/>
                <w:between w:val="nil"/>
              </w:pBdr>
              <w:jc w:val="center"/>
              <w:rPr>
                <w:sz w:val="28"/>
                <w:szCs w:val="28"/>
                <w:highlight w:val="white"/>
              </w:rPr>
            </w:pPr>
            <w:r w:rsidRPr="00B22D31">
              <w:rPr>
                <w:sz w:val="28"/>
                <w:szCs w:val="28"/>
                <w:highlight w:val="white"/>
              </w:rPr>
              <w:t xml:space="preserve">Проект акта/ </w:t>
            </w:r>
          </w:p>
          <w:p w:rsidR="00AE0FB2" w:rsidRPr="00B22D31" w:rsidRDefault="00F93AED">
            <w:pPr>
              <w:pBdr>
                <w:top w:val="nil"/>
                <w:left w:val="nil"/>
                <w:bottom w:val="nil"/>
                <w:right w:val="nil"/>
                <w:between w:val="nil"/>
              </w:pBdr>
              <w:jc w:val="center"/>
              <w:rPr>
                <w:sz w:val="28"/>
                <w:szCs w:val="28"/>
                <w:highlight w:val="white"/>
              </w:rPr>
            </w:pPr>
            <w:r w:rsidRPr="00B22D31">
              <w:rPr>
                <w:sz w:val="28"/>
                <w:szCs w:val="28"/>
                <w:highlight w:val="white"/>
              </w:rPr>
              <w:t>грн</w:t>
            </w:r>
          </w:p>
        </w:tc>
      </w:tr>
      <w:tr w:rsidR="00B22D31" w:rsidRPr="00B22D31">
        <w:trPr>
          <w:jc w:val="center"/>
        </w:trPr>
        <w:tc>
          <w:tcPr>
            <w:tcW w:w="1042" w:type="dxa"/>
          </w:tcPr>
          <w:p w:rsidR="00AE0FB2" w:rsidRPr="00B22D31" w:rsidRDefault="00F93AED">
            <w:pPr>
              <w:pBdr>
                <w:top w:val="nil"/>
                <w:left w:val="nil"/>
                <w:bottom w:val="nil"/>
                <w:right w:val="nil"/>
                <w:between w:val="nil"/>
              </w:pBdr>
              <w:jc w:val="center"/>
              <w:rPr>
                <w:sz w:val="28"/>
                <w:szCs w:val="28"/>
                <w:highlight w:val="white"/>
              </w:rPr>
            </w:pPr>
            <w:r w:rsidRPr="00B22D31">
              <w:rPr>
                <w:sz w:val="28"/>
                <w:szCs w:val="28"/>
                <w:highlight w:val="white"/>
              </w:rPr>
              <w:t>1</w:t>
            </w:r>
          </w:p>
        </w:tc>
        <w:tc>
          <w:tcPr>
            <w:tcW w:w="3849" w:type="dxa"/>
          </w:tcPr>
          <w:p w:rsidR="00AE0FB2" w:rsidRPr="00B22D31" w:rsidRDefault="00F93AED">
            <w:pPr>
              <w:pBdr>
                <w:top w:val="nil"/>
                <w:left w:val="nil"/>
                <w:bottom w:val="nil"/>
                <w:right w:val="nil"/>
                <w:between w:val="nil"/>
              </w:pBdr>
              <w:jc w:val="both"/>
              <w:rPr>
                <w:sz w:val="28"/>
                <w:szCs w:val="28"/>
                <w:highlight w:val="white"/>
              </w:rPr>
            </w:pPr>
            <w:r w:rsidRPr="00B22D31">
              <w:rPr>
                <w:sz w:val="28"/>
                <w:szCs w:val="28"/>
                <w:highlight w:val="white"/>
              </w:rPr>
              <w:t>Витрати, пов’язані із заповненням та поданням на реєстрацію в Реєстрі податкової накладної</w:t>
            </w:r>
            <w:r w:rsidR="00EE6FB7" w:rsidRPr="00B22D31">
              <w:rPr>
                <w:sz w:val="28"/>
                <w:szCs w:val="28"/>
                <w:highlight w:val="white"/>
              </w:rPr>
              <w:t> </w:t>
            </w:r>
            <w:r w:rsidRPr="00B22D31">
              <w:rPr>
                <w:sz w:val="28"/>
                <w:szCs w:val="28"/>
                <w:highlight w:val="white"/>
              </w:rPr>
              <w:t>/</w:t>
            </w:r>
            <w:r w:rsidR="00EE6FB7" w:rsidRPr="00B22D31">
              <w:rPr>
                <w:sz w:val="28"/>
                <w:szCs w:val="28"/>
                <w:highlight w:val="white"/>
              </w:rPr>
              <w:t xml:space="preserve"> </w:t>
            </w:r>
            <w:r w:rsidRPr="00B22D31">
              <w:rPr>
                <w:sz w:val="28"/>
                <w:szCs w:val="28"/>
                <w:highlight w:val="white"/>
              </w:rPr>
              <w:t>розрахунку коригування, гривень</w:t>
            </w:r>
          </w:p>
          <w:p w:rsidR="00AE0FB2" w:rsidRPr="00B22D31" w:rsidRDefault="00F93AED">
            <w:pPr>
              <w:pBdr>
                <w:top w:val="nil"/>
                <w:left w:val="nil"/>
                <w:bottom w:val="nil"/>
                <w:right w:val="nil"/>
                <w:between w:val="nil"/>
              </w:pBdr>
              <w:jc w:val="center"/>
              <w:rPr>
                <w:sz w:val="28"/>
                <w:szCs w:val="28"/>
                <w:highlight w:val="white"/>
                <w:vertAlign w:val="superscript"/>
              </w:rPr>
            </w:pPr>
            <w:r w:rsidRPr="00B22D31">
              <w:rPr>
                <w:sz w:val="28"/>
                <w:szCs w:val="28"/>
                <w:highlight w:val="white"/>
              </w:rPr>
              <w:t>займає 0,5 год.</w:t>
            </w:r>
            <w:r w:rsidRPr="00B22D31">
              <w:rPr>
                <w:sz w:val="28"/>
                <w:szCs w:val="28"/>
                <w:highlight w:val="white"/>
                <w:vertAlign w:val="superscript"/>
              </w:rPr>
              <w:t>1</w:t>
            </w:r>
          </w:p>
        </w:tc>
        <w:tc>
          <w:tcPr>
            <w:tcW w:w="2061" w:type="dxa"/>
          </w:tcPr>
          <w:p w:rsidR="00AE0FB2" w:rsidRPr="00B22D31" w:rsidRDefault="00F93AED">
            <w:pPr>
              <w:pBdr>
                <w:top w:val="nil"/>
                <w:left w:val="nil"/>
                <w:bottom w:val="nil"/>
                <w:right w:val="nil"/>
                <w:between w:val="nil"/>
              </w:pBdr>
              <w:jc w:val="center"/>
              <w:rPr>
                <w:sz w:val="28"/>
                <w:szCs w:val="28"/>
                <w:highlight w:val="white"/>
              </w:rPr>
            </w:pPr>
            <w:r w:rsidRPr="00B22D31">
              <w:rPr>
                <w:sz w:val="28"/>
                <w:szCs w:val="28"/>
                <w:highlight w:val="white"/>
              </w:rPr>
              <w:t>0,5 х 39,26 = 19,63</w:t>
            </w:r>
          </w:p>
        </w:tc>
        <w:tc>
          <w:tcPr>
            <w:tcW w:w="3123" w:type="dxa"/>
          </w:tcPr>
          <w:p w:rsidR="00AE0FB2" w:rsidRPr="00B22D31" w:rsidRDefault="00F93AED">
            <w:pPr>
              <w:pBdr>
                <w:top w:val="nil"/>
                <w:left w:val="nil"/>
                <w:bottom w:val="nil"/>
                <w:right w:val="nil"/>
                <w:between w:val="nil"/>
              </w:pBdr>
              <w:jc w:val="center"/>
              <w:rPr>
                <w:sz w:val="28"/>
                <w:szCs w:val="28"/>
                <w:highlight w:val="white"/>
              </w:rPr>
            </w:pPr>
            <w:r w:rsidRPr="00B22D31">
              <w:rPr>
                <w:sz w:val="28"/>
                <w:szCs w:val="28"/>
                <w:highlight w:val="white"/>
              </w:rPr>
              <w:t>0,5 х 39,26 = 19,63</w:t>
            </w:r>
          </w:p>
        </w:tc>
      </w:tr>
      <w:tr w:rsidR="00B22D31" w:rsidRPr="00B22D31">
        <w:trPr>
          <w:jc w:val="center"/>
        </w:trPr>
        <w:tc>
          <w:tcPr>
            <w:tcW w:w="1042" w:type="dxa"/>
          </w:tcPr>
          <w:p w:rsidR="00AE0FB2" w:rsidRPr="00B22D31" w:rsidRDefault="00F93AED">
            <w:pPr>
              <w:pBdr>
                <w:top w:val="nil"/>
                <w:left w:val="nil"/>
                <w:bottom w:val="nil"/>
                <w:right w:val="nil"/>
                <w:between w:val="nil"/>
              </w:pBdr>
              <w:jc w:val="center"/>
              <w:rPr>
                <w:sz w:val="28"/>
                <w:szCs w:val="28"/>
                <w:highlight w:val="white"/>
              </w:rPr>
            </w:pPr>
            <w:r w:rsidRPr="00B22D31">
              <w:rPr>
                <w:sz w:val="28"/>
                <w:szCs w:val="28"/>
                <w:highlight w:val="white"/>
              </w:rPr>
              <w:t>2.</w:t>
            </w:r>
          </w:p>
        </w:tc>
        <w:tc>
          <w:tcPr>
            <w:tcW w:w="3849" w:type="dxa"/>
          </w:tcPr>
          <w:p w:rsidR="00AE0FB2" w:rsidRPr="00B22D31" w:rsidRDefault="00F93AED">
            <w:pPr>
              <w:pBdr>
                <w:top w:val="nil"/>
                <w:left w:val="nil"/>
                <w:bottom w:val="nil"/>
                <w:right w:val="nil"/>
                <w:between w:val="nil"/>
              </w:pBdr>
              <w:jc w:val="both"/>
              <w:rPr>
                <w:sz w:val="28"/>
                <w:szCs w:val="28"/>
                <w:highlight w:val="white"/>
              </w:rPr>
            </w:pPr>
            <w:r w:rsidRPr="00B22D31">
              <w:rPr>
                <w:sz w:val="28"/>
                <w:szCs w:val="28"/>
                <w:highlight w:val="white"/>
              </w:rPr>
              <w:t>Підготовка та надсилання копій д</w:t>
            </w:r>
            <w:r w:rsidR="00EE6FB7" w:rsidRPr="00B22D31">
              <w:rPr>
                <w:sz w:val="28"/>
                <w:szCs w:val="28"/>
                <w:highlight w:val="white"/>
              </w:rPr>
              <w:t>окументів та письмових пояснень</w:t>
            </w:r>
            <w:r w:rsidRPr="00B22D31">
              <w:rPr>
                <w:sz w:val="28"/>
                <w:szCs w:val="28"/>
                <w:highlight w:val="white"/>
              </w:rPr>
              <w:t xml:space="preserve"> стосовно підтвердження інформації, зазначеної у податковій накладній / розрахунку коригування, для розгляду питання прийняття комісією регіонального рівня рішення про реєстрацію / відмову в реєстрації податкової накладної</w:t>
            </w:r>
            <w:r w:rsidR="00EE6FB7" w:rsidRPr="00B22D31">
              <w:rPr>
                <w:sz w:val="28"/>
                <w:szCs w:val="28"/>
                <w:highlight w:val="white"/>
              </w:rPr>
              <w:t xml:space="preserve"> </w:t>
            </w:r>
            <w:r w:rsidRPr="00B22D31">
              <w:rPr>
                <w:sz w:val="28"/>
                <w:szCs w:val="28"/>
                <w:highlight w:val="white"/>
              </w:rPr>
              <w:t>/ розрахунку коригування в Реєстрі, гривень</w:t>
            </w:r>
          </w:p>
          <w:p w:rsidR="00AE0FB2" w:rsidRPr="00B22D31" w:rsidRDefault="00F93AED">
            <w:pPr>
              <w:pBdr>
                <w:top w:val="nil"/>
                <w:left w:val="nil"/>
                <w:bottom w:val="nil"/>
                <w:right w:val="nil"/>
                <w:between w:val="nil"/>
              </w:pBdr>
              <w:jc w:val="center"/>
              <w:rPr>
                <w:sz w:val="28"/>
                <w:szCs w:val="28"/>
                <w:highlight w:val="white"/>
              </w:rPr>
            </w:pPr>
            <w:r w:rsidRPr="00B22D31">
              <w:rPr>
                <w:sz w:val="28"/>
                <w:szCs w:val="28"/>
                <w:highlight w:val="white"/>
              </w:rPr>
              <w:t>займає 1 год.</w:t>
            </w:r>
            <w:r w:rsidRPr="00B22D31">
              <w:rPr>
                <w:sz w:val="28"/>
                <w:szCs w:val="28"/>
                <w:highlight w:val="white"/>
                <w:vertAlign w:val="superscript"/>
              </w:rPr>
              <w:t xml:space="preserve"> 2</w:t>
            </w:r>
          </w:p>
        </w:tc>
        <w:tc>
          <w:tcPr>
            <w:tcW w:w="2061" w:type="dxa"/>
          </w:tcPr>
          <w:p w:rsidR="00AE0FB2" w:rsidRPr="00B22D31" w:rsidRDefault="00F93AED">
            <w:pPr>
              <w:pBdr>
                <w:top w:val="nil"/>
                <w:left w:val="nil"/>
                <w:bottom w:val="nil"/>
                <w:right w:val="nil"/>
                <w:between w:val="nil"/>
              </w:pBdr>
              <w:jc w:val="center"/>
              <w:rPr>
                <w:sz w:val="28"/>
                <w:szCs w:val="28"/>
                <w:highlight w:val="white"/>
              </w:rPr>
            </w:pPr>
            <w:r w:rsidRPr="00B22D31">
              <w:rPr>
                <w:sz w:val="28"/>
                <w:szCs w:val="28"/>
                <w:highlight w:val="white"/>
              </w:rPr>
              <w:t>1 х 39,26 = 39,26</w:t>
            </w:r>
          </w:p>
        </w:tc>
        <w:tc>
          <w:tcPr>
            <w:tcW w:w="3123" w:type="dxa"/>
          </w:tcPr>
          <w:p w:rsidR="00AE0FB2" w:rsidRPr="00B22D31" w:rsidRDefault="00F93AED">
            <w:pPr>
              <w:pBdr>
                <w:top w:val="nil"/>
                <w:left w:val="nil"/>
                <w:bottom w:val="nil"/>
                <w:right w:val="nil"/>
                <w:between w:val="nil"/>
              </w:pBdr>
              <w:jc w:val="center"/>
              <w:rPr>
                <w:sz w:val="28"/>
                <w:szCs w:val="28"/>
                <w:highlight w:val="white"/>
              </w:rPr>
            </w:pPr>
            <w:r w:rsidRPr="00B22D31">
              <w:rPr>
                <w:sz w:val="28"/>
                <w:szCs w:val="28"/>
                <w:highlight w:val="white"/>
              </w:rPr>
              <w:t>0</w:t>
            </w:r>
            <w:r w:rsidRPr="00B22D31">
              <w:rPr>
                <w:sz w:val="28"/>
                <w:highlight w:val="white"/>
              </w:rPr>
              <w:t>,00</w:t>
            </w:r>
          </w:p>
        </w:tc>
      </w:tr>
      <w:tr w:rsidR="00B22D31" w:rsidRPr="00B22D31">
        <w:trPr>
          <w:jc w:val="center"/>
        </w:trPr>
        <w:tc>
          <w:tcPr>
            <w:tcW w:w="1042" w:type="dxa"/>
          </w:tcPr>
          <w:p w:rsidR="00AE0FB2" w:rsidRPr="00B22D31" w:rsidRDefault="00F93AED">
            <w:pPr>
              <w:pBdr>
                <w:top w:val="nil"/>
                <w:left w:val="nil"/>
                <w:bottom w:val="nil"/>
                <w:right w:val="nil"/>
                <w:between w:val="nil"/>
              </w:pBdr>
              <w:jc w:val="center"/>
              <w:rPr>
                <w:sz w:val="28"/>
                <w:szCs w:val="28"/>
                <w:highlight w:val="white"/>
              </w:rPr>
            </w:pPr>
            <w:r w:rsidRPr="00B22D31">
              <w:rPr>
                <w:sz w:val="28"/>
                <w:szCs w:val="28"/>
                <w:highlight w:val="white"/>
              </w:rPr>
              <w:t>3</w:t>
            </w:r>
          </w:p>
        </w:tc>
        <w:tc>
          <w:tcPr>
            <w:tcW w:w="3849" w:type="dxa"/>
          </w:tcPr>
          <w:p w:rsidR="00AE0FB2" w:rsidRPr="00B22D31" w:rsidRDefault="00F93AED">
            <w:pPr>
              <w:pBdr>
                <w:top w:val="nil"/>
                <w:left w:val="nil"/>
                <w:bottom w:val="nil"/>
                <w:right w:val="nil"/>
                <w:between w:val="nil"/>
              </w:pBdr>
              <w:jc w:val="both"/>
              <w:rPr>
                <w:sz w:val="28"/>
                <w:szCs w:val="28"/>
                <w:highlight w:val="white"/>
              </w:rPr>
            </w:pPr>
            <w:r w:rsidRPr="00B22D31">
              <w:rPr>
                <w:sz w:val="28"/>
                <w:szCs w:val="28"/>
                <w:highlight w:val="white"/>
              </w:rPr>
              <w:t>РАЗОМ (сума рядків: 1 + 2), гривень</w:t>
            </w:r>
          </w:p>
        </w:tc>
        <w:tc>
          <w:tcPr>
            <w:tcW w:w="2061" w:type="dxa"/>
          </w:tcPr>
          <w:p w:rsidR="00AE0FB2" w:rsidRPr="00B22D31" w:rsidRDefault="00F93AED">
            <w:pPr>
              <w:pBdr>
                <w:top w:val="nil"/>
                <w:left w:val="nil"/>
                <w:bottom w:val="nil"/>
                <w:right w:val="nil"/>
                <w:between w:val="nil"/>
              </w:pBdr>
              <w:jc w:val="center"/>
              <w:rPr>
                <w:sz w:val="28"/>
                <w:szCs w:val="28"/>
                <w:highlight w:val="white"/>
              </w:rPr>
            </w:pPr>
            <w:r w:rsidRPr="00B22D31">
              <w:rPr>
                <w:sz w:val="28"/>
                <w:szCs w:val="28"/>
                <w:highlight w:val="white"/>
              </w:rPr>
              <w:t>58,89</w:t>
            </w:r>
          </w:p>
        </w:tc>
        <w:tc>
          <w:tcPr>
            <w:tcW w:w="3123" w:type="dxa"/>
          </w:tcPr>
          <w:p w:rsidR="00AE0FB2" w:rsidRPr="00B22D31" w:rsidRDefault="00F93AED">
            <w:pPr>
              <w:pBdr>
                <w:top w:val="nil"/>
                <w:left w:val="nil"/>
                <w:bottom w:val="nil"/>
                <w:right w:val="nil"/>
                <w:between w:val="nil"/>
              </w:pBdr>
              <w:jc w:val="center"/>
              <w:rPr>
                <w:sz w:val="28"/>
                <w:szCs w:val="28"/>
                <w:highlight w:val="white"/>
              </w:rPr>
            </w:pPr>
            <w:r w:rsidRPr="00B22D31">
              <w:rPr>
                <w:sz w:val="28"/>
                <w:szCs w:val="28"/>
                <w:highlight w:val="white"/>
              </w:rPr>
              <w:t xml:space="preserve"> 19,63</w:t>
            </w:r>
          </w:p>
        </w:tc>
      </w:tr>
      <w:tr w:rsidR="00B22D31" w:rsidRPr="00B22D31">
        <w:trPr>
          <w:jc w:val="center"/>
        </w:trPr>
        <w:tc>
          <w:tcPr>
            <w:tcW w:w="1042" w:type="dxa"/>
          </w:tcPr>
          <w:p w:rsidR="00AE0FB2" w:rsidRPr="00B22D31" w:rsidRDefault="00F93AED">
            <w:pPr>
              <w:pBdr>
                <w:top w:val="nil"/>
                <w:left w:val="nil"/>
                <w:bottom w:val="nil"/>
                <w:right w:val="nil"/>
                <w:between w:val="nil"/>
              </w:pBdr>
              <w:jc w:val="center"/>
              <w:rPr>
                <w:sz w:val="28"/>
                <w:szCs w:val="28"/>
                <w:highlight w:val="white"/>
              </w:rPr>
            </w:pPr>
            <w:r w:rsidRPr="00B22D31">
              <w:rPr>
                <w:sz w:val="28"/>
                <w:szCs w:val="28"/>
                <w:highlight w:val="white"/>
              </w:rPr>
              <w:t>4</w:t>
            </w:r>
          </w:p>
        </w:tc>
        <w:tc>
          <w:tcPr>
            <w:tcW w:w="3849" w:type="dxa"/>
          </w:tcPr>
          <w:p w:rsidR="00AE0FB2" w:rsidRPr="00B22D31" w:rsidRDefault="00F93AED" w:rsidP="00E50150">
            <w:pPr>
              <w:pBdr>
                <w:top w:val="nil"/>
                <w:left w:val="nil"/>
                <w:bottom w:val="nil"/>
                <w:right w:val="nil"/>
                <w:between w:val="nil"/>
              </w:pBdr>
              <w:jc w:val="both"/>
              <w:rPr>
                <w:sz w:val="28"/>
                <w:szCs w:val="28"/>
                <w:highlight w:val="white"/>
              </w:rPr>
            </w:pPr>
            <w:r w:rsidRPr="00B22D31">
              <w:rPr>
                <w:sz w:val="28"/>
                <w:szCs w:val="28"/>
                <w:highlight w:val="white"/>
              </w:rPr>
              <w:t xml:space="preserve">Кількість суб’єктів господарювання великого та </w:t>
            </w:r>
            <w:r w:rsidRPr="00B22D31">
              <w:rPr>
                <w:sz w:val="28"/>
                <w:szCs w:val="28"/>
                <w:highlight w:val="white"/>
              </w:rPr>
              <w:lastRenderedPageBreak/>
              <w:t>середнього підприємництва, на яких буде поширено регулювання, одиниць</w:t>
            </w:r>
          </w:p>
        </w:tc>
        <w:tc>
          <w:tcPr>
            <w:tcW w:w="2061" w:type="dxa"/>
          </w:tcPr>
          <w:p w:rsidR="00AE0FB2" w:rsidRPr="00B22D31" w:rsidRDefault="00347506">
            <w:pPr>
              <w:pBdr>
                <w:top w:val="nil"/>
                <w:left w:val="nil"/>
                <w:bottom w:val="nil"/>
                <w:right w:val="nil"/>
                <w:between w:val="nil"/>
              </w:pBdr>
              <w:jc w:val="center"/>
              <w:rPr>
                <w:sz w:val="28"/>
                <w:szCs w:val="28"/>
                <w:highlight w:val="white"/>
              </w:rPr>
            </w:pPr>
            <w:r w:rsidRPr="00B22D31">
              <w:rPr>
                <w:sz w:val="28"/>
                <w:szCs w:val="28"/>
              </w:rPr>
              <w:lastRenderedPageBreak/>
              <w:t>12 887</w:t>
            </w:r>
          </w:p>
        </w:tc>
        <w:tc>
          <w:tcPr>
            <w:tcW w:w="3123" w:type="dxa"/>
          </w:tcPr>
          <w:p w:rsidR="00AE0FB2" w:rsidRPr="00B22D31" w:rsidRDefault="00347506">
            <w:pPr>
              <w:pBdr>
                <w:top w:val="nil"/>
                <w:left w:val="nil"/>
                <w:bottom w:val="nil"/>
                <w:right w:val="nil"/>
                <w:between w:val="nil"/>
              </w:pBdr>
              <w:jc w:val="center"/>
              <w:rPr>
                <w:sz w:val="28"/>
                <w:szCs w:val="28"/>
                <w:highlight w:val="white"/>
              </w:rPr>
            </w:pPr>
            <w:r w:rsidRPr="00B22D31">
              <w:rPr>
                <w:sz w:val="28"/>
                <w:szCs w:val="28"/>
              </w:rPr>
              <w:t>12 887</w:t>
            </w:r>
          </w:p>
        </w:tc>
      </w:tr>
      <w:tr w:rsidR="00B22D31" w:rsidRPr="00B22D31">
        <w:trPr>
          <w:jc w:val="center"/>
        </w:trPr>
        <w:tc>
          <w:tcPr>
            <w:tcW w:w="1042" w:type="dxa"/>
          </w:tcPr>
          <w:p w:rsidR="00AE0FB2" w:rsidRPr="00B22D31" w:rsidRDefault="00F93AED">
            <w:pPr>
              <w:pBdr>
                <w:top w:val="nil"/>
                <w:left w:val="nil"/>
                <w:bottom w:val="nil"/>
                <w:right w:val="nil"/>
                <w:between w:val="nil"/>
              </w:pBdr>
              <w:jc w:val="center"/>
              <w:rPr>
                <w:sz w:val="28"/>
                <w:szCs w:val="28"/>
                <w:highlight w:val="white"/>
              </w:rPr>
            </w:pPr>
            <w:r w:rsidRPr="00B22D31">
              <w:rPr>
                <w:sz w:val="28"/>
                <w:szCs w:val="28"/>
                <w:highlight w:val="white"/>
              </w:rPr>
              <w:t>5</w:t>
            </w:r>
          </w:p>
        </w:tc>
        <w:tc>
          <w:tcPr>
            <w:tcW w:w="3849" w:type="dxa"/>
          </w:tcPr>
          <w:p w:rsidR="00AE0FB2" w:rsidRPr="00B22D31" w:rsidRDefault="00F93AED">
            <w:pPr>
              <w:pBdr>
                <w:top w:val="nil"/>
                <w:left w:val="nil"/>
                <w:bottom w:val="nil"/>
                <w:right w:val="nil"/>
                <w:between w:val="nil"/>
              </w:pBdr>
              <w:jc w:val="both"/>
              <w:rPr>
                <w:sz w:val="28"/>
                <w:szCs w:val="28"/>
                <w:highlight w:val="white"/>
              </w:rPr>
            </w:pPr>
            <w:r w:rsidRPr="00B22D31">
              <w:rPr>
                <w:sz w:val="28"/>
                <w:szCs w:val="28"/>
                <w:highlight w:val="white"/>
              </w:rPr>
              <w:t>Сумарні витрати суб’єктів господарювання на виконання регулювання (вартіст</w:t>
            </w:r>
            <w:r w:rsidR="00EE6FB7" w:rsidRPr="00B22D31">
              <w:rPr>
                <w:sz w:val="28"/>
                <w:szCs w:val="28"/>
                <w:highlight w:val="white"/>
              </w:rPr>
              <w:t>ь регулювання) (рядок 3 х рядок </w:t>
            </w:r>
            <w:r w:rsidRPr="00B22D31">
              <w:rPr>
                <w:sz w:val="28"/>
                <w:szCs w:val="28"/>
                <w:highlight w:val="white"/>
              </w:rPr>
              <w:t>4), гривень</w:t>
            </w:r>
          </w:p>
        </w:tc>
        <w:tc>
          <w:tcPr>
            <w:tcW w:w="2061" w:type="dxa"/>
          </w:tcPr>
          <w:p w:rsidR="00AE0FB2" w:rsidRPr="00B22D31" w:rsidRDefault="00347506">
            <w:pPr>
              <w:pBdr>
                <w:top w:val="nil"/>
                <w:left w:val="nil"/>
                <w:bottom w:val="nil"/>
                <w:right w:val="nil"/>
                <w:between w:val="nil"/>
              </w:pBdr>
              <w:jc w:val="center"/>
              <w:rPr>
                <w:sz w:val="28"/>
                <w:szCs w:val="28"/>
                <w:highlight w:val="white"/>
              </w:rPr>
            </w:pPr>
            <w:r w:rsidRPr="00B22D31">
              <w:rPr>
                <w:sz w:val="28"/>
                <w:szCs w:val="28"/>
                <w:highlight w:val="white"/>
              </w:rPr>
              <w:t>758 915,43</w:t>
            </w:r>
          </w:p>
        </w:tc>
        <w:tc>
          <w:tcPr>
            <w:tcW w:w="3123" w:type="dxa"/>
          </w:tcPr>
          <w:p w:rsidR="00AE0FB2" w:rsidRPr="00B22D31" w:rsidRDefault="00347506">
            <w:pPr>
              <w:pBdr>
                <w:top w:val="nil"/>
                <w:left w:val="nil"/>
                <w:bottom w:val="nil"/>
                <w:right w:val="nil"/>
                <w:between w:val="nil"/>
              </w:pBdr>
              <w:jc w:val="center"/>
              <w:rPr>
                <w:sz w:val="28"/>
                <w:szCs w:val="28"/>
                <w:highlight w:val="white"/>
              </w:rPr>
            </w:pPr>
            <w:r w:rsidRPr="00B22D31">
              <w:rPr>
                <w:sz w:val="28"/>
                <w:szCs w:val="28"/>
                <w:highlight w:val="white"/>
              </w:rPr>
              <w:t>252 971,81</w:t>
            </w:r>
          </w:p>
        </w:tc>
      </w:tr>
    </w:tbl>
    <w:p w:rsidR="00AE0FB2" w:rsidRPr="00B22D31" w:rsidRDefault="00F93AED">
      <w:pPr>
        <w:pBdr>
          <w:top w:val="nil"/>
          <w:left w:val="nil"/>
          <w:bottom w:val="nil"/>
          <w:right w:val="nil"/>
          <w:between w:val="nil"/>
        </w:pBdr>
        <w:ind w:firstLine="567"/>
        <w:jc w:val="both"/>
        <w:rPr>
          <w:sz w:val="28"/>
          <w:szCs w:val="28"/>
        </w:rPr>
      </w:pPr>
      <w:r w:rsidRPr="00B22D31">
        <w:rPr>
          <w:sz w:val="28"/>
          <w:szCs w:val="28"/>
          <w:vertAlign w:val="superscript"/>
        </w:rPr>
        <w:t>1</w:t>
      </w:r>
      <w:r w:rsidRPr="00B22D31">
        <w:rPr>
          <w:sz w:val="28"/>
          <w:szCs w:val="28"/>
        </w:rPr>
        <w:t xml:space="preserve"> Для обрахунку: приймаємо за основу мінімальну заробітну плату, визначену у погодинному розмірі, що становить 39,26 грн/год відповідно до Закону України «Про Державний бюджет України на 2022 рік»; час, який витрачається суб’єктами господарювання на заповнення та подання на реєстрацію в Реєстрі податкової накладної</w:t>
      </w:r>
      <w:r w:rsidR="0022716D" w:rsidRPr="00B22D31">
        <w:rPr>
          <w:sz w:val="28"/>
          <w:szCs w:val="28"/>
        </w:rPr>
        <w:t xml:space="preserve"> </w:t>
      </w:r>
      <w:r w:rsidRPr="00B22D31">
        <w:rPr>
          <w:sz w:val="28"/>
          <w:szCs w:val="28"/>
        </w:rPr>
        <w:t>/</w:t>
      </w:r>
      <w:r w:rsidR="0022716D" w:rsidRPr="00B22D31">
        <w:rPr>
          <w:sz w:val="28"/>
          <w:szCs w:val="28"/>
        </w:rPr>
        <w:t xml:space="preserve"> </w:t>
      </w:r>
      <w:r w:rsidRPr="00B22D31">
        <w:rPr>
          <w:sz w:val="28"/>
          <w:szCs w:val="28"/>
        </w:rPr>
        <w:t>розрахунку коригування</w:t>
      </w:r>
      <w:r w:rsidR="0022716D" w:rsidRPr="00B22D31">
        <w:rPr>
          <w:sz w:val="28"/>
          <w:szCs w:val="28"/>
        </w:rPr>
        <w:t>,</w:t>
      </w:r>
      <w:r w:rsidRPr="00B22D31">
        <w:rPr>
          <w:sz w:val="28"/>
          <w:szCs w:val="28"/>
        </w:rPr>
        <w:t xml:space="preserve"> 0,5 год. </w:t>
      </w:r>
    </w:p>
    <w:p w:rsidR="00AE0FB2" w:rsidRPr="00B22D31" w:rsidRDefault="00F93AED">
      <w:pPr>
        <w:pBdr>
          <w:top w:val="nil"/>
          <w:left w:val="nil"/>
          <w:bottom w:val="nil"/>
          <w:right w:val="nil"/>
          <w:between w:val="nil"/>
        </w:pBdr>
        <w:ind w:firstLine="567"/>
        <w:jc w:val="both"/>
        <w:rPr>
          <w:sz w:val="28"/>
          <w:szCs w:val="28"/>
        </w:rPr>
      </w:pPr>
      <w:r w:rsidRPr="00B22D31">
        <w:rPr>
          <w:sz w:val="28"/>
          <w:szCs w:val="28"/>
          <w:vertAlign w:val="superscript"/>
        </w:rPr>
        <w:t>2</w:t>
      </w:r>
      <w:r w:rsidRPr="00B22D31">
        <w:rPr>
          <w:sz w:val="28"/>
          <w:szCs w:val="28"/>
        </w:rPr>
        <w:t xml:space="preserve"> Для обрахунку: приймаємо за основу мінімальну заробітну плату, визначену у погодинному розмірі, що становить 39,26 грн/год відповідно до Закону України «Про Державний бюджет України на 2022 рік»; час, який витрачається суб’єктами господарювання на підготовку та надсилання копій д</w:t>
      </w:r>
      <w:r w:rsidR="0022716D" w:rsidRPr="00B22D31">
        <w:rPr>
          <w:sz w:val="28"/>
          <w:szCs w:val="28"/>
        </w:rPr>
        <w:t>окументів та письмових пояснень</w:t>
      </w:r>
      <w:r w:rsidRPr="00B22D31">
        <w:rPr>
          <w:sz w:val="28"/>
          <w:szCs w:val="28"/>
        </w:rPr>
        <w:t xml:space="preserve"> стосовно підтвердження інформації, зазначеної у податковій накладній / розрахунку коригування, для розгляду питання прийняття комісією регіонального рівня рішення про реєстрацію / відмову в реєстрації податкової накладної</w:t>
      </w:r>
      <w:r w:rsidR="0022716D" w:rsidRPr="00B22D31">
        <w:rPr>
          <w:sz w:val="28"/>
          <w:szCs w:val="28"/>
        </w:rPr>
        <w:t xml:space="preserve"> </w:t>
      </w:r>
      <w:r w:rsidRPr="00B22D31">
        <w:rPr>
          <w:sz w:val="28"/>
          <w:szCs w:val="28"/>
        </w:rPr>
        <w:t xml:space="preserve">/ розрахунку коригування в Реєстрі, </w:t>
      </w:r>
      <w:r w:rsidRPr="00B22D31">
        <w:rPr>
          <w:sz w:val="28"/>
          <w:szCs w:val="28"/>
        </w:rPr>
        <w:br/>
        <w:t>1 год.</w:t>
      </w:r>
    </w:p>
    <w:p w:rsidR="00AE0FB2" w:rsidRPr="00B22D31" w:rsidRDefault="00F93AED">
      <w:pPr>
        <w:pBdr>
          <w:top w:val="nil"/>
          <w:left w:val="nil"/>
          <w:bottom w:val="nil"/>
          <w:right w:val="nil"/>
          <w:between w:val="nil"/>
        </w:pBdr>
        <w:ind w:firstLine="567"/>
        <w:jc w:val="both"/>
        <w:rPr>
          <w:sz w:val="28"/>
          <w:szCs w:val="28"/>
        </w:rPr>
      </w:pPr>
      <w:r w:rsidRPr="00B22D31">
        <w:rPr>
          <w:sz w:val="28"/>
          <w:szCs w:val="28"/>
        </w:rPr>
        <w:t xml:space="preserve">Отже, із розрахунку видно, що у разі виконання вимог регулювання шляхом удосконалення СМКОР економія коштів становить </w:t>
      </w:r>
      <w:r w:rsidR="00347506" w:rsidRPr="00B22D31">
        <w:rPr>
          <w:sz w:val="28"/>
          <w:szCs w:val="28"/>
        </w:rPr>
        <w:t>505 943,62</w:t>
      </w:r>
      <w:r w:rsidRPr="00B22D31">
        <w:rPr>
          <w:sz w:val="28"/>
          <w:szCs w:val="28"/>
        </w:rPr>
        <w:t xml:space="preserve"> гривні.</w:t>
      </w:r>
    </w:p>
    <w:p w:rsidR="00AE0FB2" w:rsidRPr="00B22D31" w:rsidRDefault="00AE0FB2">
      <w:pPr>
        <w:widowControl w:val="0"/>
        <w:spacing w:after="120"/>
        <w:ind w:firstLine="459"/>
        <w:jc w:val="center"/>
        <w:rPr>
          <w:b/>
          <w:sz w:val="24"/>
          <w:szCs w:val="28"/>
          <w:highlight w:val="white"/>
        </w:rPr>
      </w:pPr>
    </w:p>
    <w:p w:rsidR="00AE0FB2" w:rsidRPr="00B22D31" w:rsidRDefault="00F93AED">
      <w:pPr>
        <w:widowControl w:val="0"/>
        <w:spacing w:after="120"/>
        <w:ind w:firstLine="459"/>
        <w:jc w:val="center"/>
        <w:rPr>
          <w:sz w:val="28"/>
          <w:szCs w:val="28"/>
          <w:highlight w:val="white"/>
        </w:rPr>
      </w:pPr>
      <w:r w:rsidRPr="00B22D31">
        <w:rPr>
          <w:b/>
          <w:sz w:val="28"/>
          <w:szCs w:val="28"/>
          <w:highlight w:val="white"/>
        </w:rPr>
        <w:t>Проведення оцінки впливу кількісних витрат на сферу інтересів суб’єктів господарювання, які виникатимуть унаслідок дії регуляторного акта</w:t>
      </w:r>
    </w:p>
    <w:tbl>
      <w:tblPr>
        <w:tblStyle w:val="af3"/>
        <w:tblW w:w="97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5"/>
        <w:gridCol w:w="4950"/>
      </w:tblGrid>
      <w:tr w:rsidR="00B22D31" w:rsidRPr="00B22D31">
        <w:tc>
          <w:tcPr>
            <w:tcW w:w="4785" w:type="dxa"/>
          </w:tcPr>
          <w:p w:rsidR="00AE0FB2" w:rsidRPr="00B22D31" w:rsidRDefault="00F93AED">
            <w:pPr>
              <w:widowControl w:val="0"/>
              <w:spacing w:after="120"/>
              <w:ind w:firstLine="459"/>
              <w:jc w:val="both"/>
              <w:rPr>
                <w:sz w:val="28"/>
                <w:szCs w:val="28"/>
              </w:rPr>
            </w:pPr>
            <w:r w:rsidRPr="00B22D31">
              <w:rPr>
                <w:sz w:val="28"/>
                <w:szCs w:val="28"/>
              </w:rPr>
              <w:t>Сумарні витрати за альтернативами</w:t>
            </w:r>
          </w:p>
        </w:tc>
        <w:tc>
          <w:tcPr>
            <w:tcW w:w="4950" w:type="dxa"/>
          </w:tcPr>
          <w:p w:rsidR="00AE0FB2" w:rsidRPr="00B22D31" w:rsidRDefault="00F93AED">
            <w:pPr>
              <w:widowControl w:val="0"/>
              <w:spacing w:after="120"/>
              <w:ind w:firstLine="459"/>
              <w:jc w:val="both"/>
              <w:rPr>
                <w:sz w:val="28"/>
                <w:szCs w:val="28"/>
              </w:rPr>
            </w:pPr>
            <w:r w:rsidRPr="00B22D31">
              <w:rPr>
                <w:sz w:val="28"/>
                <w:szCs w:val="28"/>
              </w:rPr>
              <w:t>Сума витрат, гривень</w:t>
            </w:r>
          </w:p>
        </w:tc>
      </w:tr>
      <w:tr w:rsidR="00B22D31" w:rsidRPr="00B22D31">
        <w:tc>
          <w:tcPr>
            <w:tcW w:w="4785" w:type="dxa"/>
          </w:tcPr>
          <w:p w:rsidR="00AE0FB2" w:rsidRPr="00B22D31" w:rsidRDefault="00F93AED">
            <w:pPr>
              <w:widowControl w:val="0"/>
              <w:spacing w:after="120"/>
              <w:ind w:firstLine="459"/>
              <w:jc w:val="both"/>
              <w:rPr>
                <w:sz w:val="28"/>
                <w:szCs w:val="28"/>
              </w:rPr>
            </w:pPr>
            <w:r w:rsidRPr="00B22D31">
              <w:rPr>
                <w:sz w:val="28"/>
                <w:szCs w:val="28"/>
              </w:rPr>
              <w:t>Альтернатива 1 (залишення без змін існуючого акта). Сумарні витрати для суб’єктів господарювання згідно з додатком 2 Методики проведення аналізу впливу регуляторного акта (рядок 5 таблиці «Витрати на одного суб’єкта господарювання великого і середнього підприємництва, які виникають унаслідок дії регуляторного акта»)</w:t>
            </w:r>
          </w:p>
        </w:tc>
        <w:tc>
          <w:tcPr>
            <w:tcW w:w="4950" w:type="dxa"/>
          </w:tcPr>
          <w:p w:rsidR="00AE0FB2" w:rsidRPr="00B22D31" w:rsidRDefault="00347506">
            <w:pPr>
              <w:spacing w:after="120"/>
              <w:ind w:firstLine="459"/>
              <w:rPr>
                <w:sz w:val="28"/>
                <w:szCs w:val="28"/>
              </w:rPr>
            </w:pPr>
            <w:r w:rsidRPr="00B22D31">
              <w:rPr>
                <w:sz w:val="28"/>
                <w:szCs w:val="28"/>
              </w:rPr>
              <w:t>758 915,43</w:t>
            </w:r>
          </w:p>
        </w:tc>
      </w:tr>
      <w:tr w:rsidR="00B22D31" w:rsidRPr="00B22D31">
        <w:tc>
          <w:tcPr>
            <w:tcW w:w="4785" w:type="dxa"/>
          </w:tcPr>
          <w:p w:rsidR="00AE0FB2" w:rsidRPr="00B22D31" w:rsidRDefault="00F93AED">
            <w:pPr>
              <w:widowControl w:val="0"/>
              <w:spacing w:after="120"/>
              <w:ind w:firstLine="459"/>
              <w:jc w:val="both"/>
              <w:rPr>
                <w:sz w:val="28"/>
                <w:szCs w:val="28"/>
              </w:rPr>
            </w:pPr>
            <w:r w:rsidRPr="00B22D31">
              <w:rPr>
                <w:sz w:val="28"/>
                <w:szCs w:val="28"/>
              </w:rPr>
              <w:t xml:space="preserve">Альтернатива 2 (прийняття </w:t>
            </w:r>
            <w:r w:rsidRPr="00B22D31">
              <w:rPr>
                <w:sz w:val="28"/>
                <w:szCs w:val="28"/>
              </w:rPr>
              <w:lastRenderedPageBreak/>
              <w:t>проекту акта). Сумарні витрати для суб’єктів господарювання згідно з додатком 2 Методики проведення аналізу впливу регуляторного акта (рядок 5 таблиці «Витрати на одного суб’єкта господарювання великого і середнього підприємництва, які виникають унаслідок дії регуляторного акта»)</w:t>
            </w:r>
          </w:p>
        </w:tc>
        <w:tc>
          <w:tcPr>
            <w:tcW w:w="4950" w:type="dxa"/>
          </w:tcPr>
          <w:p w:rsidR="00AE0FB2" w:rsidRPr="00B22D31" w:rsidRDefault="00347506">
            <w:pPr>
              <w:spacing w:after="120"/>
              <w:ind w:firstLine="459"/>
              <w:rPr>
                <w:sz w:val="28"/>
                <w:szCs w:val="28"/>
              </w:rPr>
            </w:pPr>
            <w:r w:rsidRPr="00B22D31">
              <w:rPr>
                <w:sz w:val="28"/>
                <w:szCs w:val="28"/>
              </w:rPr>
              <w:lastRenderedPageBreak/>
              <w:t>252 971,81</w:t>
            </w:r>
          </w:p>
        </w:tc>
      </w:tr>
      <w:tr w:rsidR="00AE0FB2" w:rsidRPr="00B22D31">
        <w:tc>
          <w:tcPr>
            <w:tcW w:w="4785" w:type="dxa"/>
          </w:tcPr>
          <w:p w:rsidR="00AE0FB2" w:rsidRPr="00B22D31" w:rsidRDefault="00F93AED">
            <w:pPr>
              <w:widowControl w:val="0"/>
              <w:spacing w:after="120"/>
              <w:ind w:firstLine="459"/>
              <w:jc w:val="both"/>
              <w:rPr>
                <w:sz w:val="28"/>
                <w:szCs w:val="28"/>
              </w:rPr>
            </w:pPr>
            <w:r w:rsidRPr="00B22D31">
              <w:rPr>
                <w:sz w:val="28"/>
                <w:szCs w:val="28"/>
              </w:rPr>
              <w:t>Висновок</w:t>
            </w:r>
          </w:p>
        </w:tc>
        <w:tc>
          <w:tcPr>
            <w:tcW w:w="4950" w:type="dxa"/>
          </w:tcPr>
          <w:p w:rsidR="00AE0FB2" w:rsidRPr="00B22D31" w:rsidRDefault="00F93AED" w:rsidP="00347506">
            <w:pPr>
              <w:widowControl w:val="0"/>
              <w:spacing w:after="120"/>
              <w:ind w:firstLine="459"/>
              <w:jc w:val="both"/>
              <w:rPr>
                <w:sz w:val="28"/>
                <w:szCs w:val="28"/>
              </w:rPr>
            </w:pPr>
            <w:r w:rsidRPr="00B22D31">
              <w:rPr>
                <w:sz w:val="28"/>
                <w:szCs w:val="28"/>
              </w:rPr>
              <w:t>Удосконалення СМКОР дозволить не тільки економити час суб’єкту господарювання, а також економити</w:t>
            </w:r>
            <w:r w:rsidR="00901276" w:rsidRPr="00B22D31">
              <w:rPr>
                <w:sz w:val="28"/>
                <w:szCs w:val="28"/>
              </w:rPr>
              <w:t xml:space="preserve"> сумарні витрати для суб’єктів </w:t>
            </w:r>
            <w:r w:rsidRPr="00B22D31">
              <w:rPr>
                <w:sz w:val="28"/>
                <w:szCs w:val="28"/>
              </w:rPr>
              <w:t xml:space="preserve">господарювання у сумі </w:t>
            </w:r>
            <w:r w:rsidR="00347506" w:rsidRPr="00B22D31">
              <w:rPr>
                <w:sz w:val="28"/>
                <w:szCs w:val="28"/>
              </w:rPr>
              <w:t xml:space="preserve">505 943,62 </w:t>
            </w:r>
            <w:r w:rsidRPr="00B22D31">
              <w:rPr>
                <w:sz w:val="28"/>
                <w:szCs w:val="28"/>
              </w:rPr>
              <w:t>грн на рік, що становити</w:t>
            </w:r>
            <w:r w:rsidR="0022716D" w:rsidRPr="00B22D31">
              <w:rPr>
                <w:sz w:val="28"/>
                <w:szCs w:val="28"/>
              </w:rPr>
              <w:t>ме 67 % економії витрат за рік</w:t>
            </w:r>
          </w:p>
        </w:tc>
      </w:tr>
    </w:tbl>
    <w:p w:rsidR="00AE0FB2" w:rsidRPr="00B22D31" w:rsidRDefault="00AE0FB2">
      <w:pPr>
        <w:widowControl w:val="0"/>
        <w:spacing w:after="120"/>
        <w:ind w:firstLine="459"/>
        <w:jc w:val="both"/>
        <w:rPr>
          <w:sz w:val="28"/>
          <w:szCs w:val="28"/>
          <w:highlight w:val="white"/>
        </w:rPr>
      </w:pPr>
    </w:p>
    <w:p w:rsidR="00AE0FB2" w:rsidRPr="00B22D31" w:rsidRDefault="00F93AED">
      <w:pPr>
        <w:pBdr>
          <w:top w:val="nil"/>
          <w:left w:val="nil"/>
          <w:bottom w:val="nil"/>
          <w:right w:val="nil"/>
          <w:between w:val="nil"/>
        </w:pBdr>
        <w:spacing w:before="240"/>
        <w:jc w:val="center"/>
        <w:rPr>
          <w:b/>
          <w:sz w:val="28"/>
          <w:szCs w:val="28"/>
          <w:highlight w:val="white"/>
        </w:rPr>
      </w:pPr>
      <w:r w:rsidRPr="00B22D31">
        <w:rPr>
          <w:b/>
          <w:sz w:val="28"/>
          <w:szCs w:val="28"/>
          <w:highlight w:val="white"/>
        </w:rPr>
        <w:t>IV. Вибір найбільш оптимального альтернативного способу досягнення цілей</w:t>
      </w:r>
    </w:p>
    <w:tbl>
      <w:tblPr>
        <w:tblStyle w:val="af3"/>
        <w:tblW w:w="9816" w:type="dxa"/>
        <w:tblInd w:w="0"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ayout w:type="fixed"/>
        <w:tblLook w:val="0000" w:firstRow="0" w:lastRow="0" w:firstColumn="0" w:lastColumn="0" w:noHBand="0" w:noVBand="0"/>
      </w:tblPr>
      <w:tblGrid>
        <w:gridCol w:w="2078"/>
        <w:gridCol w:w="1975"/>
        <w:gridCol w:w="5763"/>
      </w:tblGrid>
      <w:tr w:rsidR="00B22D31" w:rsidRPr="00B22D31">
        <w:tc>
          <w:tcPr>
            <w:tcW w:w="2078" w:type="dxa"/>
            <w:tcBorders>
              <w:top w:val="single" w:sz="6" w:space="0" w:color="000000"/>
              <w:left w:val="single" w:sz="6" w:space="0" w:color="000000"/>
              <w:bottom w:val="single" w:sz="6" w:space="0" w:color="000000"/>
              <w:right w:val="single" w:sz="6" w:space="0" w:color="000000"/>
            </w:tcBorders>
            <w:vAlign w:val="center"/>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Рейтинг результатив-ності (досягнення цілей під час вирішення проблеми)</w:t>
            </w:r>
          </w:p>
        </w:tc>
        <w:tc>
          <w:tcPr>
            <w:tcW w:w="1975" w:type="dxa"/>
            <w:tcBorders>
              <w:top w:val="single" w:sz="6" w:space="0" w:color="000000"/>
              <w:left w:val="single" w:sz="6" w:space="0" w:color="000000"/>
              <w:bottom w:val="single" w:sz="6" w:space="0" w:color="000000"/>
              <w:right w:val="single" w:sz="6" w:space="0" w:color="000000"/>
            </w:tcBorders>
            <w:vAlign w:val="center"/>
          </w:tcPr>
          <w:p w:rsidR="00AE0FB2" w:rsidRPr="00B22D31" w:rsidRDefault="00F93AED">
            <w:pPr>
              <w:pBdr>
                <w:top w:val="nil"/>
                <w:left w:val="nil"/>
                <w:bottom w:val="nil"/>
                <w:right w:val="nil"/>
                <w:between w:val="nil"/>
              </w:pBdr>
              <w:ind w:left="-45"/>
              <w:jc w:val="center"/>
              <w:rPr>
                <w:sz w:val="28"/>
                <w:szCs w:val="24"/>
                <w:highlight w:val="white"/>
              </w:rPr>
            </w:pPr>
            <w:r w:rsidRPr="00B22D31">
              <w:rPr>
                <w:sz w:val="28"/>
                <w:szCs w:val="24"/>
                <w:highlight w:val="white"/>
              </w:rPr>
              <w:t>Бал результатив-ності (за чотирибаль-ною системою оцінки)</w:t>
            </w:r>
          </w:p>
        </w:tc>
        <w:tc>
          <w:tcPr>
            <w:tcW w:w="5763" w:type="dxa"/>
            <w:tcBorders>
              <w:top w:val="single" w:sz="6" w:space="0" w:color="000000"/>
              <w:left w:val="single" w:sz="6" w:space="0" w:color="000000"/>
              <w:bottom w:val="single" w:sz="8" w:space="0" w:color="000000"/>
              <w:right w:val="single" w:sz="6" w:space="0" w:color="000000"/>
            </w:tcBorders>
            <w:vAlign w:val="center"/>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Коментарі щодо присвоєння відповідного бала</w:t>
            </w:r>
          </w:p>
        </w:tc>
      </w:tr>
      <w:tr w:rsidR="00B22D31" w:rsidRPr="00B22D31">
        <w:tc>
          <w:tcPr>
            <w:tcW w:w="2078" w:type="dxa"/>
            <w:tcBorders>
              <w:top w:val="single" w:sz="6" w:space="0" w:color="000000"/>
              <w:left w:val="single" w:sz="6" w:space="0" w:color="000000"/>
              <w:bottom w:val="single" w:sz="6" w:space="0" w:color="000000"/>
              <w:right w:val="single" w:sz="6" w:space="0" w:color="000000"/>
            </w:tcBorders>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Альтернатива 1</w:t>
            </w:r>
          </w:p>
        </w:tc>
        <w:tc>
          <w:tcPr>
            <w:tcW w:w="1975" w:type="dxa"/>
            <w:tcBorders>
              <w:top w:val="single" w:sz="6" w:space="0" w:color="000000"/>
              <w:left w:val="single" w:sz="6" w:space="0" w:color="000000"/>
              <w:bottom w:val="single" w:sz="6" w:space="0" w:color="000000"/>
              <w:right w:val="single" w:sz="8" w:space="0" w:color="000000"/>
            </w:tcBorders>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1</w:t>
            </w:r>
          </w:p>
        </w:tc>
        <w:tc>
          <w:tcPr>
            <w:tcW w:w="5763" w:type="dxa"/>
            <w:tcBorders>
              <w:top w:val="single" w:sz="8" w:space="0" w:color="000000"/>
              <w:left w:val="single" w:sz="8" w:space="0" w:color="000000"/>
              <w:bottom w:val="single" w:sz="8" w:space="0" w:color="000000"/>
              <w:right w:val="single" w:sz="8" w:space="0" w:color="000000"/>
            </w:tcBorders>
          </w:tcPr>
          <w:p w:rsidR="00AE0FB2" w:rsidRPr="00B22D31" w:rsidRDefault="00F93AED">
            <w:pPr>
              <w:widowControl w:val="0"/>
              <w:jc w:val="both"/>
              <w:rPr>
                <w:sz w:val="28"/>
                <w:szCs w:val="27"/>
                <w:highlight w:val="white"/>
              </w:rPr>
            </w:pPr>
            <w:r w:rsidRPr="00B22D31">
              <w:rPr>
                <w:sz w:val="28"/>
                <w:szCs w:val="27"/>
                <w:highlight w:val="white"/>
              </w:rPr>
              <w:t>Альтернатива 1 залишить проблему не вирішеною, що не дозволить досягнути поставлених цілей державного регулювання</w:t>
            </w:r>
          </w:p>
        </w:tc>
      </w:tr>
      <w:tr w:rsidR="00AE0FB2" w:rsidRPr="00B22D31">
        <w:tc>
          <w:tcPr>
            <w:tcW w:w="2078" w:type="dxa"/>
            <w:tcBorders>
              <w:top w:val="single" w:sz="6" w:space="0" w:color="000000"/>
              <w:left w:val="single" w:sz="6" w:space="0" w:color="000000"/>
              <w:bottom w:val="single" w:sz="6" w:space="0" w:color="000000"/>
              <w:right w:val="single" w:sz="6" w:space="0" w:color="000000"/>
            </w:tcBorders>
          </w:tcPr>
          <w:p w:rsidR="00AE0FB2" w:rsidRPr="00B22D31" w:rsidRDefault="00F93AED">
            <w:pPr>
              <w:jc w:val="center"/>
              <w:rPr>
                <w:sz w:val="28"/>
                <w:szCs w:val="24"/>
                <w:highlight w:val="white"/>
              </w:rPr>
            </w:pPr>
            <w:r w:rsidRPr="00B22D31">
              <w:rPr>
                <w:sz w:val="28"/>
                <w:szCs w:val="24"/>
                <w:highlight w:val="white"/>
              </w:rPr>
              <w:t xml:space="preserve">Альтернатива 2 </w:t>
            </w:r>
          </w:p>
        </w:tc>
        <w:tc>
          <w:tcPr>
            <w:tcW w:w="1975" w:type="dxa"/>
            <w:tcBorders>
              <w:top w:val="single" w:sz="6" w:space="0" w:color="000000"/>
              <w:left w:val="single" w:sz="6" w:space="0" w:color="000000"/>
              <w:bottom w:val="single" w:sz="6" w:space="0" w:color="000000"/>
              <w:right w:val="single" w:sz="6" w:space="0" w:color="000000"/>
            </w:tcBorders>
          </w:tcPr>
          <w:p w:rsidR="00AE0FB2" w:rsidRPr="00B22D31" w:rsidRDefault="00F93AED">
            <w:pPr>
              <w:jc w:val="center"/>
              <w:rPr>
                <w:sz w:val="28"/>
                <w:szCs w:val="24"/>
                <w:highlight w:val="white"/>
              </w:rPr>
            </w:pPr>
            <w:r w:rsidRPr="00B22D31">
              <w:rPr>
                <w:sz w:val="28"/>
                <w:szCs w:val="24"/>
                <w:highlight w:val="white"/>
              </w:rPr>
              <w:t>4</w:t>
            </w:r>
          </w:p>
        </w:tc>
        <w:tc>
          <w:tcPr>
            <w:tcW w:w="5763" w:type="dxa"/>
            <w:tcBorders>
              <w:top w:val="single" w:sz="8" w:space="0" w:color="000000"/>
            </w:tcBorders>
          </w:tcPr>
          <w:p w:rsidR="00AE0FB2" w:rsidRPr="00B22D31" w:rsidRDefault="00F93AED">
            <w:pPr>
              <w:widowControl w:val="0"/>
              <w:ind w:left="34"/>
              <w:jc w:val="both"/>
              <w:rPr>
                <w:sz w:val="28"/>
                <w:szCs w:val="27"/>
                <w:highlight w:val="white"/>
              </w:rPr>
            </w:pPr>
            <w:r w:rsidRPr="00B22D31">
              <w:rPr>
                <w:sz w:val="28"/>
                <w:szCs w:val="27"/>
                <w:highlight w:val="white"/>
              </w:rPr>
              <w:t>Альтернатива 2 дає змогу досягнути поставлених цілей державного регулювання з відсутністю д</w:t>
            </w:r>
            <w:r w:rsidR="0022716D" w:rsidRPr="00B22D31">
              <w:rPr>
                <w:sz w:val="28"/>
                <w:szCs w:val="27"/>
                <w:highlight w:val="white"/>
              </w:rPr>
              <w:t>одаткових витрат з боку держави</w:t>
            </w:r>
          </w:p>
        </w:tc>
      </w:tr>
    </w:tbl>
    <w:p w:rsidR="00AE0FB2" w:rsidRPr="00B22D31" w:rsidRDefault="00AE0FB2">
      <w:pPr>
        <w:pBdr>
          <w:top w:val="nil"/>
          <w:left w:val="nil"/>
          <w:bottom w:val="nil"/>
          <w:right w:val="nil"/>
          <w:between w:val="nil"/>
        </w:pBdr>
        <w:spacing w:line="360" w:lineRule="auto"/>
        <w:jc w:val="both"/>
        <w:rPr>
          <w:sz w:val="4"/>
          <w:szCs w:val="4"/>
          <w:highlight w:val="white"/>
        </w:rPr>
      </w:pPr>
    </w:p>
    <w:p w:rsidR="00AE0FB2" w:rsidRPr="00B22D31" w:rsidRDefault="00AE0FB2">
      <w:pPr>
        <w:pBdr>
          <w:top w:val="nil"/>
          <w:left w:val="nil"/>
          <w:bottom w:val="nil"/>
          <w:right w:val="nil"/>
          <w:between w:val="nil"/>
        </w:pBdr>
        <w:spacing w:line="360" w:lineRule="auto"/>
        <w:jc w:val="both"/>
        <w:rPr>
          <w:sz w:val="4"/>
          <w:szCs w:val="4"/>
          <w:highlight w:val="white"/>
        </w:rPr>
      </w:pPr>
    </w:p>
    <w:tbl>
      <w:tblPr>
        <w:tblStyle w:val="af3"/>
        <w:tblW w:w="981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0"/>
        <w:gridCol w:w="2201"/>
        <w:gridCol w:w="2389"/>
        <w:gridCol w:w="2966"/>
      </w:tblGrid>
      <w:tr w:rsidR="00B22D31" w:rsidRPr="00B22D31">
        <w:tc>
          <w:tcPr>
            <w:tcW w:w="2260" w:type="dxa"/>
          </w:tcPr>
          <w:p w:rsidR="00AE0FB2" w:rsidRPr="00B22D31" w:rsidRDefault="00F93AED">
            <w:pPr>
              <w:pBdr>
                <w:top w:val="nil"/>
                <w:left w:val="nil"/>
                <w:bottom w:val="nil"/>
                <w:right w:val="nil"/>
                <w:between w:val="nil"/>
              </w:pBdr>
              <w:jc w:val="center"/>
              <w:rPr>
                <w:spacing w:val="-6"/>
                <w:sz w:val="28"/>
                <w:szCs w:val="24"/>
                <w:highlight w:val="white"/>
              </w:rPr>
            </w:pPr>
            <w:r w:rsidRPr="00B22D31">
              <w:rPr>
                <w:spacing w:val="-6"/>
                <w:sz w:val="28"/>
                <w:szCs w:val="24"/>
                <w:highlight w:val="white"/>
              </w:rPr>
              <w:t>Рейтинг результативності</w:t>
            </w:r>
          </w:p>
        </w:tc>
        <w:tc>
          <w:tcPr>
            <w:tcW w:w="2201" w:type="dxa"/>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Вигоди (підсумок)</w:t>
            </w:r>
          </w:p>
        </w:tc>
        <w:tc>
          <w:tcPr>
            <w:tcW w:w="2389" w:type="dxa"/>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Витрати (підсумок)</w:t>
            </w:r>
          </w:p>
        </w:tc>
        <w:tc>
          <w:tcPr>
            <w:tcW w:w="2966" w:type="dxa"/>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Обґрунтування відповідного місця альтернативи у рейтингу</w:t>
            </w:r>
          </w:p>
        </w:tc>
      </w:tr>
      <w:tr w:rsidR="00B22D31" w:rsidRPr="00B22D31">
        <w:tc>
          <w:tcPr>
            <w:tcW w:w="2260" w:type="dxa"/>
            <w:tcBorders>
              <w:top w:val="single" w:sz="6" w:space="0" w:color="000000"/>
              <w:left w:val="single" w:sz="6" w:space="0" w:color="000000"/>
              <w:bottom w:val="single" w:sz="6" w:space="0" w:color="000000"/>
              <w:right w:val="single" w:sz="6" w:space="0" w:color="000000"/>
            </w:tcBorders>
          </w:tcPr>
          <w:p w:rsidR="00AE0FB2" w:rsidRPr="00B22D31" w:rsidRDefault="00F93AED">
            <w:pPr>
              <w:jc w:val="center"/>
              <w:rPr>
                <w:sz w:val="28"/>
                <w:szCs w:val="24"/>
                <w:highlight w:val="white"/>
              </w:rPr>
            </w:pPr>
            <w:r w:rsidRPr="00B22D31">
              <w:rPr>
                <w:sz w:val="28"/>
                <w:szCs w:val="24"/>
                <w:highlight w:val="white"/>
              </w:rPr>
              <w:t>Альтернатива 1</w:t>
            </w:r>
          </w:p>
        </w:tc>
        <w:tc>
          <w:tcPr>
            <w:tcW w:w="2201" w:type="dxa"/>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Відсутні</w:t>
            </w:r>
          </w:p>
        </w:tc>
        <w:tc>
          <w:tcPr>
            <w:tcW w:w="2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0FB2" w:rsidRPr="00B22D31" w:rsidRDefault="00F93AED">
            <w:pPr>
              <w:pBdr>
                <w:top w:val="nil"/>
                <w:left w:val="nil"/>
                <w:bottom w:val="nil"/>
                <w:right w:val="nil"/>
                <w:between w:val="nil"/>
              </w:pBdr>
              <w:jc w:val="both"/>
              <w:rPr>
                <w:sz w:val="28"/>
                <w:szCs w:val="24"/>
                <w:highlight w:val="white"/>
              </w:rPr>
            </w:pPr>
            <w:r w:rsidRPr="00B22D31">
              <w:rPr>
                <w:sz w:val="28"/>
                <w:szCs w:val="28"/>
                <w:highlight w:val="white"/>
              </w:rPr>
              <w:t>Відсутність змін  призводить до витрат суб’єк</w:t>
            </w:r>
            <w:r w:rsidR="0022716D" w:rsidRPr="00B22D31">
              <w:rPr>
                <w:sz w:val="28"/>
                <w:szCs w:val="28"/>
                <w:highlight w:val="white"/>
              </w:rPr>
              <w:t xml:space="preserve">тів господарювання </w:t>
            </w:r>
            <w:r w:rsidR="0022716D" w:rsidRPr="00B22D31">
              <w:rPr>
                <w:sz w:val="28"/>
                <w:szCs w:val="28"/>
                <w:highlight w:val="white"/>
              </w:rPr>
              <w:lastRenderedPageBreak/>
              <w:t>на підготовку</w:t>
            </w:r>
            <w:r w:rsidRPr="00B22D31">
              <w:rPr>
                <w:sz w:val="28"/>
                <w:szCs w:val="28"/>
                <w:highlight w:val="white"/>
              </w:rPr>
              <w:t xml:space="preserve"> та надсилання копій д</w:t>
            </w:r>
            <w:r w:rsidR="0022716D" w:rsidRPr="00B22D31">
              <w:rPr>
                <w:sz w:val="28"/>
                <w:szCs w:val="28"/>
                <w:highlight w:val="white"/>
              </w:rPr>
              <w:t>окументів та письмових пояснень</w:t>
            </w:r>
            <w:r w:rsidRPr="00B22D31">
              <w:rPr>
                <w:sz w:val="28"/>
                <w:szCs w:val="28"/>
                <w:highlight w:val="white"/>
              </w:rPr>
              <w:t xml:space="preserve"> стосовно підтвердження інформації, зазначеної у податковій накладній / розрахунку коригування, для розгляду питання прийняття комісією регіонального рівня рішення про реєстрацію / відмову в реєстрації податкової накладної</w:t>
            </w:r>
            <w:r w:rsidR="0022716D" w:rsidRPr="00B22D31">
              <w:rPr>
                <w:sz w:val="28"/>
                <w:szCs w:val="28"/>
                <w:highlight w:val="white"/>
              </w:rPr>
              <w:t xml:space="preserve"> </w:t>
            </w:r>
            <w:r w:rsidRPr="00B22D31">
              <w:rPr>
                <w:sz w:val="28"/>
                <w:szCs w:val="28"/>
                <w:highlight w:val="white"/>
              </w:rPr>
              <w:t>/ розрахунку коригування в Реєстрі</w:t>
            </w:r>
          </w:p>
        </w:tc>
        <w:tc>
          <w:tcPr>
            <w:tcW w:w="296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E0FB2" w:rsidRPr="00B22D31" w:rsidRDefault="0022716D">
            <w:pPr>
              <w:pBdr>
                <w:top w:val="nil"/>
                <w:left w:val="nil"/>
                <w:bottom w:val="nil"/>
                <w:right w:val="nil"/>
                <w:between w:val="nil"/>
              </w:pBdr>
              <w:jc w:val="center"/>
              <w:rPr>
                <w:sz w:val="28"/>
                <w:szCs w:val="24"/>
                <w:highlight w:val="white"/>
              </w:rPr>
            </w:pPr>
            <w:r w:rsidRPr="00B22D31">
              <w:rPr>
                <w:sz w:val="28"/>
                <w:szCs w:val="24"/>
                <w:highlight w:val="white"/>
              </w:rPr>
              <w:lastRenderedPageBreak/>
              <w:t>Не призведе до досягнення цілей</w:t>
            </w:r>
          </w:p>
        </w:tc>
      </w:tr>
      <w:tr w:rsidR="00AE0FB2" w:rsidRPr="00B22D31">
        <w:tc>
          <w:tcPr>
            <w:tcW w:w="2260" w:type="dxa"/>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 xml:space="preserve">Альтернатива 2 </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0FB2" w:rsidRPr="00B22D31" w:rsidRDefault="00F93AED">
            <w:pPr>
              <w:pBdr>
                <w:top w:val="nil"/>
                <w:left w:val="nil"/>
                <w:bottom w:val="nil"/>
                <w:right w:val="nil"/>
                <w:between w:val="nil"/>
              </w:pBdr>
              <w:jc w:val="center"/>
              <w:rPr>
                <w:sz w:val="28"/>
                <w:szCs w:val="24"/>
              </w:rPr>
            </w:pPr>
            <w:r w:rsidRPr="00B22D31">
              <w:rPr>
                <w:sz w:val="28"/>
                <w:szCs w:val="24"/>
              </w:rPr>
              <w:t xml:space="preserve">Удосконалення СМКОР дозволить не лише економити час суб’єкту </w:t>
            </w:r>
            <w:r w:rsidRPr="00B22D31">
              <w:rPr>
                <w:spacing w:val="-8"/>
                <w:sz w:val="28"/>
                <w:szCs w:val="24"/>
              </w:rPr>
              <w:t xml:space="preserve">господарювання, </w:t>
            </w:r>
            <w:r w:rsidRPr="00B22D31">
              <w:rPr>
                <w:sz w:val="28"/>
                <w:szCs w:val="24"/>
              </w:rPr>
              <w:t xml:space="preserve">а також економити кошти, що становитиме </w:t>
            </w:r>
            <w:r w:rsidRPr="00B22D31">
              <w:rPr>
                <w:sz w:val="28"/>
                <w:szCs w:val="24"/>
              </w:rPr>
              <w:br/>
              <w:t>67</w:t>
            </w:r>
            <w:r w:rsidR="0022716D" w:rsidRPr="00B22D31">
              <w:rPr>
                <w:sz w:val="28"/>
                <w:szCs w:val="24"/>
              </w:rPr>
              <w:t xml:space="preserve"> </w:t>
            </w:r>
            <w:r w:rsidRPr="00B22D31">
              <w:rPr>
                <w:sz w:val="28"/>
                <w:szCs w:val="24"/>
              </w:rPr>
              <w:t>%</w:t>
            </w:r>
            <w:r w:rsidR="0022716D" w:rsidRPr="00B22D31">
              <w:rPr>
                <w:sz w:val="28"/>
                <w:szCs w:val="24"/>
              </w:rPr>
              <w:t xml:space="preserve"> від суми витрат за рік</w:t>
            </w:r>
          </w:p>
        </w:tc>
        <w:tc>
          <w:tcPr>
            <w:tcW w:w="238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E0FB2" w:rsidRPr="00B22D31" w:rsidRDefault="00F93AED">
            <w:pPr>
              <w:pBdr>
                <w:top w:val="nil"/>
                <w:left w:val="nil"/>
                <w:bottom w:val="nil"/>
                <w:right w:val="nil"/>
                <w:between w:val="nil"/>
              </w:pBdr>
              <w:jc w:val="center"/>
              <w:rPr>
                <w:sz w:val="28"/>
                <w:szCs w:val="24"/>
              </w:rPr>
            </w:pPr>
            <w:r w:rsidRPr="00B22D31">
              <w:rPr>
                <w:sz w:val="28"/>
                <w:szCs w:val="24"/>
              </w:rPr>
              <w:t>Відсутні</w:t>
            </w:r>
          </w:p>
        </w:tc>
        <w:tc>
          <w:tcPr>
            <w:tcW w:w="296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E0FB2" w:rsidRPr="00B22D31" w:rsidRDefault="00F93AED">
            <w:pPr>
              <w:pBdr>
                <w:top w:val="nil"/>
                <w:left w:val="nil"/>
                <w:bottom w:val="nil"/>
                <w:right w:val="nil"/>
                <w:between w:val="nil"/>
              </w:pBdr>
              <w:jc w:val="center"/>
              <w:rPr>
                <w:sz w:val="28"/>
                <w:szCs w:val="24"/>
                <w:highlight w:val="white"/>
              </w:rPr>
            </w:pPr>
            <w:r w:rsidRPr="00B22D31">
              <w:rPr>
                <w:sz w:val="28"/>
                <w:szCs w:val="24"/>
                <w:highlight w:val="white"/>
              </w:rPr>
              <w:t>Є найоптимальнішою серед запропонованих альтернатив, оскільки надає вигоду для суб’єктів господарювання та держави без додаткових витрат з боку держави та без збільшення навантаження на платни</w:t>
            </w:r>
            <w:r w:rsidR="0022716D" w:rsidRPr="00B22D31">
              <w:rPr>
                <w:sz w:val="28"/>
                <w:szCs w:val="24"/>
                <w:highlight w:val="white"/>
              </w:rPr>
              <w:t>ків податків та працівників ДПС</w:t>
            </w:r>
          </w:p>
        </w:tc>
      </w:tr>
    </w:tbl>
    <w:p w:rsidR="00987BAD" w:rsidRPr="00B22D31" w:rsidRDefault="00987BAD">
      <w:pPr>
        <w:pBdr>
          <w:top w:val="nil"/>
          <w:left w:val="nil"/>
          <w:bottom w:val="nil"/>
          <w:right w:val="nil"/>
          <w:between w:val="nil"/>
        </w:pBdr>
        <w:spacing w:before="120"/>
        <w:jc w:val="center"/>
        <w:rPr>
          <w:b/>
          <w:sz w:val="8"/>
          <w:szCs w:val="8"/>
          <w:highlight w:val="white"/>
        </w:rPr>
      </w:pPr>
    </w:p>
    <w:p w:rsidR="00AE0FB2" w:rsidRPr="00B22D31" w:rsidRDefault="00F93AED">
      <w:pPr>
        <w:pBdr>
          <w:top w:val="nil"/>
          <w:left w:val="nil"/>
          <w:bottom w:val="nil"/>
          <w:right w:val="nil"/>
          <w:between w:val="nil"/>
        </w:pBdr>
        <w:spacing w:before="120"/>
        <w:jc w:val="center"/>
        <w:rPr>
          <w:b/>
          <w:sz w:val="28"/>
          <w:szCs w:val="28"/>
          <w:highlight w:val="white"/>
        </w:rPr>
      </w:pPr>
      <w:r w:rsidRPr="00B22D31">
        <w:rPr>
          <w:b/>
          <w:sz w:val="28"/>
          <w:szCs w:val="28"/>
          <w:highlight w:val="white"/>
        </w:rPr>
        <w:t>V. Механізми та заходи, які забезпечать розв’язання визначеної проблеми</w:t>
      </w:r>
    </w:p>
    <w:p w:rsidR="00AE0FB2" w:rsidRPr="00B22D31" w:rsidRDefault="00F93AED">
      <w:pPr>
        <w:widowControl w:val="0"/>
        <w:spacing w:before="120"/>
        <w:ind w:firstLine="567"/>
        <w:jc w:val="both"/>
        <w:rPr>
          <w:sz w:val="28"/>
          <w:szCs w:val="28"/>
          <w:highlight w:val="white"/>
        </w:rPr>
      </w:pPr>
      <w:r w:rsidRPr="00B22D31">
        <w:rPr>
          <w:i/>
          <w:sz w:val="28"/>
          <w:szCs w:val="28"/>
          <w:highlight w:val="white"/>
        </w:rPr>
        <w:t>1. Механізм дії регуляторного акта</w:t>
      </w:r>
    </w:p>
    <w:p w:rsidR="00AE0FB2" w:rsidRPr="00B22D31" w:rsidRDefault="00F93AED">
      <w:pPr>
        <w:widowControl w:val="0"/>
        <w:spacing w:before="120"/>
        <w:ind w:firstLine="567"/>
        <w:jc w:val="both"/>
        <w:rPr>
          <w:sz w:val="28"/>
          <w:szCs w:val="28"/>
          <w:highlight w:val="white"/>
        </w:rPr>
      </w:pPr>
      <w:r w:rsidRPr="00B22D31">
        <w:rPr>
          <w:sz w:val="28"/>
          <w:szCs w:val="28"/>
          <w:highlight w:val="white"/>
        </w:rPr>
        <w:lastRenderedPageBreak/>
        <w:t xml:space="preserve">Основним механізмом для розв’язання визначеної проблеми є прийняття проекту постанови Кабінету Міністрів </w:t>
      </w:r>
      <w:r w:rsidR="0077338F" w:rsidRPr="00B22D31">
        <w:rPr>
          <w:sz w:val="28"/>
          <w:szCs w:val="28"/>
        </w:rPr>
        <w:t xml:space="preserve">України </w:t>
      </w:r>
      <w:r w:rsidR="002E69DA" w:rsidRPr="00B22D31">
        <w:rPr>
          <w:sz w:val="28"/>
          <w:szCs w:val="28"/>
        </w:rPr>
        <w:t>«</w:t>
      </w:r>
      <w:r w:rsidR="00ED10B1" w:rsidRPr="00B22D31">
        <w:rPr>
          <w:sz w:val="28"/>
          <w:szCs w:val="28"/>
        </w:rPr>
        <w:t>Про внесення змін до Порядку зупинення реєстрації податкової накладної/розрахунку коригування в Єдиному реєстрі податкових накладних</w:t>
      </w:r>
      <w:r w:rsidR="002E69DA" w:rsidRPr="00B22D31">
        <w:rPr>
          <w:sz w:val="28"/>
          <w:szCs w:val="28"/>
        </w:rPr>
        <w:t>»</w:t>
      </w:r>
      <w:r w:rsidRPr="00B22D31">
        <w:rPr>
          <w:sz w:val="28"/>
          <w:szCs w:val="28"/>
          <w:highlight w:val="white"/>
        </w:rPr>
        <w:t xml:space="preserve"> та фактична реалізація його положень щодо удосконалення СМКОР, що забезпечить встановлення справедливих умов для реєстрації платниками податку податкових накладних/розрахунків коригування в Реєстрі, усунення непорозумінь між платниками податку та контролюючими органами, дозволить заощадити грошові та людські ресурси. </w:t>
      </w:r>
    </w:p>
    <w:p w:rsidR="00AE0FB2" w:rsidRPr="00B22D31" w:rsidRDefault="00F93AED">
      <w:pPr>
        <w:widowControl w:val="0"/>
        <w:spacing w:before="120"/>
        <w:ind w:firstLine="567"/>
        <w:jc w:val="both"/>
        <w:rPr>
          <w:sz w:val="28"/>
          <w:szCs w:val="28"/>
          <w:highlight w:val="white"/>
        </w:rPr>
      </w:pPr>
      <w:r w:rsidRPr="00B22D31">
        <w:rPr>
          <w:i/>
          <w:sz w:val="28"/>
          <w:szCs w:val="28"/>
          <w:highlight w:val="white"/>
        </w:rPr>
        <w:t>2. Організаційні заходи впровадження регуляторного акта в дію.</w:t>
      </w:r>
    </w:p>
    <w:p w:rsidR="00AE0FB2" w:rsidRPr="00B22D31" w:rsidRDefault="00F93AED">
      <w:pPr>
        <w:widowControl w:val="0"/>
        <w:ind w:firstLine="567"/>
        <w:jc w:val="both"/>
        <w:rPr>
          <w:sz w:val="28"/>
          <w:szCs w:val="28"/>
          <w:highlight w:val="white"/>
        </w:rPr>
      </w:pPr>
      <w:r w:rsidRPr="00B22D31">
        <w:rPr>
          <w:sz w:val="28"/>
          <w:szCs w:val="28"/>
          <w:highlight w:val="white"/>
        </w:rPr>
        <w:t>Для впровадження цього регуляторного акта необхідно забезпечити:</w:t>
      </w:r>
    </w:p>
    <w:p w:rsidR="00AE0FB2" w:rsidRPr="00B22D31" w:rsidRDefault="00F93AED">
      <w:pPr>
        <w:widowControl w:val="0"/>
        <w:ind w:firstLine="567"/>
        <w:jc w:val="both"/>
        <w:rPr>
          <w:sz w:val="28"/>
          <w:szCs w:val="28"/>
          <w:highlight w:val="white"/>
        </w:rPr>
      </w:pPr>
      <w:r w:rsidRPr="00B22D31">
        <w:rPr>
          <w:sz w:val="28"/>
          <w:szCs w:val="28"/>
          <w:highlight w:val="white"/>
        </w:rPr>
        <w:t>інформування громадськост</w:t>
      </w:r>
      <w:r w:rsidR="0077338F" w:rsidRPr="00B22D31">
        <w:rPr>
          <w:sz w:val="28"/>
          <w:szCs w:val="28"/>
          <w:highlight w:val="white"/>
        </w:rPr>
        <w:t>і про вимоги регуляторного акта</w:t>
      </w:r>
      <w:r w:rsidRPr="00B22D31">
        <w:rPr>
          <w:sz w:val="28"/>
          <w:szCs w:val="28"/>
          <w:highlight w:val="white"/>
        </w:rPr>
        <w:t xml:space="preserve"> шляхом його оприлюднення на офіційному вебсайті Міністерства фінансів України.</w:t>
      </w:r>
    </w:p>
    <w:p w:rsidR="00AE0FB2" w:rsidRPr="00B22D31" w:rsidRDefault="00F93AED">
      <w:pPr>
        <w:widowControl w:val="0"/>
        <w:ind w:firstLine="567"/>
        <w:jc w:val="both"/>
        <w:rPr>
          <w:sz w:val="28"/>
          <w:szCs w:val="28"/>
          <w:highlight w:val="white"/>
        </w:rPr>
      </w:pPr>
      <w:r w:rsidRPr="00B22D31">
        <w:rPr>
          <w:sz w:val="28"/>
          <w:szCs w:val="28"/>
          <w:highlight w:val="white"/>
        </w:rPr>
        <w:t>погодження проект</w:t>
      </w:r>
      <w:r w:rsidR="0077338F" w:rsidRPr="00B22D31">
        <w:rPr>
          <w:sz w:val="28"/>
          <w:szCs w:val="28"/>
          <w:highlight w:val="white"/>
        </w:rPr>
        <w:t>у</w:t>
      </w:r>
      <w:r w:rsidRPr="00B22D31">
        <w:rPr>
          <w:sz w:val="28"/>
          <w:szCs w:val="28"/>
          <w:highlight w:val="white"/>
        </w:rPr>
        <w:t xml:space="preserve"> регуляторного акта із заінтересованими органами.</w:t>
      </w:r>
    </w:p>
    <w:p w:rsidR="00AE0FB2" w:rsidRPr="00B22D31" w:rsidRDefault="00F93AED">
      <w:pPr>
        <w:widowControl w:val="0"/>
        <w:ind w:firstLine="567"/>
        <w:jc w:val="both"/>
        <w:rPr>
          <w:sz w:val="28"/>
          <w:szCs w:val="28"/>
          <w:highlight w:val="white"/>
        </w:rPr>
      </w:pPr>
      <w:r w:rsidRPr="00B22D31">
        <w:rPr>
          <w:sz w:val="28"/>
          <w:szCs w:val="28"/>
          <w:highlight w:val="white"/>
        </w:rPr>
        <w:t>організувати виконання вимог регулювання.</w:t>
      </w:r>
    </w:p>
    <w:p w:rsidR="00AE0FB2" w:rsidRPr="00B22D31" w:rsidRDefault="00F93AED">
      <w:pPr>
        <w:widowControl w:val="0"/>
        <w:ind w:firstLine="567"/>
        <w:jc w:val="both"/>
        <w:rPr>
          <w:sz w:val="28"/>
          <w:szCs w:val="28"/>
          <w:highlight w:val="white"/>
        </w:rPr>
      </w:pPr>
      <w:r w:rsidRPr="00B22D31">
        <w:rPr>
          <w:sz w:val="28"/>
          <w:szCs w:val="28"/>
          <w:highlight w:val="white"/>
        </w:rPr>
        <w:t>Суб’єктам господарювання для впровадження вимог регулювання необхідно:</w:t>
      </w:r>
    </w:p>
    <w:p w:rsidR="00AE0FB2" w:rsidRPr="00B22D31" w:rsidRDefault="00F93AED">
      <w:pPr>
        <w:widowControl w:val="0"/>
        <w:ind w:firstLine="567"/>
        <w:jc w:val="both"/>
        <w:rPr>
          <w:sz w:val="28"/>
          <w:szCs w:val="28"/>
          <w:highlight w:val="white"/>
        </w:rPr>
      </w:pPr>
      <w:r w:rsidRPr="00B22D31">
        <w:rPr>
          <w:sz w:val="28"/>
          <w:szCs w:val="28"/>
          <w:highlight w:val="white"/>
        </w:rPr>
        <w:t>ознайомитися з вимогами регулювання;</w:t>
      </w:r>
    </w:p>
    <w:p w:rsidR="00AE0FB2" w:rsidRPr="00B22D31" w:rsidRDefault="00F93AED">
      <w:pPr>
        <w:widowControl w:val="0"/>
        <w:ind w:firstLine="567"/>
        <w:jc w:val="both"/>
        <w:rPr>
          <w:sz w:val="28"/>
          <w:szCs w:val="28"/>
          <w:highlight w:val="white"/>
        </w:rPr>
      </w:pPr>
      <w:r w:rsidRPr="00B22D31">
        <w:rPr>
          <w:sz w:val="28"/>
          <w:szCs w:val="28"/>
          <w:highlight w:val="white"/>
        </w:rPr>
        <w:t>організувати виконання вимог регулювання.</w:t>
      </w:r>
    </w:p>
    <w:p w:rsidR="00AE0FB2" w:rsidRPr="00B22D31" w:rsidRDefault="00F93AED">
      <w:pPr>
        <w:widowControl w:val="0"/>
        <w:ind w:firstLine="567"/>
        <w:jc w:val="both"/>
        <w:rPr>
          <w:sz w:val="28"/>
          <w:szCs w:val="28"/>
          <w:highlight w:val="white"/>
        </w:rPr>
      </w:pPr>
      <w:r w:rsidRPr="00B22D31">
        <w:rPr>
          <w:sz w:val="28"/>
          <w:szCs w:val="28"/>
          <w:highlight w:val="white"/>
        </w:rPr>
        <w:t>Ризику впливу зовнішніх факторів на дію регуляторного акта немає.</w:t>
      </w:r>
    </w:p>
    <w:p w:rsidR="00AE0FB2" w:rsidRPr="00B22D31" w:rsidRDefault="00F93AED">
      <w:pPr>
        <w:widowControl w:val="0"/>
        <w:ind w:firstLine="567"/>
        <w:jc w:val="both"/>
        <w:rPr>
          <w:sz w:val="28"/>
          <w:szCs w:val="28"/>
          <w:highlight w:val="white"/>
        </w:rPr>
      </w:pPr>
      <w:r w:rsidRPr="00B22D31">
        <w:rPr>
          <w:sz w:val="28"/>
          <w:szCs w:val="28"/>
          <w:highlight w:val="white"/>
        </w:rPr>
        <w:t>Можлива шкода у разі очікуваних наслідків дії акта не прогнозується.</w:t>
      </w:r>
    </w:p>
    <w:p w:rsidR="00AE0FB2" w:rsidRPr="00B22D31" w:rsidRDefault="00F93AED">
      <w:pPr>
        <w:pBdr>
          <w:top w:val="nil"/>
          <w:left w:val="nil"/>
          <w:bottom w:val="nil"/>
          <w:right w:val="nil"/>
          <w:between w:val="nil"/>
        </w:pBdr>
        <w:spacing w:before="240"/>
        <w:jc w:val="center"/>
        <w:rPr>
          <w:b/>
          <w:sz w:val="28"/>
          <w:szCs w:val="28"/>
          <w:highlight w:val="white"/>
        </w:rPr>
      </w:pPr>
      <w:r w:rsidRPr="00B22D31">
        <w:rPr>
          <w:b/>
          <w:sz w:val="28"/>
          <w:szCs w:val="28"/>
          <w:highlight w:val="white"/>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AE0FB2" w:rsidRPr="00B22D31" w:rsidRDefault="00F93AED">
      <w:pPr>
        <w:shd w:val="clear" w:color="auto" w:fill="FFFFFF"/>
        <w:ind w:firstLine="567"/>
        <w:jc w:val="both"/>
        <w:rPr>
          <w:sz w:val="28"/>
          <w:szCs w:val="28"/>
          <w:highlight w:val="white"/>
        </w:rPr>
      </w:pPr>
      <w:r w:rsidRPr="00B22D31">
        <w:rPr>
          <w:sz w:val="28"/>
          <w:szCs w:val="28"/>
          <w:highlight w:val="white"/>
        </w:rPr>
        <w:t>Реалізація регуляторного акта не потребуватиме додаткових витрат та ресурсів органів виконавчої влади та платників податків.</w:t>
      </w:r>
    </w:p>
    <w:p w:rsidR="00AE0FB2" w:rsidRPr="00B22D31" w:rsidRDefault="00F93AED">
      <w:pPr>
        <w:shd w:val="clear" w:color="auto" w:fill="FFFFFF"/>
        <w:ind w:firstLine="567"/>
        <w:jc w:val="both"/>
        <w:rPr>
          <w:sz w:val="28"/>
          <w:szCs w:val="28"/>
          <w:highlight w:val="white"/>
        </w:rPr>
      </w:pPr>
      <w:r w:rsidRPr="00B22D31">
        <w:rPr>
          <w:sz w:val="28"/>
          <w:szCs w:val="28"/>
          <w:highlight w:val="white"/>
        </w:rPr>
        <w:t>Державне регулювання не передбачає утворення нового державного органу (або нового структурного підрозділу діючого органу).</w:t>
      </w:r>
    </w:p>
    <w:p w:rsidR="00AE0FB2" w:rsidRPr="00B22D31" w:rsidRDefault="00F93AED">
      <w:pPr>
        <w:widowControl w:val="0"/>
        <w:shd w:val="clear" w:color="auto" w:fill="FFFFFF"/>
        <w:jc w:val="both"/>
        <w:rPr>
          <w:sz w:val="28"/>
          <w:szCs w:val="28"/>
          <w:highlight w:val="white"/>
        </w:rPr>
      </w:pPr>
      <w:r w:rsidRPr="00B22D31">
        <w:rPr>
          <w:sz w:val="28"/>
          <w:szCs w:val="28"/>
          <w:highlight w:val="white"/>
        </w:rPr>
        <w:t>Відповідно розрахунок витрат на виконання вимог регуляторного акта для органів виконавчої влади в рамках асигнувань</w:t>
      </w:r>
      <w:r w:rsidR="00E80A33" w:rsidRPr="00B22D31">
        <w:rPr>
          <w:sz w:val="28"/>
          <w:szCs w:val="28"/>
          <w:highlight w:val="white"/>
        </w:rPr>
        <w:t>,</w:t>
      </w:r>
      <w:r w:rsidRPr="00B22D31">
        <w:rPr>
          <w:sz w:val="28"/>
          <w:szCs w:val="28"/>
          <w:highlight w:val="white"/>
        </w:rPr>
        <w:t xml:space="preserve"> передбачених на відповідний бюджетний рік для територіальних органів ДПС. </w:t>
      </w:r>
    </w:p>
    <w:p w:rsidR="00AE0FB2" w:rsidRPr="00B22D31" w:rsidRDefault="00AE0FB2">
      <w:pPr>
        <w:shd w:val="clear" w:color="auto" w:fill="FFFFFF"/>
        <w:ind w:firstLine="720"/>
        <w:jc w:val="both"/>
        <w:rPr>
          <w:sz w:val="8"/>
          <w:szCs w:val="8"/>
          <w:highlight w:val="white"/>
        </w:rPr>
      </w:pPr>
    </w:p>
    <w:p w:rsidR="00AE0FB2" w:rsidRPr="00B22D31" w:rsidRDefault="00F93AED">
      <w:pPr>
        <w:jc w:val="center"/>
        <w:rPr>
          <w:b/>
          <w:sz w:val="28"/>
          <w:szCs w:val="28"/>
        </w:rPr>
      </w:pPr>
      <w:r w:rsidRPr="00B22D31">
        <w:rPr>
          <w:b/>
          <w:sz w:val="28"/>
          <w:szCs w:val="28"/>
        </w:rPr>
        <w:t>Бюджетні витрати на адміністрування регулювання суб’єктів малого підприємництва</w:t>
      </w:r>
    </w:p>
    <w:p w:rsidR="00AE0FB2" w:rsidRPr="00B22D31" w:rsidRDefault="00F93AED">
      <w:pPr>
        <w:ind w:firstLine="567"/>
        <w:jc w:val="both"/>
        <w:rPr>
          <w:sz w:val="28"/>
          <w:szCs w:val="28"/>
        </w:rPr>
      </w:pPr>
      <w:r w:rsidRPr="00B22D31">
        <w:rPr>
          <w:sz w:val="28"/>
          <w:szCs w:val="28"/>
        </w:rPr>
        <w:t>Державний орган, для якого здійснюється розрахунок вартості адміністрування регулювання: Державна податкова служба України.</w:t>
      </w:r>
    </w:p>
    <w:p w:rsidR="00AE0FB2" w:rsidRPr="00B22D31" w:rsidRDefault="00AE0FB2">
      <w:pPr>
        <w:jc w:val="both"/>
        <w:rPr>
          <w:sz w:val="28"/>
          <w:szCs w:val="28"/>
        </w:rPr>
      </w:pPr>
    </w:p>
    <w:tbl>
      <w:tblPr>
        <w:tblStyle w:val="af3"/>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1165"/>
        <w:gridCol w:w="1383"/>
        <w:gridCol w:w="1274"/>
        <w:gridCol w:w="1136"/>
        <w:gridCol w:w="1421"/>
      </w:tblGrid>
      <w:tr w:rsidR="00B22D31" w:rsidRPr="00B22D31" w:rsidTr="00E50150">
        <w:trPr>
          <w:cantSplit/>
          <w:trHeight w:val="3248"/>
        </w:trPr>
        <w:tc>
          <w:tcPr>
            <w:tcW w:w="3539" w:type="dxa"/>
          </w:tcPr>
          <w:p w:rsidR="00AE0FB2" w:rsidRPr="00B22D31" w:rsidRDefault="00F93AED">
            <w:pPr>
              <w:jc w:val="both"/>
              <w:rPr>
                <w:sz w:val="28"/>
                <w:szCs w:val="28"/>
              </w:rPr>
            </w:pPr>
            <w:r w:rsidRPr="00B22D31">
              <w:rPr>
                <w:sz w:val="28"/>
                <w:szCs w:val="28"/>
              </w:rPr>
              <w:lastRenderedPageBreak/>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r w:rsidR="00E80A33" w:rsidRPr="00B22D31">
              <w:rPr>
                <w:sz w:val="28"/>
                <w:szCs w:val="28"/>
              </w:rPr>
              <w:t>а</w:t>
            </w:r>
            <w:r w:rsidRPr="00B22D31">
              <w:rPr>
                <w:sz w:val="28"/>
                <w:szCs w:val="28"/>
              </w:rPr>
              <w:t>)</w:t>
            </w:r>
          </w:p>
        </w:tc>
        <w:tc>
          <w:tcPr>
            <w:tcW w:w="1165" w:type="dxa"/>
          </w:tcPr>
          <w:p w:rsidR="00AE0FB2" w:rsidRPr="00B22D31" w:rsidRDefault="00F93AED">
            <w:pPr>
              <w:jc w:val="both"/>
              <w:rPr>
                <w:spacing w:val="-8"/>
                <w:sz w:val="26"/>
                <w:szCs w:val="26"/>
              </w:rPr>
            </w:pPr>
            <w:r w:rsidRPr="00B22D31">
              <w:rPr>
                <w:spacing w:val="-8"/>
                <w:sz w:val="26"/>
                <w:szCs w:val="26"/>
              </w:rPr>
              <w:t>Планові витрати часу на процеду-ру</w:t>
            </w:r>
          </w:p>
        </w:tc>
        <w:tc>
          <w:tcPr>
            <w:tcW w:w="1383" w:type="dxa"/>
          </w:tcPr>
          <w:p w:rsidR="00AE0FB2" w:rsidRPr="00B22D31" w:rsidRDefault="00F93AED">
            <w:pPr>
              <w:jc w:val="both"/>
              <w:rPr>
                <w:spacing w:val="-10"/>
                <w:sz w:val="26"/>
                <w:szCs w:val="26"/>
              </w:rPr>
            </w:pPr>
            <w:r w:rsidRPr="00B22D31">
              <w:rPr>
                <w:spacing w:val="-10"/>
                <w:sz w:val="26"/>
                <w:szCs w:val="26"/>
              </w:rPr>
              <w:t>Вартість часу співробіт-ника органу державної влади відповідної категорії (заробітна плата)</w:t>
            </w:r>
          </w:p>
        </w:tc>
        <w:tc>
          <w:tcPr>
            <w:tcW w:w="1274" w:type="dxa"/>
          </w:tcPr>
          <w:p w:rsidR="00AE0FB2" w:rsidRPr="00B22D31" w:rsidRDefault="00F93AED">
            <w:pPr>
              <w:jc w:val="both"/>
              <w:rPr>
                <w:spacing w:val="-8"/>
                <w:sz w:val="26"/>
                <w:szCs w:val="26"/>
              </w:rPr>
            </w:pPr>
            <w:r w:rsidRPr="00B22D31">
              <w:rPr>
                <w:spacing w:val="-8"/>
                <w:sz w:val="26"/>
                <w:szCs w:val="26"/>
              </w:rPr>
              <w:t>Оцінка кількості процедур за рік, що припада-ють на одного суб’єкта</w:t>
            </w:r>
          </w:p>
        </w:tc>
        <w:tc>
          <w:tcPr>
            <w:tcW w:w="1136" w:type="dxa"/>
          </w:tcPr>
          <w:p w:rsidR="00AE0FB2" w:rsidRPr="00B22D31" w:rsidRDefault="00F93AED">
            <w:pPr>
              <w:jc w:val="both"/>
              <w:rPr>
                <w:spacing w:val="-14"/>
                <w:sz w:val="26"/>
                <w:szCs w:val="26"/>
              </w:rPr>
            </w:pPr>
            <w:r w:rsidRPr="00B22D31">
              <w:rPr>
                <w:spacing w:val="-16"/>
                <w:sz w:val="26"/>
                <w:szCs w:val="26"/>
              </w:rPr>
              <w:t>Оцінка кількостісуб’єктів,</w:t>
            </w:r>
            <w:r w:rsidRPr="00B22D31">
              <w:rPr>
                <w:spacing w:val="-14"/>
                <w:sz w:val="26"/>
                <w:szCs w:val="26"/>
              </w:rPr>
              <w:t xml:space="preserve"> що підпада-ють під дію процеду-ри регулю-вання</w:t>
            </w:r>
          </w:p>
        </w:tc>
        <w:tc>
          <w:tcPr>
            <w:tcW w:w="1421" w:type="dxa"/>
          </w:tcPr>
          <w:p w:rsidR="00AE0FB2" w:rsidRPr="00B22D31" w:rsidRDefault="00F93AED">
            <w:pPr>
              <w:jc w:val="both"/>
              <w:rPr>
                <w:spacing w:val="-8"/>
                <w:sz w:val="26"/>
                <w:szCs w:val="26"/>
              </w:rPr>
            </w:pPr>
            <w:r w:rsidRPr="00B22D31">
              <w:rPr>
                <w:spacing w:val="-8"/>
                <w:sz w:val="26"/>
                <w:szCs w:val="26"/>
              </w:rPr>
              <w:t>Витрати на адміністру-вання регулюва-ння* (за рік), гривень</w:t>
            </w:r>
          </w:p>
        </w:tc>
      </w:tr>
      <w:tr w:rsidR="00B22D31" w:rsidRPr="00B22D31" w:rsidTr="00E50150">
        <w:trPr>
          <w:trHeight w:val="517"/>
        </w:trPr>
        <w:tc>
          <w:tcPr>
            <w:tcW w:w="3539" w:type="dxa"/>
          </w:tcPr>
          <w:p w:rsidR="00AE0FB2" w:rsidRPr="00B22D31" w:rsidRDefault="00F93AED">
            <w:pPr>
              <w:jc w:val="both"/>
              <w:rPr>
                <w:sz w:val="28"/>
                <w:szCs w:val="28"/>
              </w:rPr>
            </w:pPr>
            <w:r w:rsidRPr="00B22D31">
              <w:rPr>
                <w:sz w:val="28"/>
                <w:szCs w:val="28"/>
              </w:rPr>
              <w:t>1. Розгляд д</w:t>
            </w:r>
            <w:r w:rsidR="00E80A33" w:rsidRPr="00B22D31">
              <w:rPr>
                <w:sz w:val="28"/>
                <w:szCs w:val="28"/>
              </w:rPr>
              <w:t>окументів та письмових пояснень</w:t>
            </w:r>
            <w:r w:rsidRPr="00B22D31">
              <w:rPr>
                <w:sz w:val="28"/>
                <w:szCs w:val="28"/>
              </w:rPr>
              <w:t xml:space="preserve"> стосовно підтвердження інформації, зазначеної у податковій накладній / розрахунку коригування, для розгляду питання прийняття комісією регіонального рівня рішення про реєстрацію / відмову в реєстрації податкової накладної</w:t>
            </w:r>
            <w:r w:rsidR="00E80A33" w:rsidRPr="00B22D31">
              <w:rPr>
                <w:sz w:val="28"/>
                <w:szCs w:val="28"/>
              </w:rPr>
              <w:t xml:space="preserve"> </w:t>
            </w:r>
            <w:r w:rsidRPr="00B22D31">
              <w:rPr>
                <w:sz w:val="28"/>
                <w:szCs w:val="28"/>
              </w:rPr>
              <w:t xml:space="preserve">/ розрахунку коригування в Реєстрі працівником ДПС, гривень </w:t>
            </w:r>
          </w:p>
        </w:tc>
        <w:tc>
          <w:tcPr>
            <w:tcW w:w="1165" w:type="dxa"/>
          </w:tcPr>
          <w:p w:rsidR="00AE0FB2" w:rsidRPr="00B22D31" w:rsidRDefault="00F93AED">
            <w:pPr>
              <w:jc w:val="both"/>
              <w:rPr>
                <w:sz w:val="28"/>
                <w:szCs w:val="28"/>
              </w:rPr>
            </w:pPr>
            <w:r w:rsidRPr="00B22D31">
              <w:rPr>
                <w:sz w:val="28"/>
                <w:szCs w:val="28"/>
              </w:rPr>
              <w:t>0,5</w:t>
            </w:r>
          </w:p>
        </w:tc>
        <w:tc>
          <w:tcPr>
            <w:tcW w:w="1383" w:type="dxa"/>
          </w:tcPr>
          <w:p w:rsidR="00AE0FB2" w:rsidRPr="00B22D31" w:rsidRDefault="00F93AED">
            <w:pPr>
              <w:jc w:val="both"/>
              <w:rPr>
                <w:sz w:val="28"/>
                <w:szCs w:val="28"/>
              </w:rPr>
            </w:pPr>
            <w:r w:rsidRPr="00B22D31">
              <w:rPr>
                <w:sz w:val="28"/>
                <w:szCs w:val="28"/>
              </w:rPr>
              <w:t>39,26</w:t>
            </w:r>
          </w:p>
        </w:tc>
        <w:tc>
          <w:tcPr>
            <w:tcW w:w="1274" w:type="dxa"/>
          </w:tcPr>
          <w:p w:rsidR="00AE0FB2" w:rsidRPr="00B22D31" w:rsidRDefault="00F93AED">
            <w:pPr>
              <w:jc w:val="both"/>
              <w:rPr>
                <w:sz w:val="28"/>
                <w:szCs w:val="28"/>
              </w:rPr>
            </w:pPr>
            <w:r w:rsidRPr="00B22D31">
              <w:rPr>
                <w:sz w:val="28"/>
                <w:szCs w:val="28"/>
              </w:rPr>
              <w:t>100</w:t>
            </w:r>
          </w:p>
        </w:tc>
        <w:tc>
          <w:tcPr>
            <w:tcW w:w="1136" w:type="dxa"/>
          </w:tcPr>
          <w:p w:rsidR="00AE0FB2" w:rsidRPr="00B22D31" w:rsidRDefault="00ED10B1">
            <w:pPr>
              <w:jc w:val="both"/>
              <w:rPr>
                <w:sz w:val="28"/>
                <w:szCs w:val="28"/>
              </w:rPr>
            </w:pPr>
            <w:r w:rsidRPr="00B22D31">
              <w:rPr>
                <w:sz w:val="28"/>
                <w:szCs w:val="28"/>
              </w:rPr>
              <w:t>44 220</w:t>
            </w:r>
          </w:p>
        </w:tc>
        <w:tc>
          <w:tcPr>
            <w:tcW w:w="1421" w:type="dxa"/>
          </w:tcPr>
          <w:p w:rsidR="00AE0FB2" w:rsidRPr="00B22D31" w:rsidRDefault="00F93AED" w:rsidP="00ED10B1">
            <w:pPr>
              <w:jc w:val="both"/>
              <w:rPr>
                <w:sz w:val="28"/>
                <w:szCs w:val="28"/>
              </w:rPr>
            </w:pPr>
            <w:r w:rsidRPr="00B22D31">
              <w:rPr>
                <w:sz w:val="28"/>
                <w:szCs w:val="28"/>
              </w:rPr>
              <w:t>0,5*39,26*</w:t>
            </w:r>
            <w:r w:rsidR="00ED10B1" w:rsidRPr="00B22D31">
              <w:rPr>
                <w:sz w:val="28"/>
                <w:szCs w:val="28"/>
              </w:rPr>
              <w:t>44 220</w:t>
            </w:r>
            <w:r w:rsidRPr="00B22D31">
              <w:rPr>
                <w:sz w:val="28"/>
                <w:szCs w:val="28"/>
              </w:rPr>
              <w:t>*100=</w:t>
            </w:r>
            <w:r w:rsidR="00ED10B1" w:rsidRPr="00B22D31">
              <w:rPr>
                <w:sz w:val="28"/>
                <w:szCs w:val="28"/>
              </w:rPr>
              <w:t>86 803 860</w:t>
            </w:r>
          </w:p>
        </w:tc>
      </w:tr>
    </w:tbl>
    <w:p w:rsidR="00AE0FB2" w:rsidRPr="00B22D31" w:rsidRDefault="00F93AED">
      <w:pPr>
        <w:ind w:firstLine="567"/>
        <w:jc w:val="both"/>
        <w:rPr>
          <w:sz w:val="28"/>
          <w:szCs w:val="28"/>
        </w:rPr>
      </w:pPr>
      <w:r w:rsidRPr="00B22D31">
        <w:rPr>
          <w:sz w:val="28"/>
          <w:szCs w:val="28"/>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AE0FB2" w:rsidRPr="00B22D31" w:rsidRDefault="00F93AED">
      <w:pPr>
        <w:ind w:firstLine="567"/>
        <w:jc w:val="both"/>
        <w:rPr>
          <w:sz w:val="28"/>
          <w:szCs w:val="28"/>
        </w:rPr>
      </w:pPr>
      <w:r w:rsidRPr="00B22D31">
        <w:rPr>
          <w:sz w:val="28"/>
          <w:szCs w:val="28"/>
        </w:rPr>
        <w:t>Державне регулювання не передбачає утворення нового державного органу (або нового структурного підрозділу діючого органу).</w:t>
      </w:r>
    </w:p>
    <w:p w:rsidR="00AE0FB2" w:rsidRPr="00B22D31" w:rsidRDefault="00F93AED">
      <w:pPr>
        <w:widowControl w:val="0"/>
        <w:pBdr>
          <w:top w:val="nil"/>
          <w:left w:val="nil"/>
          <w:bottom w:val="nil"/>
          <w:right w:val="nil"/>
          <w:between w:val="nil"/>
        </w:pBdr>
        <w:spacing w:before="120"/>
        <w:ind w:firstLine="567"/>
        <w:jc w:val="both"/>
        <w:rPr>
          <w:sz w:val="24"/>
          <w:szCs w:val="24"/>
        </w:rPr>
      </w:pPr>
      <w:r w:rsidRPr="00B22D31">
        <w:rPr>
          <w:sz w:val="24"/>
          <w:szCs w:val="24"/>
        </w:rPr>
        <w:t>Розрахунок вартості 1 людино-години:</w:t>
      </w:r>
    </w:p>
    <w:p w:rsidR="00AE0FB2" w:rsidRPr="00B22D31" w:rsidRDefault="00F93AED">
      <w:pPr>
        <w:widowControl w:val="0"/>
        <w:pBdr>
          <w:top w:val="nil"/>
          <w:left w:val="nil"/>
          <w:bottom w:val="nil"/>
          <w:right w:val="nil"/>
          <w:between w:val="nil"/>
        </w:pBdr>
        <w:spacing w:before="120"/>
        <w:ind w:firstLine="567"/>
        <w:jc w:val="both"/>
        <w:rPr>
          <w:sz w:val="24"/>
          <w:szCs w:val="24"/>
        </w:rPr>
      </w:pPr>
      <w:r w:rsidRPr="00B22D31">
        <w:rPr>
          <w:sz w:val="24"/>
          <w:szCs w:val="24"/>
        </w:rPr>
        <w:t>Норма робочого часу на 2021 рік становить при 40-годинно</w:t>
      </w:r>
      <w:r w:rsidR="00462671" w:rsidRPr="00B22D31">
        <w:rPr>
          <w:sz w:val="24"/>
          <w:szCs w:val="24"/>
        </w:rPr>
        <w:t xml:space="preserve">му робочому тижні – </w:t>
      </w:r>
      <w:r w:rsidR="00462671" w:rsidRPr="00B22D31">
        <w:rPr>
          <w:sz w:val="24"/>
          <w:szCs w:val="24"/>
        </w:rPr>
        <w:br/>
        <w:t>1987 годин</w:t>
      </w:r>
      <w:r w:rsidRPr="00B22D31">
        <w:rPr>
          <w:sz w:val="24"/>
          <w:szCs w:val="24"/>
        </w:rPr>
        <w:t xml:space="preserve"> (норми тривалості робочого часу на 2021 рік  відповідно до листа Міністерства економіки України від 12.08.2021  № 47-03/520 «Про розрахунок норми тривалості робочого часу на 2022  рік»).</w:t>
      </w:r>
    </w:p>
    <w:p w:rsidR="00AE0FB2" w:rsidRPr="00B22D31" w:rsidRDefault="00F93AED">
      <w:pPr>
        <w:widowControl w:val="0"/>
        <w:pBdr>
          <w:top w:val="nil"/>
          <w:left w:val="nil"/>
          <w:bottom w:val="nil"/>
          <w:right w:val="nil"/>
          <w:between w:val="nil"/>
        </w:pBdr>
        <w:spacing w:before="120"/>
        <w:ind w:firstLine="567"/>
        <w:jc w:val="both"/>
        <w:rPr>
          <w:sz w:val="24"/>
          <w:szCs w:val="24"/>
        </w:rPr>
      </w:pPr>
      <w:r w:rsidRPr="00B22D31">
        <w:rPr>
          <w:sz w:val="24"/>
          <w:szCs w:val="24"/>
        </w:rPr>
        <w:t>Використовується посадовий оклад головного спеціаліста де</w:t>
      </w:r>
      <w:r w:rsidR="00462671" w:rsidRPr="00B22D31">
        <w:rPr>
          <w:sz w:val="24"/>
          <w:szCs w:val="24"/>
        </w:rPr>
        <w:t>ржавного органу, юрисдикція якого</w:t>
      </w:r>
      <w:r w:rsidRPr="00B22D31">
        <w:rPr>
          <w:sz w:val="24"/>
          <w:szCs w:val="24"/>
        </w:rPr>
        <w:t xml:space="preserve"> поширюється на територію одного або кількох районів, районів у містах, міст обласного значення, згідно</w:t>
      </w:r>
      <w:r w:rsidR="00462671" w:rsidRPr="00B22D31">
        <w:rPr>
          <w:sz w:val="24"/>
          <w:szCs w:val="24"/>
        </w:rPr>
        <w:t xml:space="preserve"> із Законом</w:t>
      </w:r>
      <w:r w:rsidRPr="00B22D31">
        <w:rPr>
          <w:sz w:val="24"/>
          <w:szCs w:val="24"/>
        </w:rPr>
        <w:t xml:space="preserve"> України «Про Державний бюджет Україн</w:t>
      </w:r>
      <w:r w:rsidR="00462671" w:rsidRPr="00B22D31">
        <w:rPr>
          <w:sz w:val="24"/>
          <w:szCs w:val="24"/>
        </w:rPr>
        <w:t>и на 2022 рік» та постановою</w:t>
      </w:r>
      <w:r w:rsidRPr="00B22D31">
        <w:rPr>
          <w:sz w:val="24"/>
          <w:szCs w:val="24"/>
        </w:rPr>
        <w:t xml:space="preserve"> Кабінету Міністрів України  від 18.01.2017  № 15 «Питання оплати праці працівників державних органів»</w:t>
      </w:r>
      <w:r w:rsidR="00462671" w:rsidRPr="00B22D31">
        <w:rPr>
          <w:sz w:val="24"/>
          <w:szCs w:val="24"/>
        </w:rPr>
        <w:t>,</w:t>
      </w:r>
      <w:r w:rsidRPr="00B22D31">
        <w:rPr>
          <w:sz w:val="24"/>
          <w:szCs w:val="24"/>
        </w:rPr>
        <w:t xml:space="preserve"> зі змінами, внесеними постановою Кабінету Міністрів України від 02.02</w:t>
      </w:r>
      <w:r w:rsidR="00462671" w:rsidRPr="00B22D31">
        <w:rPr>
          <w:sz w:val="24"/>
          <w:szCs w:val="24"/>
        </w:rPr>
        <w:t>.2022 № 89, який відповідно</w:t>
      </w:r>
      <w:r w:rsidRPr="00B22D31">
        <w:rPr>
          <w:sz w:val="24"/>
          <w:szCs w:val="24"/>
        </w:rPr>
        <w:t xml:space="preserve"> на 01.01.2022  становить: 6 500 грн – місячна оплата, за рік –  78 000 грн  та 39,26 грн у погодинному розмірі.</w:t>
      </w:r>
    </w:p>
    <w:p w:rsidR="00AE0FB2" w:rsidRPr="00B22D31" w:rsidRDefault="00F93AED">
      <w:pPr>
        <w:widowControl w:val="0"/>
        <w:pBdr>
          <w:top w:val="nil"/>
          <w:left w:val="nil"/>
          <w:bottom w:val="nil"/>
          <w:right w:val="nil"/>
          <w:between w:val="nil"/>
        </w:pBdr>
        <w:spacing w:before="120"/>
        <w:ind w:firstLine="567"/>
        <w:jc w:val="both"/>
        <w:rPr>
          <w:sz w:val="28"/>
          <w:szCs w:val="28"/>
        </w:rPr>
      </w:pPr>
      <w:r w:rsidRPr="00B22D31">
        <w:rPr>
          <w:sz w:val="28"/>
          <w:szCs w:val="28"/>
        </w:rPr>
        <w:lastRenderedPageBreak/>
        <w:t>Отже, прийняття проекту дозволить скоротити час та витрати для суб’єктів господарювання майже на 67 %, а також час та витрати держави на здійснення заходів державного нагляду (контролю) з урахуванням М-тест (додаток 1).</w:t>
      </w:r>
    </w:p>
    <w:p w:rsidR="00AE0FB2" w:rsidRPr="00B22D31" w:rsidRDefault="00F93AED">
      <w:pPr>
        <w:widowControl w:val="0"/>
        <w:shd w:val="clear" w:color="auto" w:fill="FFFFFF"/>
        <w:spacing w:before="120"/>
        <w:ind w:firstLine="567"/>
        <w:jc w:val="both"/>
        <w:rPr>
          <w:sz w:val="28"/>
          <w:szCs w:val="28"/>
        </w:rPr>
      </w:pPr>
      <w:r w:rsidRPr="00B22D31">
        <w:rPr>
          <w:sz w:val="28"/>
          <w:szCs w:val="28"/>
        </w:rPr>
        <w:t>Питома вага суб’єктів малого підприємництва (малих та мікропідприємств разом) у загальній кількості суб’єктів господарювання, на яких поширюється регулювання, перевищує 10</w:t>
      </w:r>
      <w:r w:rsidR="00462671" w:rsidRPr="00B22D31">
        <w:rPr>
          <w:sz w:val="28"/>
          <w:szCs w:val="28"/>
        </w:rPr>
        <w:t xml:space="preserve"> </w:t>
      </w:r>
      <w:r w:rsidRPr="00B22D31">
        <w:rPr>
          <w:sz w:val="28"/>
          <w:szCs w:val="28"/>
        </w:rPr>
        <w:t xml:space="preserve">%, у зв’язку із чим проведено розрахунок витрат на запровадження державного регулювання для суб’єктів малого підприємництва (додаток </w:t>
      </w:r>
      <w:r w:rsidRPr="00B22D31">
        <w:rPr>
          <w:sz w:val="28"/>
        </w:rPr>
        <w:t>1</w:t>
      </w:r>
      <w:r w:rsidRPr="00B22D31">
        <w:rPr>
          <w:sz w:val="28"/>
          <w:szCs w:val="28"/>
        </w:rPr>
        <w:t>).</w:t>
      </w:r>
    </w:p>
    <w:p w:rsidR="00AE0FB2" w:rsidRPr="00B22D31" w:rsidRDefault="00F93AED">
      <w:pPr>
        <w:pBdr>
          <w:top w:val="nil"/>
          <w:left w:val="nil"/>
          <w:bottom w:val="nil"/>
          <w:right w:val="nil"/>
          <w:between w:val="nil"/>
        </w:pBdr>
        <w:spacing w:before="120"/>
        <w:ind w:firstLine="567"/>
        <w:jc w:val="center"/>
        <w:rPr>
          <w:b/>
          <w:sz w:val="28"/>
          <w:szCs w:val="28"/>
          <w:highlight w:val="white"/>
        </w:rPr>
      </w:pPr>
      <w:r w:rsidRPr="00B22D31">
        <w:rPr>
          <w:b/>
          <w:sz w:val="28"/>
          <w:szCs w:val="28"/>
          <w:highlight w:val="white"/>
        </w:rPr>
        <w:t>VII. Обґрунтування запропонованого строку дії регуляторного акта</w:t>
      </w:r>
    </w:p>
    <w:p w:rsidR="00AE0FB2" w:rsidRPr="00B22D31" w:rsidRDefault="00F93AED">
      <w:pPr>
        <w:pBdr>
          <w:top w:val="nil"/>
          <w:left w:val="nil"/>
          <w:bottom w:val="nil"/>
          <w:right w:val="nil"/>
          <w:between w:val="nil"/>
        </w:pBdr>
        <w:spacing w:before="120"/>
        <w:ind w:firstLine="567"/>
        <w:jc w:val="both"/>
        <w:rPr>
          <w:sz w:val="28"/>
          <w:szCs w:val="28"/>
          <w:highlight w:val="white"/>
        </w:rPr>
      </w:pPr>
      <w:r w:rsidRPr="00B22D31">
        <w:rPr>
          <w:sz w:val="28"/>
          <w:szCs w:val="28"/>
          <w:highlight w:val="white"/>
        </w:rPr>
        <w:t>Термін дії є необмеженим, якщо інший не буде визначено нормативно-правовими актами.</w:t>
      </w:r>
    </w:p>
    <w:p w:rsidR="00AE0FB2" w:rsidRPr="00B22D31" w:rsidRDefault="00F93AED">
      <w:pPr>
        <w:pBdr>
          <w:top w:val="nil"/>
          <w:left w:val="nil"/>
          <w:bottom w:val="nil"/>
          <w:right w:val="nil"/>
          <w:between w:val="nil"/>
        </w:pBdr>
        <w:ind w:firstLine="567"/>
        <w:jc w:val="both"/>
        <w:rPr>
          <w:sz w:val="28"/>
          <w:szCs w:val="28"/>
          <w:highlight w:val="white"/>
        </w:rPr>
      </w:pPr>
      <w:r w:rsidRPr="00B22D31">
        <w:rPr>
          <w:sz w:val="28"/>
          <w:szCs w:val="28"/>
          <w:highlight w:val="white"/>
        </w:rPr>
        <w:t xml:space="preserve">Регуляторний акт розроблено відповідно до положень </w:t>
      </w:r>
      <w:r w:rsidRPr="00B22D31">
        <w:rPr>
          <w:sz w:val="28"/>
          <w:szCs w:val="28"/>
        </w:rPr>
        <w:t>Кодексу</w:t>
      </w:r>
      <w:r w:rsidRPr="00B22D31">
        <w:rPr>
          <w:sz w:val="28"/>
          <w:szCs w:val="28"/>
          <w:highlight w:val="white"/>
        </w:rPr>
        <w:t>. У разі внесення відповідних змін до Кодексу регуляторний акт має бути приведений у відповідність до таких змін.</w:t>
      </w:r>
    </w:p>
    <w:p w:rsidR="00AE0FB2" w:rsidRPr="00B22D31" w:rsidRDefault="00F93AED">
      <w:pPr>
        <w:pBdr>
          <w:top w:val="nil"/>
          <w:left w:val="nil"/>
          <w:bottom w:val="nil"/>
          <w:right w:val="nil"/>
          <w:between w:val="nil"/>
        </w:pBdr>
        <w:spacing w:before="120"/>
        <w:ind w:firstLine="567"/>
        <w:jc w:val="center"/>
        <w:rPr>
          <w:b/>
          <w:sz w:val="28"/>
          <w:szCs w:val="28"/>
          <w:highlight w:val="white"/>
        </w:rPr>
      </w:pPr>
      <w:r w:rsidRPr="00B22D31">
        <w:rPr>
          <w:b/>
          <w:sz w:val="28"/>
          <w:szCs w:val="28"/>
          <w:highlight w:val="white"/>
        </w:rPr>
        <w:t>VIII. Визначення показників результативності дії регуляторного акта</w:t>
      </w:r>
    </w:p>
    <w:p w:rsidR="00AE0FB2" w:rsidRPr="00B22D31" w:rsidRDefault="00F93AED">
      <w:pPr>
        <w:widowControl w:val="0"/>
        <w:pBdr>
          <w:top w:val="nil"/>
          <w:left w:val="nil"/>
          <w:bottom w:val="nil"/>
          <w:right w:val="nil"/>
          <w:between w:val="nil"/>
        </w:pBdr>
        <w:tabs>
          <w:tab w:val="left" w:pos="851"/>
        </w:tabs>
        <w:ind w:firstLine="567"/>
        <w:jc w:val="both"/>
        <w:rPr>
          <w:sz w:val="28"/>
          <w:szCs w:val="28"/>
          <w:highlight w:val="white"/>
        </w:rPr>
      </w:pPr>
      <w:r w:rsidRPr="00B22D31">
        <w:rPr>
          <w:sz w:val="28"/>
          <w:szCs w:val="28"/>
          <w:highlight w:val="white"/>
        </w:rPr>
        <w:t xml:space="preserve">1. </w:t>
      </w:r>
      <w:r w:rsidRPr="00B22D31">
        <w:rPr>
          <w:sz w:val="28"/>
          <w:szCs w:val="28"/>
          <w:highlight w:val="white"/>
        </w:rPr>
        <w:tab/>
        <w:t>Кількість суб’єктів господарювання, на яких поширюється дія акта.</w:t>
      </w:r>
    </w:p>
    <w:p w:rsidR="00AE0FB2" w:rsidRPr="00B22D31" w:rsidRDefault="00F93AED">
      <w:pPr>
        <w:widowControl w:val="0"/>
        <w:pBdr>
          <w:top w:val="nil"/>
          <w:left w:val="nil"/>
          <w:bottom w:val="nil"/>
          <w:right w:val="nil"/>
          <w:between w:val="nil"/>
        </w:pBdr>
        <w:tabs>
          <w:tab w:val="left" w:pos="851"/>
        </w:tabs>
        <w:ind w:firstLine="567"/>
        <w:jc w:val="both"/>
        <w:rPr>
          <w:sz w:val="28"/>
          <w:szCs w:val="28"/>
          <w:highlight w:val="white"/>
        </w:rPr>
      </w:pPr>
      <w:r w:rsidRPr="00B22D31">
        <w:rPr>
          <w:sz w:val="28"/>
          <w:szCs w:val="28"/>
          <w:highlight w:val="white"/>
        </w:rPr>
        <w:t>2. Рівень поінформованості суб’єктів господарювання стосовно основних положень регуляторного акта − високий, оскільки проєкт наказу розміщено –оприлюднено на офіційному вебсайті Міністерства фінансів України  (http://www.minfin.gov.ua) з метою отримання зауважень та пропозицій до нього.</w:t>
      </w:r>
    </w:p>
    <w:p w:rsidR="00AE0FB2" w:rsidRPr="00B22D31" w:rsidRDefault="00F93AED">
      <w:pPr>
        <w:widowControl w:val="0"/>
        <w:pBdr>
          <w:top w:val="nil"/>
          <w:left w:val="nil"/>
          <w:bottom w:val="nil"/>
          <w:right w:val="nil"/>
          <w:between w:val="nil"/>
        </w:pBdr>
        <w:tabs>
          <w:tab w:val="left" w:pos="851"/>
        </w:tabs>
        <w:ind w:firstLine="567"/>
        <w:jc w:val="both"/>
        <w:rPr>
          <w:sz w:val="28"/>
          <w:szCs w:val="28"/>
          <w:highlight w:val="white"/>
        </w:rPr>
      </w:pPr>
      <w:r w:rsidRPr="00B22D31">
        <w:rPr>
          <w:sz w:val="28"/>
          <w:szCs w:val="28"/>
          <w:highlight w:val="white"/>
        </w:rPr>
        <w:t>3. Кількість поданих суб’єктами господарювання податкових накладних</w:t>
      </w:r>
      <w:r w:rsidR="00462671" w:rsidRPr="00B22D31">
        <w:rPr>
          <w:sz w:val="28"/>
          <w:szCs w:val="28"/>
          <w:highlight w:val="white"/>
        </w:rPr>
        <w:t xml:space="preserve"> </w:t>
      </w:r>
      <w:r w:rsidRPr="00B22D31">
        <w:rPr>
          <w:sz w:val="28"/>
          <w:szCs w:val="28"/>
          <w:highlight w:val="white"/>
        </w:rPr>
        <w:t>/</w:t>
      </w:r>
      <w:r w:rsidR="00462671" w:rsidRPr="00B22D31">
        <w:rPr>
          <w:sz w:val="28"/>
          <w:szCs w:val="28"/>
          <w:highlight w:val="white"/>
        </w:rPr>
        <w:t xml:space="preserve"> </w:t>
      </w:r>
      <w:r w:rsidRPr="00B22D31">
        <w:rPr>
          <w:sz w:val="28"/>
          <w:szCs w:val="28"/>
          <w:highlight w:val="white"/>
        </w:rPr>
        <w:t>розрахунків коригування на реєстрацію в Реєстрі.</w:t>
      </w:r>
    </w:p>
    <w:p w:rsidR="00AE0FB2" w:rsidRPr="00B22D31" w:rsidRDefault="00F93AED">
      <w:pPr>
        <w:widowControl w:val="0"/>
        <w:pBdr>
          <w:top w:val="nil"/>
          <w:left w:val="nil"/>
          <w:bottom w:val="nil"/>
          <w:right w:val="nil"/>
          <w:between w:val="nil"/>
        </w:pBdr>
        <w:tabs>
          <w:tab w:val="left" w:pos="851"/>
        </w:tabs>
        <w:ind w:firstLine="567"/>
        <w:jc w:val="both"/>
        <w:rPr>
          <w:sz w:val="28"/>
          <w:szCs w:val="28"/>
          <w:highlight w:val="white"/>
        </w:rPr>
      </w:pPr>
      <w:r w:rsidRPr="00B22D31">
        <w:rPr>
          <w:sz w:val="28"/>
          <w:szCs w:val="28"/>
          <w:highlight w:val="white"/>
        </w:rPr>
        <w:t>4. Кількість податкових накладних</w:t>
      </w:r>
      <w:r w:rsidR="00462671" w:rsidRPr="00B22D31">
        <w:rPr>
          <w:sz w:val="28"/>
          <w:szCs w:val="28"/>
          <w:highlight w:val="white"/>
        </w:rPr>
        <w:t xml:space="preserve"> </w:t>
      </w:r>
      <w:r w:rsidRPr="00B22D31">
        <w:rPr>
          <w:sz w:val="28"/>
          <w:szCs w:val="28"/>
          <w:highlight w:val="white"/>
        </w:rPr>
        <w:t>/</w:t>
      </w:r>
      <w:r w:rsidR="00462671" w:rsidRPr="00B22D31">
        <w:rPr>
          <w:sz w:val="28"/>
          <w:szCs w:val="28"/>
          <w:highlight w:val="white"/>
        </w:rPr>
        <w:t xml:space="preserve"> </w:t>
      </w:r>
      <w:r w:rsidRPr="00B22D31">
        <w:rPr>
          <w:sz w:val="28"/>
          <w:szCs w:val="28"/>
          <w:highlight w:val="white"/>
        </w:rPr>
        <w:t>розрахунків коригування, реєстрацію яких зупинено в Реєстрі.</w:t>
      </w:r>
    </w:p>
    <w:p w:rsidR="00AE0FB2" w:rsidRPr="00B22D31" w:rsidRDefault="00AE0FB2">
      <w:pPr>
        <w:pBdr>
          <w:top w:val="nil"/>
          <w:left w:val="nil"/>
          <w:bottom w:val="nil"/>
          <w:right w:val="nil"/>
          <w:between w:val="nil"/>
        </w:pBdr>
        <w:jc w:val="both"/>
        <w:rPr>
          <w:sz w:val="8"/>
          <w:szCs w:val="8"/>
          <w:highlight w:val="white"/>
        </w:rPr>
      </w:pPr>
    </w:p>
    <w:p w:rsidR="00AE0FB2" w:rsidRPr="00B22D31" w:rsidRDefault="00F93AED">
      <w:pPr>
        <w:pBdr>
          <w:top w:val="nil"/>
          <w:left w:val="nil"/>
          <w:bottom w:val="nil"/>
          <w:right w:val="nil"/>
          <w:between w:val="nil"/>
        </w:pBdr>
        <w:spacing w:before="120"/>
        <w:ind w:firstLine="567"/>
        <w:jc w:val="center"/>
        <w:rPr>
          <w:b/>
          <w:sz w:val="28"/>
          <w:szCs w:val="28"/>
          <w:highlight w:val="white"/>
        </w:rPr>
      </w:pPr>
      <w:r w:rsidRPr="00B22D31">
        <w:rPr>
          <w:b/>
          <w:sz w:val="28"/>
          <w:szCs w:val="28"/>
          <w:highlight w:val="white"/>
        </w:rPr>
        <w:t>IX. Визначення заходів, за допомогою яких здійснюватиметься відстеження результативності дії регуляторного акта</w:t>
      </w:r>
    </w:p>
    <w:p w:rsidR="00AE0FB2" w:rsidRPr="00B22D31" w:rsidRDefault="00AE0FB2">
      <w:pPr>
        <w:pBdr>
          <w:top w:val="nil"/>
          <w:left w:val="nil"/>
          <w:bottom w:val="nil"/>
          <w:right w:val="nil"/>
          <w:between w:val="nil"/>
        </w:pBdr>
        <w:spacing w:before="120"/>
        <w:ind w:firstLine="567"/>
        <w:jc w:val="center"/>
        <w:rPr>
          <w:b/>
          <w:sz w:val="8"/>
          <w:szCs w:val="8"/>
          <w:highlight w:val="white"/>
        </w:rPr>
      </w:pPr>
    </w:p>
    <w:p w:rsidR="00AE0FB2" w:rsidRPr="00B22D31" w:rsidRDefault="00F93AED">
      <w:pPr>
        <w:ind w:right="-79" w:firstLine="567"/>
        <w:jc w:val="both"/>
        <w:rPr>
          <w:sz w:val="28"/>
          <w:szCs w:val="28"/>
          <w:highlight w:val="white"/>
        </w:rPr>
      </w:pPr>
      <w:r w:rsidRPr="00B22D31">
        <w:rPr>
          <w:sz w:val="28"/>
          <w:szCs w:val="28"/>
          <w:highlight w:val="white"/>
        </w:rPr>
        <w:t>Відстеження результативності регуляторного акта здійснюватиметься Міністерством фінансів України статистичним методом шляхом базового та повторного відстеження показників результативності цього акта, визначених під час проведення аналізу впливу регуляторного акта.</w:t>
      </w:r>
    </w:p>
    <w:p w:rsidR="00AE0FB2" w:rsidRPr="00B22D31" w:rsidRDefault="00F93AED">
      <w:pPr>
        <w:ind w:right="-82" w:firstLine="567"/>
        <w:jc w:val="both"/>
        <w:rPr>
          <w:sz w:val="28"/>
          <w:szCs w:val="28"/>
          <w:highlight w:val="white"/>
        </w:rPr>
      </w:pPr>
      <w:r w:rsidRPr="00B22D31">
        <w:rPr>
          <w:sz w:val="28"/>
          <w:szCs w:val="28"/>
          <w:highlight w:val="white"/>
        </w:rPr>
        <w:t>Базове відстеження результативності регуляторного акта здійснюватиметься через рік після набрання чинності акт</w:t>
      </w:r>
      <w:bookmarkStart w:id="1" w:name="bookmark=kix.2n40hl7vwfwj"/>
      <w:bookmarkEnd w:id="1"/>
      <w:r w:rsidRPr="00B22D31">
        <w:rPr>
          <w:sz w:val="28"/>
          <w:szCs w:val="28"/>
          <w:highlight w:val="white"/>
        </w:rPr>
        <w:t>ом.</w:t>
      </w:r>
    </w:p>
    <w:p w:rsidR="00AE0FB2" w:rsidRPr="00B22D31" w:rsidRDefault="00F93AED">
      <w:pPr>
        <w:widowControl w:val="0"/>
        <w:tabs>
          <w:tab w:val="left" w:pos="916"/>
          <w:tab w:val="left" w:pos="1832"/>
          <w:tab w:val="left" w:pos="2748"/>
          <w:tab w:val="left" w:pos="3664"/>
          <w:tab w:val="left" w:pos="4580"/>
          <w:tab w:val="left" w:pos="5496"/>
          <w:tab w:val="left" w:pos="6412"/>
          <w:tab w:val="left" w:pos="7328"/>
          <w:tab w:val="left" w:pos="8244"/>
          <w:tab w:val="left" w:pos="9180"/>
          <w:tab w:val="left" w:pos="10992"/>
          <w:tab w:val="left" w:pos="11908"/>
          <w:tab w:val="left" w:pos="12824"/>
          <w:tab w:val="left" w:pos="13740"/>
          <w:tab w:val="left" w:pos="14656"/>
        </w:tabs>
        <w:ind w:right="-82" w:firstLine="567"/>
        <w:jc w:val="both"/>
        <w:rPr>
          <w:sz w:val="28"/>
          <w:szCs w:val="28"/>
          <w:highlight w:val="white"/>
        </w:rPr>
      </w:pPr>
      <w:r w:rsidRPr="00B22D31">
        <w:rPr>
          <w:sz w:val="28"/>
          <w:szCs w:val="28"/>
          <w:highlight w:val="white"/>
        </w:rPr>
        <w:t>Повторне відстеження результативності буде здійснено не пізніше ніж через три роки після набрання ним чинності.</w:t>
      </w:r>
      <w:bookmarkStart w:id="2" w:name="bookmark=kix.qli0kvupslba"/>
      <w:bookmarkEnd w:id="2"/>
    </w:p>
    <w:p w:rsidR="00AE0FB2" w:rsidRPr="00B22D31" w:rsidRDefault="00F93AED">
      <w:pPr>
        <w:ind w:firstLine="567"/>
        <w:jc w:val="both"/>
        <w:rPr>
          <w:sz w:val="28"/>
          <w:szCs w:val="28"/>
          <w:highlight w:val="white"/>
        </w:rPr>
      </w:pPr>
      <w:bookmarkStart w:id="3" w:name="_heading=h.tyjcwt"/>
      <w:bookmarkEnd w:id="3"/>
      <w:r w:rsidRPr="00B22D31">
        <w:rPr>
          <w:sz w:val="28"/>
          <w:szCs w:val="28"/>
          <w:highlight w:val="white"/>
        </w:rPr>
        <w:t>Відстеження результативності регуляторного акта буде здійснюва</w:t>
      </w:r>
      <w:r w:rsidR="00462671" w:rsidRPr="00B22D31">
        <w:rPr>
          <w:sz w:val="28"/>
          <w:szCs w:val="28"/>
          <w:highlight w:val="white"/>
        </w:rPr>
        <w:t xml:space="preserve">ти Мінфін статистичним методом </w:t>
      </w:r>
      <w:r w:rsidRPr="00B22D31">
        <w:rPr>
          <w:sz w:val="28"/>
          <w:szCs w:val="28"/>
          <w:highlight w:val="white"/>
        </w:rPr>
        <w:t xml:space="preserve"> шляхом аналізу динаміки</w:t>
      </w:r>
      <w:r w:rsidR="003E3205" w:rsidRPr="00B22D31">
        <w:rPr>
          <w:sz w:val="28"/>
          <w:szCs w:val="28"/>
          <w:highlight w:val="white"/>
        </w:rPr>
        <w:t xml:space="preserve"> показників, вказаних у розділі </w:t>
      </w:r>
      <w:r w:rsidRPr="00B22D31">
        <w:rPr>
          <w:sz w:val="28"/>
          <w:szCs w:val="28"/>
          <w:highlight w:val="white"/>
        </w:rPr>
        <w:t>VIII цього регуляторного акта.</w:t>
      </w:r>
    </w:p>
    <w:p w:rsidR="00AE0FB2" w:rsidRPr="00B22D31" w:rsidRDefault="00AE0FB2">
      <w:pPr>
        <w:pBdr>
          <w:top w:val="nil"/>
          <w:left w:val="nil"/>
          <w:bottom w:val="nil"/>
          <w:right w:val="nil"/>
          <w:between w:val="nil"/>
        </w:pBdr>
        <w:spacing w:before="120"/>
        <w:ind w:firstLine="567"/>
        <w:jc w:val="both"/>
        <w:rPr>
          <w:sz w:val="28"/>
          <w:szCs w:val="28"/>
          <w:highlight w:val="white"/>
        </w:rPr>
      </w:pPr>
      <w:bookmarkStart w:id="4" w:name="_heading=h.gjdgxs"/>
      <w:bookmarkEnd w:id="4"/>
    </w:p>
    <w:p w:rsidR="00AE0FB2" w:rsidRPr="00B22D31" w:rsidRDefault="00AE0FB2">
      <w:pPr>
        <w:pBdr>
          <w:top w:val="nil"/>
          <w:left w:val="nil"/>
          <w:bottom w:val="nil"/>
          <w:right w:val="nil"/>
          <w:between w:val="nil"/>
        </w:pBdr>
        <w:ind w:firstLine="720"/>
        <w:jc w:val="both"/>
        <w:rPr>
          <w:sz w:val="28"/>
          <w:szCs w:val="28"/>
          <w:highlight w:val="white"/>
        </w:rPr>
      </w:pPr>
    </w:p>
    <w:p w:rsidR="00AE0FB2" w:rsidRPr="00B22D31" w:rsidRDefault="00F93AED">
      <w:pPr>
        <w:pBdr>
          <w:top w:val="nil"/>
          <w:left w:val="nil"/>
          <w:bottom w:val="nil"/>
          <w:right w:val="nil"/>
          <w:between w:val="nil"/>
        </w:pBdr>
        <w:rPr>
          <w:sz w:val="28"/>
          <w:szCs w:val="28"/>
          <w:highlight w:val="white"/>
        </w:rPr>
      </w:pPr>
      <w:r w:rsidRPr="00B22D31">
        <w:rPr>
          <w:b/>
          <w:sz w:val="28"/>
          <w:szCs w:val="28"/>
          <w:highlight w:val="white"/>
        </w:rPr>
        <w:t>Міністр фінансів України                                                     Сергій МАРЧЕНКО</w:t>
      </w:r>
    </w:p>
    <w:sectPr w:rsidR="00AE0FB2" w:rsidRPr="00B22D31" w:rsidSect="003E3205">
      <w:headerReference w:type="even" r:id="rId7"/>
      <w:headerReference w:type="default" r:id="rId8"/>
      <w:pgSz w:w="11906" w:h="16838"/>
      <w:pgMar w:top="851" w:right="567" w:bottom="1588" w:left="1701" w:header="397" w:footer="709" w:gutter="0"/>
      <w:pgNumType w:start="1" w:chapSep="period"/>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0FC" w:rsidRDefault="00EC50FC"/>
  </w:endnote>
  <w:endnote w:type="continuationSeparator" w:id="0">
    <w:p w:rsidR="00EC50FC" w:rsidRDefault="00EC5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0FC" w:rsidRDefault="00EC50FC"/>
  </w:footnote>
  <w:footnote w:type="continuationSeparator" w:id="0">
    <w:p w:rsidR="00EC50FC" w:rsidRDefault="00EC50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FB2" w:rsidRDefault="00F93AED">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color w:val="000000"/>
        <w:sz w:val="24"/>
        <w:szCs w:val="24"/>
      </w:rPr>
      <w:t>#</w:t>
    </w:r>
    <w:r>
      <w:rPr>
        <w:color w:val="000000"/>
        <w:sz w:val="24"/>
        <w:szCs w:val="24"/>
      </w:rPr>
      <w:fldChar w:fldCharType="end"/>
    </w:r>
  </w:p>
  <w:p w:rsidR="00AE0FB2" w:rsidRDefault="00AE0FB2">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FB2" w:rsidRDefault="00F93AED">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906688">
      <w:rPr>
        <w:noProof/>
        <w:color w:val="000000"/>
        <w:sz w:val="24"/>
        <w:szCs w:val="24"/>
      </w:rPr>
      <w:t>2</w:t>
    </w:r>
    <w:r>
      <w:rPr>
        <w:color w:val="000000"/>
        <w:sz w:val="24"/>
        <w:szCs w:val="24"/>
      </w:rPr>
      <w:fldChar w:fldCharType="end"/>
    </w:r>
  </w:p>
  <w:p w:rsidR="00AE0FB2" w:rsidRDefault="00AE0FB2">
    <w:pPr>
      <w:pBdr>
        <w:top w:val="nil"/>
        <w:left w:val="nil"/>
        <w:bottom w:val="nil"/>
        <w:right w:val="nil"/>
        <w:between w:val="nil"/>
      </w:pBdr>
      <w:tabs>
        <w:tab w:val="center" w:pos="4677"/>
        <w:tab w:val="right" w:pos="9355"/>
      </w:tabs>
      <w:jc w:val="center"/>
      <w:rPr>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B2"/>
    <w:rsid w:val="000643C0"/>
    <w:rsid w:val="00112EB9"/>
    <w:rsid w:val="00212731"/>
    <w:rsid w:val="0022716D"/>
    <w:rsid w:val="002E69DA"/>
    <w:rsid w:val="00347506"/>
    <w:rsid w:val="00375433"/>
    <w:rsid w:val="00381AEB"/>
    <w:rsid w:val="003E3205"/>
    <w:rsid w:val="003E63FF"/>
    <w:rsid w:val="00462671"/>
    <w:rsid w:val="0049121B"/>
    <w:rsid w:val="00592CBC"/>
    <w:rsid w:val="005D251D"/>
    <w:rsid w:val="005E6727"/>
    <w:rsid w:val="0077338F"/>
    <w:rsid w:val="008455C4"/>
    <w:rsid w:val="00901276"/>
    <w:rsid w:val="00906688"/>
    <w:rsid w:val="00986C27"/>
    <w:rsid w:val="00987BAD"/>
    <w:rsid w:val="009C4FAF"/>
    <w:rsid w:val="00A20257"/>
    <w:rsid w:val="00AE0FB2"/>
    <w:rsid w:val="00B22D31"/>
    <w:rsid w:val="00D21ECD"/>
    <w:rsid w:val="00D61C98"/>
    <w:rsid w:val="00E31A0F"/>
    <w:rsid w:val="00E50150"/>
    <w:rsid w:val="00E80A33"/>
    <w:rsid w:val="00EC50FC"/>
    <w:rsid w:val="00ED10B1"/>
    <w:rsid w:val="00EE6FB7"/>
    <w:rsid w:val="00F93A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94CC6C-2CBD-44B2-91DE-3802C824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10"/>
    <w:next w:val="10"/>
    <w:semiHidden/>
    <w:qFormat/>
    <w:pPr>
      <w:keepNext/>
      <w:spacing w:before="240" w:after="60"/>
      <w:outlineLvl w:val="1"/>
    </w:pPr>
    <w:rPr>
      <w:rFonts w:ascii="Cambria" w:hAnsi="Cambria"/>
      <w:b/>
      <w:bCs/>
      <w:i/>
      <w:iCs/>
      <w:sz w:val="28"/>
      <w:szCs w:val="28"/>
    </w:rPr>
  </w:style>
  <w:style w:type="paragraph" w:styleId="3">
    <w:name w:val="heading 3"/>
    <w:basedOn w:val="10"/>
    <w:next w:val="a"/>
    <w:semiHidden/>
    <w:qFormat/>
    <w:pPr>
      <w:spacing w:before="100" w:beforeAutospacing="1" w:after="100" w:afterAutospacing="1"/>
      <w:outlineLvl w:val="2"/>
    </w:pPr>
    <w:rPr>
      <w:b/>
      <w:bCs/>
      <w:sz w:val="27"/>
      <w:szCs w:val="27"/>
    </w:rPr>
  </w:style>
  <w:style w:type="paragraph" w:styleId="4">
    <w:name w:val="heading 4"/>
    <w:basedOn w:val="a"/>
    <w:next w:val="a"/>
    <w:semiHidden/>
    <w:qFormat/>
    <w:pPr>
      <w:keepNext/>
      <w:keepLines/>
      <w:spacing w:before="240" w:after="40"/>
      <w:outlineLvl w:val="3"/>
    </w:pPr>
    <w:rPr>
      <w:b/>
      <w:sz w:val="24"/>
      <w:szCs w:val="24"/>
    </w:rPr>
  </w:style>
  <w:style w:type="paragraph" w:styleId="5">
    <w:name w:val="heading 5"/>
    <w:basedOn w:val="a"/>
    <w:next w:val="a"/>
    <w:semiHidden/>
    <w:qFormat/>
    <w:pPr>
      <w:keepNext/>
      <w:keepLines/>
      <w:spacing w:before="220" w:after="40"/>
      <w:outlineLvl w:val="4"/>
    </w:pPr>
    <w:rPr>
      <w:b/>
      <w:sz w:val="22"/>
    </w:rPr>
  </w:style>
  <w:style w:type="paragraph" w:styleId="6">
    <w:name w:val="heading 6"/>
    <w:basedOn w:val="a"/>
    <w:next w:val="a"/>
    <w:semiHidden/>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keepNext/>
      <w:keepLines/>
      <w:spacing w:before="480" w:after="120"/>
    </w:pPr>
    <w:rPr>
      <w:b/>
      <w:sz w:val="72"/>
      <w:szCs w:val="72"/>
    </w:rPr>
  </w:style>
  <w:style w:type="paragraph" w:customStyle="1" w:styleId="10">
    <w:name w:val="Звичайний1"/>
    <w:pPr>
      <w:suppressAutoHyphens/>
      <w:spacing w:line="1" w:lineRule="atLeast"/>
      <w:ind w:left="-1" w:hanging="1"/>
      <w:outlineLvl w:val="0"/>
    </w:pPr>
    <w:rPr>
      <w:position w:val="-1"/>
      <w:sz w:val="24"/>
      <w:szCs w:val="24"/>
      <w:lang w:val="ru-RU"/>
    </w:rPr>
  </w:style>
  <w:style w:type="paragraph" w:customStyle="1" w:styleId="11111211112">
    <w:name w:val="Звичайний (веб);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Знак1 Знак2"/>
    <w:basedOn w:val="10"/>
    <w:pPr>
      <w:spacing w:before="100" w:beforeAutospacing="1" w:after="100" w:afterAutospacing="1"/>
    </w:pPr>
  </w:style>
  <w:style w:type="paragraph" w:customStyle="1" w:styleId="11">
    <w:name w:val="Знак Знак Знак Знак Знак Знак Знак Знак1"/>
    <w:basedOn w:val="10"/>
    <w:rPr>
      <w:rFonts w:ascii="Verdana" w:hAnsi="Verdana"/>
      <w:sz w:val="20"/>
      <w:szCs w:val="20"/>
      <w:lang w:val="en-US" w:eastAsia="en-US"/>
    </w:rPr>
  </w:style>
  <w:style w:type="paragraph" w:customStyle="1" w:styleId="12">
    <w:name w:val="Верхній колонтитул1"/>
    <w:basedOn w:val="10"/>
    <w:pPr>
      <w:tabs>
        <w:tab w:val="center" w:pos="4677"/>
        <w:tab w:val="right" w:pos="9355"/>
      </w:tabs>
    </w:pPr>
  </w:style>
  <w:style w:type="paragraph" w:customStyle="1" w:styleId="13">
    <w:name w:val="Нижній колонтитул1"/>
    <w:basedOn w:val="10"/>
    <w:pPr>
      <w:tabs>
        <w:tab w:val="center" w:pos="4677"/>
        <w:tab w:val="right" w:pos="9355"/>
      </w:tabs>
    </w:pPr>
  </w:style>
  <w:style w:type="paragraph" w:customStyle="1" w:styleId="CharCharCharChar1">
    <w:name w:val="Char Знак Знак Char Знак Знак Char Знак Знак Char Знак Знак Знак Знак Знак1 Знак"/>
    <w:basedOn w:val="10"/>
    <w:rPr>
      <w:rFonts w:ascii="Verdana" w:hAnsi="Verdana"/>
      <w:sz w:val="20"/>
      <w:szCs w:val="20"/>
      <w:lang w:val="en-US" w:eastAsia="en-US"/>
    </w:rPr>
  </w:style>
  <w:style w:type="paragraph" w:customStyle="1" w:styleId="a4">
    <w:name w:val="Знак Знак Знак Знак Знак Знак Знак"/>
    <w:basedOn w:val="10"/>
    <w:pPr>
      <w:spacing w:after="120"/>
      <w:ind w:firstLine="709"/>
      <w:jc w:val="both"/>
    </w:pPr>
    <w:rPr>
      <w:rFonts w:ascii="Verdana" w:hAnsi="Verdana"/>
      <w:sz w:val="20"/>
      <w:szCs w:val="20"/>
      <w:lang w:val="en-US" w:eastAsia="en-US"/>
    </w:rPr>
  </w:style>
  <w:style w:type="paragraph" w:customStyle="1" w:styleId="14">
    <w:name w:val="Текст у виносці1"/>
    <w:basedOn w:val="10"/>
    <w:rPr>
      <w:rFonts w:ascii="Tahoma" w:hAnsi="Tahoma"/>
      <w:sz w:val="16"/>
      <w:szCs w:val="16"/>
    </w:rPr>
  </w:style>
  <w:style w:type="paragraph" w:customStyle="1" w:styleId="CharCharCharChar">
    <w:name w:val="Char Знак Знак Char Знак Знак Char Знак Знак Char Знак Знак Знак Знак Знак Знак"/>
    <w:basedOn w:val="10"/>
    <w:rPr>
      <w:rFonts w:ascii="Verdana" w:hAnsi="Verdana"/>
      <w:sz w:val="20"/>
      <w:szCs w:val="20"/>
      <w:lang w:val="en-US" w:eastAsia="en-US"/>
    </w:rPr>
  </w:style>
  <w:style w:type="paragraph" w:customStyle="1" w:styleId="15">
    <w:name w:val="Текст виноски1"/>
    <w:basedOn w:val="10"/>
    <w:rPr>
      <w:sz w:val="20"/>
      <w:szCs w:val="20"/>
    </w:rPr>
  </w:style>
  <w:style w:type="paragraph" w:customStyle="1" w:styleId="16">
    <w:name w:val="Знак Знак1 Знак"/>
    <w:basedOn w:val="10"/>
    <w:rPr>
      <w:rFonts w:ascii="Verdana" w:hAnsi="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w:basedOn w:val="10"/>
    <w:rPr>
      <w:rFonts w:ascii="Verdana" w:hAnsi="Verdana"/>
      <w:sz w:val="20"/>
      <w:szCs w:val="20"/>
      <w:lang w:val="en-US" w:eastAsia="en-US"/>
    </w:rPr>
  </w:style>
  <w:style w:type="paragraph" w:customStyle="1" w:styleId="CharCharCharChar2">
    <w:name w:val="Char Знак Знак Char Знак Знак Char Знак Знак Char Знак Знак Знак Знак"/>
    <w:basedOn w:val="10"/>
    <w:rPr>
      <w:rFonts w:ascii="Verdana" w:hAnsi="Verdana"/>
      <w:sz w:val="20"/>
      <w:szCs w:val="20"/>
      <w:lang w:val="en-US" w:eastAsia="en-US"/>
    </w:rPr>
  </w:style>
  <w:style w:type="paragraph" w:customStyle="1" w:styleId="StyleZakonu">
    <w:name w:val="StyleZakonu"/>
    <w:basedOn w:val="10"/>
    <w:pPr>
      <w:spacing w:after="60" w:line="220" w:lineRule="atLeast"/>
      <w:ind w:firstLine="284"/>
      <w:jc w:val="both"/>
    </w:pPr>
    <w:rPr>
      <w:sz w:val="20"/>
      <w:szCs w:val="20"/>
      <w:lang w:val="uk-UA"/>
    </w:rPr>
  </w:style>
  <w:style w:type="paragraph" w:customStyle="1" w:styleId="a5">
    <w:name w:val="Знак Знак Знак Знак Знак Знак Знак Знак"/>
    <w:basedOn w:val="10"/>
    <w:rPr>
      <w:rFonts w:ascii="Verdana" w:hAnsi="Verdana"/>
      <w:sz w:val="20"/>
      <w:szCs w:val="20"/>
      <w:lang w:val="en-US" w:eastAsia="en-US"/>
    </w:rPr>
  </w:style>
  <w:style w:type="paragraph" w:customStyle="1" w:styleId="a6">
    <w:name w:val="Знак Знак Знак Знак Знак Знак Знак Знак Знак Знак Знак Знак Знак Знак"/>
    <w:basedOn w:val="10"/>
    <w:rPr>
      <w:rFonts w:ascii="Verdana" w:hAnsi="Verdana"/>
      <w:sz w:val="20"/>
      <w:szCs w:val="20"/>
      <w:lang w:val="en-US" w:eastAsia="en-US"/>
    </w:rPr>
  </w:style>
  <w:style w:type="paragraph" w:customStyle="1" w:styleId="CharCharCharChar3">
    <w:name w:val="Char Знак Знак Char Знак Знак Char Знак Знак Char Знак Знак Знак Знак Знак"/>
    <w:basedOn w:val="10"/>
    <w:rPr>
      <w:rFonts w:ascii="Verdana" w:hAnsi="Verdana"/>
      <w:sz w:val="20"/>
      <w:szCs w:val="20"/>
      <w:lang w:val="en-US" w:eastAsia="en-US"/>
    </w:rPr>
  </w:style>
  <w:style w:type="paragraph" w:customStyle="1" w:styleId="Style2">
    <w:name w:val="Style 2"/>
    <w:basedOn w:val="10"/>
    <w:pPr>
      <w:widowControl w:val="0"/>
      <w:shd w:val="clear" w:color="auto" w:fill="FFFFFF"/>
      <w:spacing w:after="540" w:line="307" w:lineRule="atLeast"/>
      <w:jc w:val="center"/>
    </w:pPr>
    <w:rPr>
      <w:sz w:val="26"/>
      <w:szCs w:val="26"/>
    </w:rPr>
  </w:style>
  <w:style w:type="paragraph" w:customStyle="1" w:styleId="a7">
    <w:name w:val="Знак Знак Знак Знак Знак Знак"/>
    <w:basedOn w:val="10"/>
    <w:rPr>
      <w:rFonts w:ascii="Verdana" w:hAnsi="Verdana"/>
      <w:sz w:val="20"/>
      <w:szCs w:val="20"/>
      <w:lang w:val="en-US" w:eastAsia="en-US"/>
    </w:rPr>
  </w:style>
  <w:style w:type="paragraph" w:customStyle="1" w:styleId="21">
    <w:name w:val="Основний текст 21"/>
    <w:basedOn w:val="10"/>
    <w:pPr>
      <w:ind w:right="-2" w:firstLine="567"/>
      <w:jc w:val="both"/>
    </w:pPr>
    <w:rPr>
      <w:i/>
      <w:iCs/>
      <w:sz w:val="28"/>
      <w:szCs w:val="28"/>
      <w:lang w:val="uk-UA"/>
    </w:rPr>
  </w:style>
  <w:style w:type="paragraph" w:customStyle="1" w:styleId="17">
    <w:name w:val="Текст примітки1"/>
    <w:basedOn w:val="10"/>
    <w:qFormat/>
    <w:rPr>
      <w:sz w:val="20"/>
      <w:szCs w:val="20"/>
    </w:rPr>
  </w:style>
  <w:style w:type="paragraph" w:customStyle="1" w:styleId="18">
    <w:name w:val="Тема примітки1"/>
    <w:basedOn w:val="17"/>
    <w:next w:val="17"/>
    <w:qFormat/>
    <w:rPr>
      <w:b/>
      <w:bCs/>
    </w:rPr>
  </w:style>
  <w:style w:type="paragraph" w:styleId="a8">
    <w:name w:val="Subtitle"/>
    <w:basedOn w:val="a"/>
    <w:next w:val="a"/>
    <w:pPr>
      <w:keepNext/>
      <w:keepLines/>
      <w:spacing w:before="360" w:after="80"/>
    </w:pPr>
    <w:rPr>
      <w:rFonts w:ascii="Georgia" w:hAnsi="Georgia"/>
      <w:i/>
      <w:color w:val="666666"/>
      <w:sz w:val="48"/>
      <w:szCs w:val="48"/>
    </w:rPr>
  </w:style>
  <w:style w:type="paragraph" w:styleId="a9">
    <w:name w:val="footnote text"/>
    <w:link w:val="aa"/>
    <w:semiHidden/>
    <w:rPr>
      <w:szCs w:val="20"/>
    </w:rPr>
  </w:style>
  <w:style w:type="paragraph" w:styleId="ab">
    <w:name w:val="endnote text"/>
    <w:link w:val="ac"/>
    <w:semiHidden/>
    <w:rPr>
      <w:szCs w:val="20"/>
    </w:rPr>
  </w:style>
  <w:style w:type="character" w:styleId="ad">
    <w:name w:val="line number"/>
    <w:basedOn w:val="a0"/>
    <w:semiHidden/>
  </w:style>
  <w:style w:type="character" w:styleId="ae">
    <w:name w:val="Hyperlink"/>
    <w:rPr>
      <w:color w:val="0000FF"/>
      <w:u w:val="single"/>
    </w:rPr>
  </w:style>
  <w:style w:type="character" w:customStyle="1" w:styleId="19">
    <w:name w:val="Шрифт абзацу за промовчанням;Знак Знак Знак Знак Знак Знак Знак Знак1 Знак"/>
    <w:rPr>
      <w:w w:val="100"/>
      <w:position w:val="-1"/>
      <w:vertAlign w:val="baseline"/>
      <w:cs w:val="0"/>
    </w:rPr>
  </w:style>
  <w:style w:type="character" w:customStyle="1" w:styleId="111111112112">
    <w:name w:val="Звичайний (веб) Знак;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Знак1 Знак2 Знак"/>
    <w:rPr>
      <w:w w:val="100"/>
      <w:position w:val="-1"/>
      <w:sz w:val="24"/>
      <w:szCs w:val="24"/>
      <w:vertAlign w:val="baseline"/>
      <w:cs w:val="0"/>
      <w:lang w:val="ru-RU" w:eastAsia="ru-RU" w:bidi="ar-SA"/>
    </w:rPr>
  </w:style>
  <w:style w:type="character" w:customStyle="1" w:styleId="1a">
    <w:name w:val="Номер сторінки1"/>
    <w:basedOn w:val="19"/>
    <w:rPr>
      <w:w w:val="100"/>
      <w:position w:val="-1"/>
      <w:vertAlign w:val="baseline"/>
      <w:cs w:val="0"/>
    </w:rPr>
  </w:style>
  <w:style w:type="character" w:customStyle="1" w:styleId="1b">
    <w:name w:val="Знак виноски1"/>
    <w:rPr>
      <w:w w:val="100"/>
      <w:position w:val="-1"/>
      <w:vertAlign w:val="superscript"/>
      <w:cs w:val="0"/>
    </w:rPr>
  </w:style>
  <w:style w:type="character" w:customStyle="1" w:styleId="FontStyle15">
    <w:name w:val="Font Style15"/>
    <w:rPr>
      <w:rFonts w:ascii="Times New Roman" w:hAnsi="Times New Roman"/>
      <w:w w:val="100"/>
      <w:position w:val="-1"/>
      <w:sz w:val="26"/>
      <w:szCs w:val="26"/>
      <w:vertAlign w:val="baseline"/>
      <w:cs w:val="0"/>
    </w:rPr>
  </w:style>
  <w:style w:type="character" w:customStyle="1" w:styleId="StyleZakonu0">
    <w:name w:val="StyleZakonu Знак"/>
    <w:rPr>
      <w:w w:val="100"/>
      <w:position w:val="-1"/>
      <w:vertAlign w:val="baseline"/>
      <w:cs w:val="0"/>
      <w:lang w:val="uk-UA" w:eastAsia="ru-RU" w:bidi="ar-SA"/>
    </w:rPr>
  </w:style>
  <w:style w:type="character" w:customStyle="1" w:styleId="CharStyle3">
    <w:name w:val="Char Style 3"/>
    <w:rPr>
      <w:w w:val="100"/>
      <w:position w:val="-1"/>
      <w:sz w:val="26"/>
      <w:szCs w:val="26"/>
      <w:shd w:val="clear" w:color="auto" w:fill="FFFFFF"/>
      <w:vertAlign w:val="baseline"/>
      <w:cs w:val="0"/>
    </w:rPr>
  </w:style>
  <w:style w:type="character" w:customStyle="1" w:styleId="20">
    <w:name w:val="Заголовок 2 Знак"/>
    <w:rPr>
      <w:rFonts w:ascii="Cambria" w:hAnsi="Cambria"/>
      <w:b/>
      <w:bCs/>
      <w:i/>
      <w:iCs/>
      <w:w w:val="100"/>
      <w:position w:val="-1"/>
      <w:sz w:val="28"/>
      <w:szCs w:val="28"/>
      <w:vertAlign w:val="baseline"/>
      <w:cs w:val="0"/>
      <w:lang w:val="ru-RU" w:eastAsia="ru-RU"/>
    </w:rPr>
  </w:style>
  <w:style w:type="character" w:customStyle="1" w:styleId="22">
    <w:name w:val="Основний текст 2 Знак"/>
    <w:rPr>
      <w:i/>
      <w:iCs/>
      <w:w w:val="100"/>
      <w:position w:val="-1"/>
      <w:sz w:val="28"/>
      <w:szCs w:val="28"/>
      <w:vertAlign w:val="baseline"/>
      <w:cs w:val="0"/>
      <w:lang w:eastAsia="ru-RU"/>
    </w:rPr>
  </w:style>
  <w:style w:type="character" w:customStyle="1" w:styleId="1c">
    <w:name w:val="Знак примітки1"/>
    <w:qFormat/>
    <w:rPr>
      <w:w w:val="100"/>
      <w:position w:val="-1"/>
      <w:sz w:val="16"/>
      <w:szCs w:val="16"/>
      <w:vertAlign w:val="baseline"/>
      <w:cs w:val="0"/>
    </w:rPr>
  </w:style>
  <w:style w:type="character" w:customStyle="1" w:styleId="af">
    <w:name w:val="Текст примітки Знак"/>
    <w:rPr>
      <w:w w:val="100"/>
      <w:position w:val="-1"/>
      <w:vertAlign w:val="baseline"/>
      <w:cs w:val="0"/>
      <w:lang w:val="ru-RU" w:eastAsia="ru-RU"/>
    </w:rPr>
  </w:style>
  <w:style w:type="character" w:customStyle="1" w:styleId="af0">
    <w:name w:val="Тема примітки Знак"/>
    <w:rPr>
      <w:b/>
      <w:bCs/>
      <w:w w:val="100"/>
      <w:position w:val="-1"/>
      <w:vertAlign w:val="baseline"/>
      <w:cs w:val="0"/>
      <w:lang w:val="ru-RU" w:eastAsia="ru-RU"/>
    </w:rPr>
  </w:style>
  <w:style w:type="character" w:styleId="af1">
    <w:name w:val="footnote reference"/>
    <w:semiHidden/>
    <w:rPr>
      <w:vertAlign w:val="superscript"/>
    </w:rPr>
  </w:style>
  <w:style w:type="character" w:customStyle="1" w:styleId="aa">
    <w:name w:val="Текст виноски Знак"/>
    <w:link w:val="a9"/>
    <w:semiHidden/>
    <w:rPr>
      <w:sz w:val="20"/>
      <w:szCs w:val="20"/>
    </w:rPr>
  </w:style>
  <w:style w:type="character" w:styleId="af2">
    <w:name w:val="endnote reference"/>
    <w:semiHidden/>
    <w:rPr>
      <w:vertAlign w:val="superscript"/>
    </w:rPr>
  </w:style>
  <w:style w:type="character" w:customStyle="1" w:styleId="ac">
    <w:name w:val="Текст кінцевої виноски Знак"/>
    <w:link w:val="ab"/>
    <w:semiHidden/>
    <w:rPr>
      <w:sz w:val="20"/>
      <w:szCs w:val="20"/>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1d">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CellMar>
        <w:top w:w="0" w:type="dxa"/>
        <w:left w:w="0" w:type="dxa"/>
        <w:bottom w:w="0" w:type="dxa"/>
        <w:right w:w="0" w:type="dxa"/>
      </w:tblCellMar>
    </w:tblPr>
  </w:style>
  <w:style w:type="table" w:customStyle="1" w:styleId="1e">
    <w:name w:val="Звичайна таблиця1"/>
    <w:pPr>
      <w:suppressAutoHyphens/>
      <w:spacing w:line="1" w:lineRule="atLeast"/>
      <w:ind w:left="-1" w:hanging="1"/>
      <w:outlineLvl w:val="0"/>
    </w:pPr>
    <w:rPr>
      <w:position w:val="-1"/>
    </w:rPr>
    <w:tblPr>
      <w:tblInd w:w="0" w:type="dxa"/>
      <w:tblCellMar>
        <w:top w:w="0" w:type="dxa"/>
        <w:left w:w="108" w:type="dxa"/>
        <w:bottom w:w="0"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numbering" w:customStyle="1" w:styleId="1f">
    <w:name w:val="Немає списку1"/>
  </w:style>
  <w:style w:type="paragraph" w:styleId="af4">
    <w:name w:val="footer"/>
    <w:basedOn w:val="a"/>
    <w:link w:val="af5"/>
    <w:uiPriority w:val="99"/>
    <w:unhideWhenUsed/>
    <w:rsid w:val="00462671"/>
    <w:pPr>
      <w:tabs>
        <w:tab w:val="center" w:pos="4819"/>
        <w:tab w:val="right" w:pos="9639"/>
      </w:tabs>
    </w:pPr>
  </w:style>
  <w:style w:type="character" w:customStyle="1" w:styleId="af5">
    <w:name w:val="Нижній колонтитул Знак"/>
    <w:basedOn w:val="a0"/>
    <w:link w:val="af4"/>
    <w:uiPriority w:val="99"/>
    <w:rsid w:val="00462671"/>
  </w:style>
  <w:style w:type="paragraph" w:styleId="af6">
    <w:name w:val="header"/>
    <w:basedOn w:val="a"/>
    <w:link w:val="af7"/>
    <w:uiPriority w:val="99"/>
    <w:unhideWhenUsed/>
    <w:rsid w:val="00462671"/>
    <w:pPr>
      <w:tabs>
        <w:tab w:val="center" w:pos="4819"/>
        <w:tab w:val="right" w:pos="9639"/>
      </w:tabs>
    </w:pPr>
  </w:style>
  <w:style w:type="character" w:customStyle="1" w:styleId="af7">
    <w:name w:val="Верхній колонтитул Знак"/>
    <w:basedOn w:val="a0"/>
    <w:link w:val="af6"/>
    <w:uiPriority w:val="99"/>
    <w:rsid w:val="00462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105570">
      <w:bodyDiv w:val="1"/>
      <w:marLeft w:val="0"/>
      <w:marRight w:val="0"/>
      <w:marTop w:val="0"/>
      <w:marBottom w:val="0"/>
      <w:divBdr>
        <w:top w:val="none" w:sz="0" w:space="0" w:color="auto"/>
        <w:left w:val="none" w:sz="0" w:space="0" w:color="auto"/>
        <w:bottom w:val="none" w:sz="0" w:space="0" w:color="auto"/>
        <w:right w:val="none" w:sz="0" w:space="0" w:color="auto"/>
      </w:divBdr>
    </w:div>
    <w:div w:id="781261981">
      <w:bodyDiv w:val="1"/>
      <w:marLeft w:val="0"/>
      <w:marRight w:val="0"/>
      <w:marTop w:val="0"/>
      <w:marBottom w:val="0"/>
      <w:divBdr>
        <w:top w:val="none" w:sz="0" w:space="0" w:color="auto"/>
        <w:left w:val="none" w:sz="0" w:space="0" w:color="auto"/>
        <w:bottom w:val="none" w:sz="0" w:space="0" w:color="auto"/>
        <w:right w:val="none" w:sz="0" w:space="0" w:color="auto"/>
      </w:divBdr>
    </w:div>
    <w:div w:id="1423525843">
      <w:bodyDiv w:val="1"/>
      <w:marLeft w:val="0"/>
      <w:marRight w:val="0"/>
      <w:marTop w:val="0"/>
      <w:marBottom w:val="0"/>
      <w:divBdr>
        <w:top w:val="none" w:sz="0" w:space="0" w:color="auto"/>
        <w:left w:val="none" w:sz="0" w:space="0" w:color="auto"/>
        <w:bottom w:val="none" w:sz="0" w:space="0" w:color="auto"/>
        <w:right w:val="none" w:sz="0" w:space="0" w:color="auto"/>
      </w:divBdr>
    </w:div>
    <w:div w:id="1488781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H6kxD7TUP7B0gCwXrqfEDKHmJQ==">AMUW2mUskA+4IhcRmDZRqhbiFA+EyaSSKODt1VKUyDXSGvEmfZs5w5sDpI7NCRedeJ5JKG7feDvHTvcuUhuQXtJnNJPrpXITQZldJsoMu/9hTLis+BGgMiU0Xz2FuL2QPlZyssv90+24EBCX0pYkewRvQpnBxHvSEJnSXvx4H+VA0+ajS1AwtRRzuZfhpmw6yC210zzslkADaPQ01OccgSbShllnPuX+vwS+sygFJ06dEOBtHPkfRGU=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15635</Words>
  <Characters>8913</Characters>
  <Application>Microsoft Office Word</Application>
  <DocSecurity>0</DocSecurity>
  <Lines>74</Lines>
  <Paragraphs>48</Paragraphs>
  <ScaleCrop>false</ScaleCrop>
  <HeadingPairs>
    <vt:vector size="2" baseType="variant">
      <vt:variant>
        <vt:lpstr>Назва</vt:lpstr>
      </vt:variant>
      <vt:variant>
        <vt:i4>1</vt:i4>
      </vt:variant>
    </vt:vector>
  </HeadingPairs>
  <TitlesOfParts>
    <vt:vector size="1" baseType="lpstr">
      <vt:lpstr/>
    </vt:vector>
  </TitlesOfParts>
  <Company>Ministry of Finance of Ukraine</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d16-rochnyak</dc:creator>
  <cp:lastModifiedBy>Жук Маргарита Сергіївна</cp:lastModifiedBy>
  <cp:revision>2</cp:revision>
  <dcterms:created xsi:type="dcterms:W3CDTF">2022-12-21T06:57:00Z</dcterms:created>
  <dcterms:modified xsi:type="dcterms:W3CDTF">2022-12-21T06:57:00Z</dcterms:modified>
</cp:coreProperties>
</file>