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Types>
</file>

<file path=_rels/.rels>&#65279;<?xml version="1.0" encoding="utf-8"?><Relationships xmlns="http://schemas.openxmlformats.org/package/2006/relationships"><Relationship Id="R1" Type="http://schemas.openxmlformats.org/officeDocument/2006/relationships/officeDocument" Target="/word/document.xml" /><Relationship Id="coreR1" Type="http://schemas.openxmlformats.org/package/2006/relationships/metadata/core-properties" Target="/docProps/core.xml" /><Relationship Id="appR1" Type="http://schemas.openxmlformats.org/officeDocument/2006/relationships/extended-properties" Target="/docProps/app.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body>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rPr>
          <w:b w:val="1"/>
          <w:color w:val="000000"/>
          <w:sz w:val="28"/>
          <w:szCs w:val="28"/>
        </w:rPr>
      </w:pP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jc w:val="center"/>
        <w:rPr>
          <w:b w:val="1"/>
          <w:color w:val="000000"/>
          <w:sz w:val="28"/>
          <w:szCs w:val="28"/>
        </w:rPr>
      </w:pPr>
      <w:r>
        <w:rPr>
          <w:b w:val="1"/>
          <w:color w:val="000000"/>
          <w:sz w:val="28"/>
          <w:szCs w:val="28"/>
        </w:rPr>
        <w:t>АНАЛІЗ РЕГУЛЯТОРНОГО ВПЛИВУ</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jc w:val="center"/>
        <w:rPr>
          <w:b w:val="1"/>
          <w:color w:val="000000"/>
          <w:sz w:val="28"/>
          <w:szCs w:val="28"/>
        </w:rPr>
      </w:pPr>
      <w:r>
        <w:rPr>
          <w:b w:val="1"/>
          <w:color w:val="000000"/>
          <w:sz w:val="28"/>
          <w:szCs w:val="28"/>
        </w:rPr>
        <w:t xml:space="preserve">проекту постанови Кабінету Міністрів України «Про внесення змін до Порядку зупинення реєстрації податкової накладної / розрахунку коригування в Єдиному реєстрі податкових накладних» </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rPr>
          <w:b w:val="1"/>
          <w:color w:val="000000"/>
          <w:sz w:val="28"/>
          <w:szCs w:val="28"/>
          <w:highlight w:val="yellow"/>
        </w:rPr>
      </w:pP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tabs>
          <w:tab w:val="left" w:pos="3261" w:leader="none"/>
          <w:tab w:val="left" w:pos="3544" w:leader="none"/>
        </w:tabs>
        <w:spacing w:lineRule="auto" w:line="360" w:beforeAutospacing="0" w:afterAutospacing="0"/>
        <w:jc w:val="center"/>
        <w:rPr>
          <w:b w:val="1"/>
          <w:color w:val="000000"/>
          <w:sz w:val="28"/>
          <w:szCs w:val="28"/>
        </w:rPr>
      </w:pPr>
      <w:r>
        <w:rPr>
          <w:b w:val="1"/>
          <w:color w:val="000000"/>
          <w:sz w:val="28"/>
          <w:szCs w:val="28"/>
        </w:rPr>
        <w:t>І. Визначення проблеми</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ind w:firstLine="567"/>
        <w:jc w:val="both"/>
        <w:rPr>
          <w:color w:val="000000"/>
          <w:sz w:val="28"/>
          <w:szCs w:val="28"/>
        </w:rPr>
      </w:pPr>
      <w:r>
        <w:rPr>
          <w:color w:val="000000"/>
          <w:sz w:val="28"/>
          <w:szCs w:val="28"/>
        </w:rPr>
        <w:t>У зв’язку з прийняттям Закону України від 12.05.2022 № 2260-ІХ «Про внесення змін до Податкового кодексу України та інших законів України щодо особливостей податкового адміністрування податків, зборів та єдиного внеску під час дії воєнного, надзвичайного стану», яким передбачено відновлення реєстрації податкових накладних / розрахунків коригування в Єдиному реєстрі податкових накладних (далі – Реєстр) та бюджетного відшкодування, виникає необхідність внесення змін до Порядку зупинення реєстрації податкової накладної / розрахунку коригування в Єдиному реєстрі податкових накладних (далі – Порядок зупинення), затвердженого постановою Кабінету Міністрів України від 11.12.2019 № 1165 «Про затвердження порядків з питань зупинення реєстрації податкової накладної/розрахунку коригування в Єдиному реєстрі податкових накладних» (далі – постанова № 1165).</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ind w:firstLine="567"/>
        <w:jc w:val="both"/>
        <w:rPr>
          <w:color w:val="000000"/>
          <w:sz w:val="28"/>
          <w:szCs w:val="28"/>
        </w:rPr>
      </w:pPr>
      <w:r>
        <w:rPr>
          <w:color w:val="000000"/>
          <w:sz w:val="28"/>
          <w:szCs w:val="28"/>
        </w:rPr>
        <w:t>Метою прийняття проекту постанови Кабінету Міністрів України «Про внесення змін до Порядку зупинення реєстрації податкової накладної/розрахунку коригування в Єдиному реєстрі податкових накладних» (далі – проект акта) є підвищення ефективності запобіганню порушень платниками податкового законодавства з податку на додану вартість шляхом удосконалення автоматизованого моніторингу відповідності податкової накладної/розрахунку коригування критеріям оцінки ступеня ризиків (далі – СМКОР), передбаченого постановою № 1165.</w:t>
      </w:r>
    </w:p>
    <w:p>
      <w:pPr>
        <w:widowControl w:val="0"/>
        <w:spacing w:after="120" w:beforeAutospacing="0" w:afterAutospacing="0"/>
        <w:ind w:firstLine="567"/>
        <w:jc w:val="both"/>
        <w:rPr>
          <w:color w:val="000000"/>
          <w:sz w:val="28"/>
          <w:szCs w:val="28"/>
        </w:rPr>
      </w:pPr>
      <w:r>
        <w:rPr>
          <w:color w:val="000000"/>
          <w:sz w:val="28"/>
          <w:szCs w:val="28"/>
        </w:rPr>
        <w:t>Інформація про кількість суб’єктів господарювання, які зареєстровані платниками податку на додану вартість:</w:t>
      </w:r>
    </w:p>
    <w:tbl>
      <w:tblPr>
        <w:tblStyle w:val="T4"/>
        <w:tblW w:w="9854" w:type="dxa"/>
        <w:tblInd w:w="0"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fixed"/>
        <w:tblLook w:val="0000"/>
      </w:tblPr>
      <w:tblGrid/>
      <w:tr>
        <w:tc>
          <w:tcPr>
            <w:tcW w:w="9854" w:type="dxa"/>
            <w:gridSpan w:val="3"/>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widowControl w:val="0"/>
              <w:jc w:val="center"/>
              <w:rPr>
                <w:color w:val="000000"/>
                <w:sz w:val="24"/>
                <w:szCs w:val="24"/>
                <w:vertAlign w:val="superscript"/>
              </w:rPr>
            </w:pPr>
            <w:r>
              <w:rPr>
                <w:color w:val="000000"/>
                <w:sz w:val="24"/>
                <w:szCs w:val="24"/>
              </w:rPr>
              <w:t>Кількість суб’єктів господарювання</w:t>
            </w:r>
            <w:r>
              <w:rPr>
                <w:color w:val="000000"/>
                <w:sz w:val="24"/>
                <w:szCs w:val="24"/>
                <w:vertAlign w:val="superscript"/>
              </w:rPr>
              <w:t xml:space="preserve"> </w:t>
            </w:r>
            <w:r>
              <w:rPr>
                <w:color w:val="000000"/>
                <w:sz w:val="24"/>
                <w:szCs w:val="24"/>
              </w:rPr>
              <w:t>станом на 01.01.2022</w:t>
            </w:r>
          </w:p>
          <w:p>
            <w:pPr>
              <w:widowControl w:val="0"/>
              <w:jc w:val="center"/>
              <w:rPr>
                <w:color w:val="000000"/>
                <w:sz w:val="24"/>
                <w:szCs w:val="24"/>
              </w:rPr>
            </w:pPr>
          </w:p>
        </w:tc>
      </w:tr>
      <w:tr>
        <w:tc>
          <w:tcPr>
            <w:tcW w:w="3284"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widowControl w:val="0"/>
              <w:jc w:val="center"/>
              <w:rPr>
                <w:color w:val="000000"/>
                <w:sz w:val="24"/>
                <w:szCs w:val="24"/>
              </w:rPr>
            </w:pPr>
            <w:r>
              <w:rPr>
                <w:color w:val="000000"/>
                <w:sz w:val="24"/>
                <w:szCs w:val="24"/>
              </w:rPr>
              <w:t>Всього</w:t>
            </w:r>
          </w:p>
        </w:tc>
        <w:tc>
          <w:tcPr>
            <w:tcW w:w="3285"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widowControl w:val="0"/>
              <w:jc w:val="center"/>
              <w:rPr>
                <w:color w:val="000000"/>
                <w:sz w:val="24"/>
                <w:szCs w:val="24"/>
              </w:rPr>
            </w:pPr>
            <w:r>
              <w:rPr>
                <w:color w:val="000000"/>
                <w:sz w:val="24"/>
                <w:szCs w:val="24"/>
              </w:rPr>
              <w:t>Юридичних осіб</w:t>
            </w:r>
          </w:p>
        </w:tc>
        <w:tc>
          <w:tcPr>
            <w:tcW w:w="3285"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widowControl w:val="0"/>
              <w:jc w:val="center"/>
              <w:rPr>
                <w:color w:val="000000"/>
                <w:sz w:val="24"/>
                <w:szCs w:val="24"/>
              </w:rPr>
            </w:pPr>
            <w:r>
              <w:rPr>
                <w:color w:val="000000"/>
                <w:sz w:val="24"/>
                <w:szCs w:val="24"/>
              </w:rPr>
              <w:t>Фізичних осіб – підприємців</w:t>
            </w:r>
          </w:p>
        </w:tc>
      </w:tr>
      <w:tr>
        <w:trPr>
          <w:trHeight w:hRule="atLeast" w:val="187"/>
        </w:trPr>
        <w:tc>
          <w:tcPr>
            <w:tcW w:w="3284" w:type="dxa"/>
            <w:tcBorders>
              <w:top w:val="single" w:sz="4" w:space="0" w:shadow="0" w:frame="0" w:color="000000"/>
              <w:left w:val="single" w:sz="4" w:space="0" w:shadow="0" w:frame="0" w:color="000000"/>
              <w:bottom w:val="single" w:sz="4" w:space="0" w:shadow="0" w:frame="0" w:color="000000"/>
              <w:right w:val="single" w:sz="4" w:space="0" w:shadow="0" w:frame="0" w:color="000000"/>
            </w:tcBorders>
            <w:vAlign w:val="center"/>
          </w:tcPr>
          <w:p>
            <w:pPr>
              <w:widowControl w:val="0"/>
              <w:jc w:val="center"/>
              <w:rPr>
                <w:color w:val="000000"/>
                <w:sz w:val="24"/>
                <w:szCs w:val="24"/>
              </w:rPr>
            </w:pPr>
            <w:r>
              <w:rPr>
                <w:color w:val="000000"/>
                <w:sz w:val="24"/>
                <w:szCs w:val="24"/>
              </w:rPr>
              <w:t>262 580</w:t>
            </w:r>
          </w:p>
        </w:tc>
        <w:tc>
          <w:tcPr>
            <w:tcW w:w="3285" w:type="dxa"/>
            <w:tcBorders>
              <w:top w:val="single" w:sz="4" w:space="0" w:shadow="0" w:frame="0" w:color="000000"/>
              <w:left w:val="single" w:sz="4" w:space="0" w:shadow="0" w:frame="0" w:color="000000"/>
              <w:bottom w:val="single" w:sz="4" w:space="0" w:shadow="0" w:frame="0" w:color="000000"/>
              <w:right w:val="single" w:sz="4" w:space="0" w:shadow="0" w:frame="0" w:color="000000"/>
            </w:tcBorders>
            <w:vAlign w:val="center"/>
          </w:tcPr>
          <w:p>
            <w:pPr>
              <w:widowControl w:val="0"/>
              <w:jc w:val="center"/>
              <w:rPr>
                <w:color w:val="000000"/>
                <w:sz w:val="24"/>
                <w:szCs w:val="24"/>
              </w:rPr>
            </w:pPr>
            <w:r>
              <w:rPr>
                <w:color w:val="000000"/>
                <w:sz w:val="24"/>
                <w:szCs w:val="24"/>
              </w:rPr>
              <w:t>239 355</w:t>
            </w:r>
          </w:p>
        </w:tc>
        <w:tc>
          <w:tcPr>
            <w:tcW w:w="3285" w:type="dxa"/>
            <w:tcBorders>
              <w:top w:val="single" w:sz="4" w:space="0" w:shadow="0" w:frame="0" w:color="000000"/>
              <w:left w:val="single" w:sz="4" w:space="0" w:shadow="0" w:frame="0" w:color="000000"/>
              <w:bottom w:val="single" w:sz="4" w:space="0" w:shadow="0" w:frame="0" w:color="000000"/>
              <w:right w:val="single" w:sz="4" w:space="0" w:shadow="0" w:frame="0" w:color="000000"/>
            </w:tcBorders>
            <w:vAlign w:val="center"/>
          </w:tcPr>
          <w:p>
            <w:pPr>
              <w:widowControl w:val="0"/>
              <w:jc w:val="center"/>
              <w:rPr>
                <w:color w:val="000000"/>
                <w:sz w:val="24"/>
                <w:szCs w:val="24"/>
              </w:rPr>
            </w:pPr>
            <w:r>
              <w:rPr>
                <w:color w:val="000000"/>
                <w:sz w:val="24"/>
                <w:szCs w:val="24"/>
              </w:rPr>
              <w:t>23 225</w:t>
            </w:r>
          </w:p>
        </w:tc>
      </w:tr>
    </w:tbl>
    <w:p>
      <w:pPr>
        <w:widowControl w:val="0"/>
        <w:tabs>
          <w:tab w:val="left" w:pos="1110" w:leader="none"/>
        </w:tabs>
        <w:ind w:firstLine="566"/>
        <w:jc w:val="both"/>
        <w:rPr>
          <w:color w:val="000000"/>
          <w:sz w:val="28"/>
          <w:szCs w:val="28"/>
        </w:rPr>
      </w:pPr>
      <w:r>
        <w:rPr>
          <w:color w:val="000000"/>
          <w:sz w:val="28"/>
          <w:szCs w:val="28"/>
        </w:rPr>
        <w:t>СМКОР, спрямований на здійснення контролю за нарахуванням податкових зобов’язань з податку на додану вартість, забезпечує повноту надходжень податку до бюджету, що зі свого боку забезпечує можливість державі своєчасно виконувати свої зобов’язання перед платниками податку в частині відшкодування податку на додану вартість з бюджету. Також  зазначене дозволяє бізнесу прозоро планувати свої бізнес-процеси.</w:t>
      </w:r>
    </w:p>
    <w:p>
      <w:pPr>
        <w:widowControl w:val="0"/>
        <w:tabs>
          <w:tab w:val="left" w:pos="1110" w:leader="none"/>
        </w:tabs>
        <w:ind w:firstLine="566"/>
        <w:jc w:val="both"/>
        <w:rPr>
          <w:color w:val="000000"/>
          <w:sz w:val="28"/>
          <w:szCs w:val="28"/>
        </w:rPr>
      </w:pPr>
      <w:r>
        <w:rPr>
          <w:color w:val="000000"/>
          <w:sz w:val="28"/>
          <w:szCs w:val="28"/>
        </w:rPr>
        <w:t xml:space="preserve">Водночас існування схем мінімізації податкових зобов’язань з податку на додану вартість недоброчесними платниками податку за рахунок маніпуляції з показниками та ознаками, визначеними постановою № 1165, у разі відповідності яким подані для реєстрації в Реєстрі податкові накладні / розрахунки коригування не перевіряються на відповідність критеріям ризиковості платника податку та критеріям ризиковості здійснення операцій, може створити ризик несвоєчасного відшкодування податку на додану вартість платникам податку, які отримують такі  податкові накладні / розрахунки коригування від своїх контрагентів.</w:t>
      </w:r>
    </w:p>
    <w:p>
      <w:pPr>
        <w:widowControl w:val="0"/>
        <w:tabs>
          <w:tab w:val="left" w:pos="1110" w:leader="none"/>
        </w:tabs>
        <w:ind w:firstLine="566"/>
        <w:jc w:val="both"/>
        <w:rPr>
          <w:color w:val="000000"/>
          <w:sz w:val="28"/>
          <w:szCs w:val="28"/>
        </w:rPr>
      </w:pPr>
      <w:r>
        <w:rPr>
          <w:color w:val="000000"/>
          <w:sz w:val="28"/>
          <w:szCs w:val="28"/>
        </w:rPr>
        <w:t>Тому положення проекту акта спрямовано на недопущення мінімізації податкових зобов’язань з податку на додану вартість.</w:t>
      </w:r>
    </w:p>
    <w:p>
      <w:pPr>
        <w:widowControl w:val="0"/>
        <w:tabs>
          <w:tab w:val="left" w:pos="1110" w:leader="none"/>
        </w:tabs>
        <w:ind w:firstLine="566"/>
        <w:jc w:val="both"/>
        <w:rPr>
          <w:color w:val="000000"/>
          <w:sz w:val="28"/>
          <w:szCs w:val="28"/>
        </w:rPr>
      </w:pPr>
      <w:r>
        <w:rPr>
          <w:color w:val="000000"/>
          <w:sz w:val="28"/>
          <w:szCs w:val="28"/>
        </w:rPr>
        <w:t xml:space="preserve">Зокрема, проектом акта пропонується виключити можливість безумовної реєстрації розрахунків коригування, в яких передбачається зменшення суми компенсації вартості хоча б одного з товарів/послуг їх постачальнику,  доповнити вимогою щодо зупинення реєстрації податкової накладної / розрахунку коригування платника податку у разі, якщо такий платник відповідає хоча б одному критерію ризиковості платника податку, визначення підстав для комісії контролюючого органу щодо скасування рішення про врахування таблиці даних платника податку на додану вартість та обмеження для застосування критерію ризиковості здійснення операцій, визначеного пунктом 1 додатку 3 до Порядку зупинення, що полягає у порівнянні обсягу постачання товарів, зазначеного в податковій накладній / розрахунку коригування, з розрахунковим залишком таких товарів на складі. </w:t>
      </w:r>
    </w:p>
    <w:p>
      <w:pPr>
        <w:widowControl w:val="0"/>
        <w:tabs>
          <w:tab w:val="left" w:pos="1110" w:leader="none"/>
        </w:tabs>
        <w:ind w:firstLine="566"/>
        <w:jc w:val="both"/>
        <w:rPr>
          <w:color w:val="000000"/>
          <w:sz w:val="28"/>
          <w:szCs w:val="28"/>
        </w:rPr>
      </w:pPr>
      <w:r>
        <w:rPr>
          <w:color w:val="000000"/>
          <w:sz w:val="28"/>
          <w:szCs w:val="28"/>
        </w:rPr>
        <w:t>Також положення проекту акта спрямовано на ліквідацію непорозумінь між платниками податку та контролюючими органами, зокрема пропонується виключити умову про переважання в залишку (більше 50 відсотків) груп товарів (продукції), визначених ДПС та затверджених відповідним наказом.</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ind w:firstLine="567"/>
        <w:jc w:val="both"/>
        <w:rPr>
          <w:color w:val="000000"/>
          <w:sz w:val="8"/>
          <w:szCs w:val="8"/>
        </w:rPr>
      </w:pP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ind w:firstLine="567"/>
        <w:jc w:val="both"/>
        <w:rPr>
          <w:color w:val="000000"/>
          <w:sz w:val="28"/>
          <w:szCs w:val="28"/>
        </w:rPr>
      </w:pPr>
      <w:r>
        <w:rPr>
          <w:color w:val="000000"/>
          <w:sz w:val="28"/>
          <w:szCs w:val="28"/>
        </w:rPr>
        <w:t>Основні групи (підгрупи), на які проблема справляє вплив:</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ind w:firstLine="567"/>
        <w:jc w:val="both"/>
        <w:rPr>
          <w:color w:val="000000"/>
          <w:sz w:val="4"/>
          <w:szCs w:val="4"/>
        </w:rPr>
      </w:pPr>
    </w:p>
    <w:tbl>
      <w:tblPr>
        <w:tblStyle w:val="T4"/>
        <w:tblW w:w="9639" w:type="dxa"/>
        <w:tblInd w:w="89" w:type="dxa"/>
        <w:tblBorders>
          <w:top w:val="single" w:sz="6" w:space="0" w:shadow="0" w:frame="0" w:color="000000"/>
          <w:left w:val="single" w:sz="6" w:space="0" w:shadow="0" w:frame="0" w:color="000000"/>
          <w:bottom w:val="single" w:sz="6" w:space="0" w:shadow="0" w:frame="0" w:color="000000"/>
          <w:right w:val="single" w:sz="6" w:space="0" w:shadow="0" w:frame="0" w:color="000000"/>
          <w:insideH w:val="none" w:sz="0" w:space="0" w:shadow="0" w:frame="0" w:color="000000"/>
          <w:insideV w:val="none" w:sz="0" w:space="0" w:shadow="0" w:frame="0" w:color="000000"/>
        </w:tblBorders>
        <w:tblLayout w:type="fixed"/>
        <w:tblLook w:val="0000"/>
      </w:tblPr>
      <w:tblGrid/>
      <w:tr>
        <w:tc>
          <w:tcPr>
            <w:tcW w:w="4404" w:type="dxa"/>
            <w:tcBorders>
              <w:top w:val="single" w:sz="6" w:space="0" w:shadow="0" w:frame="0" w:color="000000"/>
              <w:left w:val="single" w:sz="6" w:space="0" w:shadow="0" w:frame="0" w:color="000000"/>
              <w:bottom w:val="single" w:sz="6" w:space="0" w:shadow="0" w:frame="0" w:color="000000"/>
              <w:right w:val="single" w:sz="6" w:space="0" w:shadow="0" w:frame="0" w:color="000000"/>
            </w:tcBorders>
          </w:tcPr>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jc w:val="center"/>
              <w:rPr>
                <w:color w:val="000000"/>
                <w:sz w:val="24"/>
                <w:szCs w:val="24"/>
              </w:rPr>
            </w:pPr>
            <w:r>
              <w:rPr>
                <w:color w:val="000000"/>
                <w:sz w:val="24"/>
                <w:szCs w:val="24"/>
              </w:rPr>
              <w:t>Групи (підгрупи)</w:t>
            </w:r>
          </w:p>
        </w:tc>
        <w:tc>
          <w:tcPr>
            <w:tcW w:w="2839" w:type="dxa"/>
            <w:tcBorders>
              <w:top w:val="single" w:sz="6" w:space="0" w:shadow="0" w:frame="0" w:color="000000"/>
              <w:left w:val="single" w:sz="6" w:space="0" w:shadow="0" w:frame="0" w:color="000000"/>
              <w:bottom w:val="single" w:sz="6" w:space="0" w:shadow="0" w:frame="0" w:color="000000"/>
              <w:right w:val="single" w:sz="6" w:space="0" w:shadow="0" w:frame="0" w:color="000000"/>
            </w:tcBorders>
          </w:tcPr>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jc w:val="center"/>
              <w:rPr>
                <w:color w:val="000000"/>
                <w:sz w:val="24"/>
                <w:szCs w:val="24"/>
              </w:rPr>
            </w:pPr>
            <w:r>
              <w:rPr>
                <w:color w:val="000000"/>
                <w:sz w:val="24"/>
                <w:szCs w:val="24"/>
              </w:rPr>
              <w:t>Так</w:t>
            </w:r>
          </w:p>
        </w:tc>
        <w:tc>
          <w:tcPr>
            <w:tcW w:w="2396" w:type="dxa"/>
            <w:tcBorders>
              <w:top w:val="single" w:sz="6" w:space="0" w:shadow="0" w:frame="0" w:color="000000"/>
              <w:left w:val="single" w:sz="6" w:space="0" w:shadow="0" w:frame="0" w:color="000000"/>
              <w:bottom w:val="single" w:sz="6" w:space="0" w:shadow="0" w:frame="0" w:color="000000"/>
              <w:right w:val="single" w:sz="6" w:space="0" w:shadow="0" w:frame="0" w:color="000000"/>
            </w:tcBorders>
          </w:tcPr>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jc w:val="center"/>
              <w:rPr>
                <w:color w:val="000000"/>
                <w:sz w:val="24"/>
                <w:szCs w:val="24"/>
              </w:rPr>
            </w:pPr>
            <w:r>
              <w:rPr>
                <w:color w:val="000000"/>
                <w:sz w:val="24"/>
                <w:szCs w:val="24"/>
              </w:rPr>
              <w:t>Ні</w:t>
            </w:r>
          </w:p>
        </w:tc>
      </w:tr>
      <w:tr>
        <w:tc>
          <w:tcPr>
            <w:tcW w:w="4404" w:type="dxa"/>
            <w:tcBorders>
              <w:top w:val="single" w:sz="6" w:space="0" w:shadow="0" w:frame="0" w:color="000000"/>
              <w:left w:val="single" w:sz="6" w:space="0" w:shadow="0" w:frame="0" w:color="000000"/>
              <w:bottom w:val="single" w:sz="6" w:space="0" w:shadow="0" w:frame="0" w:color="000000"/>
              <w:right w:val="single" w:sz="6" w:space="0" w:shadow="0" w:frame="0" w:color="000000"/>
            </w:tcBorders>
          </w:tcPr>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rPr>
                <w:color w:val="000000"/>
                <w:sz w:val="24"/>
                <w:szCs w:val="24"/>
              </w:rPr>
            </w:pPr>
            <w:r>
              <w:rPr>
                <w:color w:val="000000"/>
                <w:sz w:val="24"/>
                <w:szCs w:val="24"/>
              </w:rPr>
              <w:t>Громадяни</w:t>
            </w:r>
          </w:p>
        </w:tc>
        <w:tc>
          <w:tcPr>
            <w:tcW w:w="2839" w:type="dxa"/>
            <w:tcBorders>
              <w:top w:val="single" w:sz="6" w:space="0" w:shadow="0" w:frame="0" w:color="000000"/>
              <w:left w:val="single" w:sz="6" w:space="0" w:shadow="0" w:frame="0" w:color="000000"/>
              <w:bottom w:val="single" w:sz="6" w:space="0" w:shadow="0" w:frame="0" w:color="000000"/>
              <w:right w:val="single" w:sz="6" w:space="0" w:shadow="0" w:frame="0" w:color="000000"/>
            </w:tcBorders>
            <w:vAlign w:val="center"/>
          </w:tcPr>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jc w:val="center"/>
              <w:rPr>
                <w:color w:val="000000"/>
                <w:sz w:val="24"/>
                <w:szCs w:val="24"/>
              </w:rPr>
            </w:pPr>
            <w:r>
              <w:rPr>
                <w:color w:val="000000"/>
                <w:sz w:val="24"/>
                <w:szCs w:val="24"/>
              </w:rPr>
              <w:t>–</w:t>
            </w:r>
          </w:p>
        </w:tc>
        <w:tc>
          <w:tcPr>
            <w:tcW w:w="2396" w:type="dxa"/>
            <w:tcBorders>
              <w:top w:val="single" w:sz="6" w:space="0" w:shadow="0" w:frame="0" w:color="000000"/>
              <w:left w:val="single" w:sz="6" w:space="0" w:shadow="0" w:frame="0" w:color="000000"/>
              <w:bottom w:val="single" w:sz="6" w:space="0" w:shadow="0" w:frame="0" w:color="000000"/>
              <w:right w:val="single" w:sz="6" w:space="0" w:shadow="0" w:frame="0" w:color="000000"/>
            </w:tcBorders>
          </w:tcPr>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jc w:val="center"/>
              <w:rPr>
                <w:color w:val="000000"/>
                <w:sz w:val="24"/>
                <w:szCs w:val="24"/>
              </w:rPr>
            </w:pPr>
            <w:r>
              <w:rPr>
                <w:color w:val="000000"/>
                <w:sz w:val="24"/>
                <w:szCs w:val="24"/>
              </w:rPr>
              <w:t>+</w:t>
            </w:r>
          </w:p>
        </w:tc>
      </w:tr>
      <w:tr>
        <w:tc>
          <w:tcPr>
            <w:tcW w:w="4404" w:type="dxa"/>
            <w:tcBorders>
              <w:top w:val="single" w:sz="6" w:space="0" w:shadow="0" w:frame="0" w:color="000000"/>
              <w:left w:val="single" w:sz="6" w:space="0" w:shadow="0" w:frame="0" w:color="000000"/>
              <w:bottom w:val="single" w:sz="6" w:space="0" w:shadow="0" w:frame="0" w:color="000000"/>
              <w:right w:val="single" w:sz="6" w:space="0" w:shadow="0" w:frame="0" w:color="000000"/>
            </w:tcBorders>
          </w:tcPr>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rPr>
                <w:color w:val="000000"/>
                <w:sz w:val="24"/>
                <w:szCs w:val="24"/>
              </w:rPr>
            </w:pPr>
            <w:r>
              <w:rPr>
                <w:color w:val="000000"/>
                <w:sz w:val="24"/>
                <w:szCs w:val="24"/>
              </w:rPr>
              <w:t>Держава</w:t>
            </w:r>
          </w:p>
        </w:tc>
        <w:tc>
          <w:tcPr>
            <w:tcW w:w="2839" w:type="dxa"/>
            <w:tcBorders>
              <w:top w:val="single" w:sz="6" w:space="0" w:shadow="0" w:frame="0" w:color="000000"/>
              <w:left w:val="single" w:sz="6" w:space="0" w:shadow="0" w:frame="0" w:color="000000"/>
              <w:bottom w:val="single" w:sz="6" w:space="0" w:shadow="0" w:frame="0" w:color="000000"/>
              <w:right w:val="single" w:sz="6" w:space="0" w:shadow="0" w:frame="0" w:color="000000"/>
            </w:tcBorders>
            <w:vAlign w:val="center"/>
          </w:tcPr>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jc w:val="center"/>
              <w:rPr>
                <w:color w:val="000000"/>
                <w:sz w:val="24"/>
                <w:szCs w:val="24"/>
              </w:rPr>
            </w:pPr>
            <w:r>
              <w:rPr>
                <w:color w:val="000000"/>
                <w:sz w:val="24"/>
                <w:szCs w:val="24"/>
              </w:rPr>
              <w:t>+</w:t>
            </w:r>
          </w:p>
        </w:tc>
        <w:tc>
          <w:tcPr>
            <w:tcW w:w="2396" w:type="dxa"/>
            <w:tcBorders>
              <w:top w:val="single" w:sz="6" w:space="0" w:shadow="0" w:frame="0" w:color="000000"/>
              <w:left w:val="single" w:sz="6" w:space="0" w:shadow="0" w:frame="0" w:color="000000"/>
              <w:bottom w:val="single" w:sz="6" w:space="0" w:shadow="0" w:frame="0" w:color="000000"/>
              <w:right w:val="single" w:sz="6" w:space="0" w:shadow="0" w:frame="0" w:color="000000"/>
            </w:tcBorders>
          </w:tcPr>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jc w:val="center"/>
              <w:rPr>
                <w:color w:val="000000"/>
                <w:sz w:val="24"/>
                <w:szCs w:val="24"/>
              </w:rPr>
            </w:pPr>
            <w:r>
              <w:rPr>
                <w:color w:val="000000"/>
                <w:sz w:val="24"/>
                <w:szCs w:val="24"/>
              </w:rPr>
              <w:t>–</w:t>
            </w:r>
          </w:p>
        </w:tc>
      </w:tr>
      <w:tr>
        <w:tc>
          <w:tcPr>
            <w:tcW w:w="4404" w:type="dxa"/>
            <w:tcBorders>
              <w:top w:val="single" w:sz="6" w:space="0" w:shadow="0" w:frame="0" w:color="000000"/>
              <w:left w:val="single" w:sz="6" w:space="0" w:shadow="0" w:frame="0" w:color="000000"/>
              <w:bottom w:val="single" w:sz="6" w:space="0" w:shadow="0" w:frame="0" w:color="000000"/>
              <w:right w:val="single" w:sz="6" w:space="0" w:shadow="0" w:frame="0" w:color="000000"/>
            </w:tcBorders>
          </w:tcPr>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rPr>
                <w:color w:val="000000"/>
                <w:sz w:val="24"/>
                <w:szCs w:val="24"/>
              </w:rPr>
            </w:pPr>
            <w:r>
              <w:rPr>
                <w:color w:val="000000"/>
                <w:sz w:val="24"/>
                <w:szCs w:val="24"/>
              </w:rPr>
              <w:t>Суб’єкти господарювання,</w:t>
            </w:r>
          </w:p>
        </w:tc>
        <w:tc>
          <w:tcPr>
            <w:tcW w:w="2839" w:type="dxa"/>
            <w:tcBorders>
              <w:top w:val="single" w:sz="6" w:space="0" w:shadow="0" w:frame="0" w:color="000000"/>
              <w:left w:val="single" w:sz="6" w:space="0" w:shadow="0" w:frame="0" w:color="000000"/>
              <w:bottom w:val="single" w:sz="6" w:space="0" w:shadow="0" w:frame="0" w:color="000000"/>
              <w:right w:val="single" w:sz="6" w:space="0" w:shadow="0" w:frame="0" w:color="000000"/>
            </w:tcBorders>
            <w:vAlign w:val="center"/>
          </w:tcPr>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jc w:val="center"/>
              <w:rPr>
                <w:color w:val="000000"/>
                <w:sz w:val="24"/>
                <w:szCs w:val="24"/>
              </w:rPr>
            </w:pPr>
            <w:r>
              <w:rPr>
                <w:color w:val="000000"/>
                <w:sz w:val="24"/>
                <w:szCs w:val="24"/>
              </w:rPr>
              <w:t>+</w:t>
            </w:r>
          </w:p>
        </w:tc>
        <w:tc>
          <w:tcPr>
            <w:tcW w:w="2396" w:type="dxa"/>
            <w:tcBorders>
              <w:top w:val="single" w:sz="6" w:space="0" w:shadow="0" w:frame="0" w:color="000000"/>
              <w:left w:val="single" w:sz="6" w:space="0" w:shadow="0" w:frame="0" w:color="000000"/>
              <w:bottom w:val="single" w:sz="6" w:space="0" w:shadow="0" w:frame="0" w:color="000000"/>
              <w:right w:val="single" w:sz="6" w:space="0" w:shadow="0" w:frame="0" w:color="000000"/>
            </w:tcBorders>
          </w:tcPr>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jc w:val="center"/>
              <w:rPr>
                <w:color w:val="000000"/>
                <w:sz w:val="24"/>
                <w:szCs w:val="24"/>
              </w:rPr>
            </w:pPr>
            <w:r>
              <w:rPr>
                <w:color w:val="000000"/>
                <w:sz w:val="24"/>
                <w:szCs w:val="24"/>
              </w:rPr>
              <w:t>–</w:t>
            </w:r>
          </w:p>
        </w:tc>
      </w:tr>
      <w:tr>
        <w:tc>
          <w:tcPr>
            <w:tcW w:w="4404" w:type="dxa"/>
            <w:tcBorders>
              <w:top w:val="single" w:sz="6" w:space="0" w:shadow="0" w:frame="0" w:color="000000"/>
              <w:left w:val="single" w:sz="6" w:space="0" w:shadow="0" w:frame="0" w:color="000000"/>
              <w:bottom w:val="single" w:sz="6" w:space="0" w:shadow="0" w:frame="0" w:color="000000"/>
              <w:right w:val="single" w:sz="6" w:space="0" w:shadow="0" w:frame="0" w:color="000000"/>
            </w:tcBorders>
          </w:tcPr>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rPr>
                <w:color w:val="000000"/>
                <w:sz w:val="24"/>
                <w:szCs w:val="24"/>
              </w:rPr>
            </w:pPr>
            <w:r>
              <w:rPr>
                <w:color w:val="000000"/>
                <w:sz w:val="24"/>
                <w:szCs w:val="24"/>
              </w:rPr>
              <w:t>у тому числі суб’єкти малого підприємництва</w:t>
            </w:r>
          </w:p>
        </w:tc>
        <w:tc>
          <w:tcPr>
            <w:tcW w:w="2839" w:type="dxa"/>
            <w:tcBorders>
              <w:top w:val="single" w:sz="6" w:space="0" w:shadow="0" w:frame="0" w:color="000000"/>
              <w:left w:val="single" w:sz="6" w:space="0" w:shadow="0" w:frame="0" w:color="000000"/>
              <w:bottom w:val="single" w:sz="6" w:space="0" w:shadow="0" w:frame="0" w:color="000000"/>
              <w:right w:val="single" w:sz="6" w:space="0" w:shadow="0" w:frame="0" w:color="000000"/>
            </w:tcBorders>
            <w:vAlign w:val="center"/>
          </w:tcPr>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jc w:val="center"/>
              <w:rPr>
                <w:color w:val="000000"/>
                <w:sz w:val="24"/>
                <w:szCs w:val="24"/>
              </w:rPr>
            </w:pPr>
            <w:r>
              <w:rPr>
                <w:color w:val="000000"/>
                <w:sz w:val="24"/>
                <w:szCs w:val="24"/>
              </w:rPr>
              <w:t>–</w:t>
            </w:r>
          </w:p>
        </w:tc>
        <w:tc>
          <w:tcPr>
            <w:tcW w:w="2396" w:type="dxa"/>
            <w:tcBorders>
              <w:top w:val="single" w:sz="6" w:space="0" w:shadow="0" w:frame="0" w:color="000000"/>
              <w:left w:val="single" w:sz="6" w:space="0" w:shadow="0" w:frame="0" w:color="000000"/>
              <w:bottom w:val="single" w:sz="6" w:space="0" w:shadow="0" w:frame="0" w:color="000000"/>
              <w:right w:val="single" w:sz="6" w:space="0" w:shadow="0" w:frame="0" w:color="000000"/>
            </w:tcBorders>
            <w:vAlign w:val="center"/>
          </w:tcPr>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jc w:val="center"/>
              <w:rPr>
                <w:color w:val="000000"/>
                <w:sz w:val="24"/>
                <w:szCs w:val="24"/>
              </w:rPr>
            </w:pPr>
            <w:r>
              <w:rPr>
                <w:color w:val="000000"/>
                <w:sz w:val="24"/>
                <w:szCs w:val="24"/>
              </w:rPr>
              <w:t>+</w:t>
            </w:r>
          </w:p>
        </w:tc>
      </w:tr>
    </w:tbl>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jc w:val="both"/>
        <w:rPr>
          <w:color w:val="000000"/>
          <w:sz w:val="6"/>
          <w:szCs w:val="6"/>
        </w:rPr>
      </w:pPr>
    </w:p>
    <w:p>
      <w:pPr>
        <w:ind w:firstLine="567"/>
        <w:jc w:val="both"/>
        <w:rPr>
          <w:color w:val="000000"/>
          <w:sz w:val="28"/>
          <w:szCs w:val="28"/>
        </w:rPr>
      </w:pPr>
      <w:r>
        <w:rPr>
          <w:color w:val="000000"/>
          <w:sz w:val="28"/>
          <w:szCs w:val="28"/>
        </w:rPr>
        <w:t>Урегулювання зазначених питань у частині оподаткування податком на додану вартість не може бути здійснено за допомогою:</w:t>
      </w:r>
    </w:p>
    <w:p>
      <w:pPr>
        <w:ind w:firstLine="567"/>
        <w:jc w:val="both"/>
        <w:rPr>
          <w:color w:val="000000"/>
          <w:sz w:val="28"/>
          <w:szCs w:val="28"/>
        </w:rPr>
      </w:pPr>
      <w:r>
        <w:rPr>
          <w:color w:val="000000"/>
          <w:sz w:val="28"/>
          <w:szCs w:val="28"/>
        </w:rPr>
        <w:t>ринкових механізмів, оскільки такі питання регулюються виключно нормативно-правовими актами;</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ind w:firstLine="567"/>
        <w:jc w:val="both"/>
        <w:rPr>
          <w:color w:val="000000"/>
          <w:sz w:val="28"/>
          <w:szCs w:val="28"/>
        </w:rPr>
      </w:pPr>
      <w:r>
        <w:rPr>
          <w:color w:val="000000"/>
          <w:sz w:val="28"/>
          <w:szCs w:val="28"/>
        </w:rPr>
        <w:t>ч</w:t>
      </w:r>
      <w:r>
        <w:rPr>
          <w:color w:val="000000"/>
          <w:sz w:val="28"/>
          <w:szCs w:val="28"/>
        </w:rPr>
        <w:t xml:space="preserve">инних регуляторних актів, оскільки постанова № 1165 є єдиним документом, який затверджено на виконання вимог пункту 201.16 статті 201 </w:t>
      </w:r>
      <w:r>
        <w:rPr>
          <w:smallCaps w:val="0"/>
          <w:color w:val="000000"/>
          <w:sz w:val="28"/>
          <w:szCs w:val="22"/>
          <w:cs w:val="0"/>
          <w:spacing w:val="0"/>
          <w:w w:val="100"/>
          <w:position w:val="0"/>
          <w:snapToGrid w:val="1"/>
        </w:rPr>
        <w:t>Податкового к</w:t>
      </w:r>
      <w:r>
        <w:rPr>
          <w:color w:val="000000"/>
          <w:sz w:val="28"/>
          <w:szCs w:val="28"/>
        </w:rPr>
        <w:t>одексу</w:t>
      </w:r>
      <w:r>
        <w:rPr>
          <w:smallCaps w:val="0"/>
          <w:color w:val="000000"/>
          <w:sz w:val="28"/>
          <w:szCs w:val="22"/>
          <w:cs w:val="0"/>
          <w:spacing w:val="0"/>
          <w:w w:val="100"/>
          <w:position w:val="0"/>
          <w:snapToGrid w:val="1"/>
        </w:rPr>
        <w:t xml:space="preserve"> України (далі</w:t>
      </w:r>
      <w:r>
        <w:rPr>
          <w:smallCaps w:val="0"/>
          <w:color w:val="000000"/>
          <w:sz w:val="28"/>
          <w:szCs w:val="22"/>
          <w:cs w:val="0"/>
          <w:spacing w:val="0"/>
          <w:w w:val="100"/>
          <w:position w:val="0"/>
          <w:snapToGrid w:val="1"/>
        </w:rPr>
        <w:t xml:space="preserve"> – </w:t>
      </w:r>
      <w:r>
        <w:rPr>
          <w:smallCaps w:val="0"/>
          <w:color w:val="000000"/>
          <w:sz w:val="28"/>
          <w:szCs w:val="22"/>
          <w:cs w:val="0"/>
          <w:spacing w:val="0"/>
          <w:w w:val="100"/>
          <w:position w:val="0"/>
          <w:snapToGrid w:val="1"/>
        </w:rPr>
        <w:t>Кодекс)</w:t>
      </w:r>
      <w:r>
        <w:rPr>
          <w:color w:val="000000"/>
          <w:sz w:val="28"/>
          <w:szCs w:val="28"/>
        </w:rPr>
        <w:t>.</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spacing w:before="240" w:beforeAutospacing="0" w:afterAutospacing="0"/>
        <w:jc w:val="center"/>
        <w:rPr>
          <w:b w:val="1"/>
          <w:color w:val="000000"/>
          <w:sz w:val="28"/>
          <w:szCs w:val="28"/>
        </w:rPr>
      </w:pPr>
      <w:r>
        <w:rPr>
          <w:b w:val="1"/>
          <w:color w:val="000000"/>
          <w:sz w:val="28"/>
          <w:szCs w:val="28"/>
        </w:rPr>
        <w:t>II. Цілі державного регулювання</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ind w:firstLine="720"/>
        <w:jc w:val="both"/>
        <w:rPr>
          <w:color w:val="000000"/>
          <w:sz w:val="6"/>
          <w:szCs w:val="6"/>
        </w:rPr>
      </w:pP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ind w:firstLine="567"/>
        <w:jc w:val="both"/>
        <w:rPr>
          <w:color w:val="000000"/>
          <w:sz w:val="28"/>
          <w:szCs w:val="28"/>
          <w:highlight w:val="white"/>
        </w:rPr>
      </w:pPr>
      <w:r>
        <w:rPr>
          <w:color w:val="000000"/>
          <w:sz w:val="28"/>
          <w:szCs w:val="28"/>
          <w:highlight w:val="white"/>
        </w:rPr>
        <w:t>Ціллю прийняття проекту акта є внесення змін до Порядку зупинення.</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ind w:firstLine="567"/>
        <w:jc w:val="both"/>
        <w:rPr>
          <w:color w:val="000000"/>
          <w:sz w:val="28"/>
          <w:szCs w:val="28"/>
        </w:rPr>
      </w:pPr>
      <w:r>
        <w:rPr>
          <w:color w:val="000000"/>
          <w:sz w:val="28"/>
          <w:szCs w:val="28"/>
        </w:rPr>
        <w:t>Проект акта має сприяти розв’язанню проблеми, зазначеної у розділі І аналізу регуляторного впливу.</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ind w:firstLine="567"/>
        <w:jc w:val="center"/>
        <w:rPr>
          <w:b w:val="1"/>
          <w:color w:val="000000"/>
          <w:sz w:val="16"/>
          <w:szCs w:val="16"/>
        </w:rPr>
      </w:pP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ind w:firstLine="567"/>
        <w:jc w:val="center"/>
        <w:rPr>
          <w:b w:val="1"/>
          <w:color w:val="000000"/>
          <w:sz w:val="28"/>
          <w:szCs w:val="28"/>
        </w:rPr>
      </w:pPr>
      <w:r>
        <w:rPr>
          <w:b w:val="1"/>
          <w:color w:val="000000"/>
          <w:sz w:val="28"/>
          <w:szCs w:val="28"/>
        </w:rPr>
        <w:t>III. Визначення та оцінка альтернативних способів досягнення цілей</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ind w:firstLine="567"/>
        <w:jc w:val="both"/>
        <w:rPr>
          <w:color w:val="000000"/>
          <w:sz w:val="6"/>
          <w:szCs w:val="6"/>
        </w:rPr>
      </w:pP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ind w:firstLine="567"/>
        <w:jc w:val="both"/>
        <w:rPr>
          <w:color w:val="000000"/>
          <w:sz w:val="28"/>
          <w:szCs w:val="28"/>
        </w:rPr>
      </w:pPr>
      <w:r>
        <w:rPr>
          <w:color w:val="000000"/>
          <w:sz w:val="28"/>
          <w:szCs w:val="28"/>
        </w:rPr>
        <w:t>Необхідність у внесенні змін до Порядку зупинення зумовлено виявленням випадків маніпулювання платниками податку показниками та ознаками, визначеними постановою № 1165, у разі відповідності яким подані для реєстрації в Реєстрі податкові накладні / розрахунки коригування не перевіряються на відповідність критеріям ризиковості платника податку та критеріям ризиковості здійснення операцій.</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spacing w:before="120" w:beforeAutospacing="0" w:afterAutospacing="0"/>
        <w:ind w:left="927"/>
        <w:rPr>
          <w:color w:val="000000"/>
          <w:sz w:val="28"/>
          <w:szCs w:val="28"/>
        </w:rPr>
      </w:pPr>
      <w:r>
        <w:rPr>
          <w:color w:val="000000"/>
          <w:sz w:val="28"/>
          <w:szCs w:val="28"/>
        </w:rPr>
        <w:t>1. Альтернативні способи досягнення цілей державного регулювання</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spacing w:before="120" w:beforeAutospacing="0" w:afterAutospacing="0"/>
        <w:jc w:val="both"/>
        <w:rPr>
          <w:color w:val="000000"/>
          <w:sz w:val="6"/>
          <w:szCs w:val="6"/>
        </w:rPr>
      </w:pPr>
    </w:p>
    <w:tbl>
      <w:tblPr>
        <w:tblStyle w:val="T4"/>
        <w:tblW w:w="9728" w:type="dxa"/>
        <w:tblInd w:w="0" w:type="dxa"/>
        <w:tblBorders>
          <w:top w:val="single" w:sz="6" w:space="0" w:shadow="0" w:frame="0" w:color="000000"/>
          <w:left w:val="single" w:sz="6" w:space="0" w:shadow="0" w:frame="0" w:color="000000"/>
          <w:bottom w:val="single" w:sz="6" w:space="0" w:shadow="0" w:frame="0" w:color="000000"/>
          <w:right w:val="single" w:sz="6" w:space="0" w:shadow="0" w:frame="0" w:color="000000"/>
          <w:insideH w:val="single" w:sz="6" w:space="0" w:shadow="0" w:frame="0" w:color="000000"/>
          <w:insideV w:val="single" w:sz="6" w:space="0" w:shadow="0" w:frame="0" w:color="000000"/>
        </w:tblBorders>
        <w:tblLayout w:type="fixed"/>
        <w:tblLook w:val="0000"/>
      </w:tblPr>
      <w:tblGrid/>
      <w:tr>
        <w:tc>
          <w:tcPr>
            <w:tcW w:w="1924" w:type="dxa"/>
          </w:tcPr>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jc w:val="center"/>
              <w:rPr>
                <w:color w:val="000000"/>
                <w:sz w:val="24"/>
                <w:szCs w:val="24"/>
              </w:rPr>
            </w:pPr>
            <w:r>
              <w:rPr>
                <w:color w:val="000000"/>
                <w:sz w:val="24"/>
                <w:szCs w:val="24"/>
              </w:rPr>
              <w:t>Вид альтернативи</w:t>
            </w:r>
          </w:p>
        </w:tc>
        <w:tc>
          <w:tcPr>
            <w:tcW w:w="7804" w:type="dxa"/>
          </w:tcPr>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jc w:val="center"/>
              <w:rPr>
                <w:color w:val="000000"/>
                <w:sz w:val="24"/>
                <w:szCs w:val="24"/>
              </w:rPr>
            </w:pPr>
            <w:r>
              <w:rPr>
                <w:color w:val="000000"/>
                <w:sz w:val="24"/>
                <w:szCs w:val="24"/>
              </w:rPr>
              <w:t>Опис альтернативи</w:t>
            </w:r>
          </w:p>
        </w:tc>
      </w:tr>
      <w:tr>
        <w:tc>
          <w:tcPr>
            <w:tcW w:w="1924" w:type="dxa"/>
          </w:tcPr>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ind w:right="-68"/>
              <w:rPr>
                <w:color w:val="000000"/>
                <w:sz w:val="24"/>
                <w:szCs w:val="24"/>
              </w:rPr>
            </w:pPr>
            <w:r>
              <w:rPr>
                <w:color w:val="000000"/>
                <w:sz w:val="24"/>
                <w:szCs w:val="24"/>
              </w:rPr>
              <w:t>Альтернатива 1</w:t>
            </w:r>
          </w:p>
        </w:tc>
        <w:tc>
          <w:tcPr>
            <w:tcW w:w="7804" w:type="dxa"/>
          </w:tcPr>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ind w:firstLine="290"/>
              <w:jc w:val="both"/>
              <w:rPr>
                <w:color w:val="000000"/>
                <w:sz w:val="24"/>
                <w:szCs w:val="24"/>
              </w:rPr>
            </w:pPr>
            <w:r>
              <w:rPr>
                <w:color w:val="000000"/>
                <w:sz w:val="24"/>
                <w:szCs w:val="24"/>
              </w:rPr>
              <w:t>Затвердити зміни до Порядку зупинення</w:t>
            </w:r>
          </w:p>
        </w:tc>
      </w:tr>
      <w:tr>
        <w:tc>
          <w:tcPr>
            <w:tcW w:w="1924" w:type="dxa"/>
          </w:tcPr>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ind w:right="-67"/>
              <w:rPr>
                <w:color w:val="000000"/>
                <w:sz w:val="24"/>
                <w:szCs w:val="24"/>
              </w:rPr>
            </w:pPr>
            <w:r>
              <w:rPr>
                <w:color w:val="000000"/>
                <w:sz w:val="24"/>
                <w:szCs w:val="24"/>
              </w:rPr>
              <w:t>Альтернатива 2</w:t>
            </w:r>
          </w:p>
        </w:tc>
        <w:tc>
          <w:tcPr>
            <w:tcW w:w="7804" w:type="dxa"/>
          </w:tcPr>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ind w:firstLine="290"/>
              <w:jc w:val="both"/>
              <w:rPr>
                <w:color w:val="000000"/>
                <w:sz w:val="24"/>
                <w:szCs w:val="24"/>
              </w:rPr>
            </w:pPr>
            <w:r>
              <w:rPr>
                <w:color w:val="000000"/>
                <w:sz w:val="24"/>
                <w:szCs w:val="24"/>
              </w:rPr>
              <w:t>Не затверджувати зміни до Порядку зупинення</w:t>
            </w:r>
          </w:p>
        </w:tc>
      </w:tr>
    </w:tbl>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spacing w:before="240" w:after="60" w:beforeAutospacing="0" w:afterAutospacing="0"/>
        <w:jc w:val="center"/>
        <w:rPr>
          <w:color w:val="000000"/>
          <w:sz w:val="28"/>
          <w:szCs w:val="28"/>
        </w:rPr>
      </w:pPr>
      <w:r>
        <w:rPr>
          <w:color w:val="000000"/>
          <w:sz w:val="28"/>
          <w:szCs w:val="28"/>
        </w:rPr>
        <w:t>2. Оцінка впливу на сферу інтересів держави</w:t>
      </w:r>
    </w:p>
    <w:tbl>
      <w:tblPr>
        <w:tblStyle w:val="T4"/>
        <w:tblW w:w="9728" w:type="dxa"/>
        <w:tblInd w:w="0" w:type="dxa"/>
        <w:tblBorders>
          <w:top w:val="single" w:sz="6" w:space="0" w:shadow="0" w:frame="0" w:color="000000"/>
          <w:left w:val="single" w:sz="6" w:space="0" w:shadow="0" w:frame="0" w:color="000000"/>
          <w:bottom w:val="single" w:sz="6" w:space="0" w:shadow="0" w:frame="0" w:color="000000"/>
          <w:right w:val="single" w:sz="6" w:space="0" w:shadow="0" w:frame="0" w:color="000000"/>
          <w:insideH w:val="none" w:sz="0" w:space="0" w:shadow="0" w:frame="0" w:color="000000"/>
          <w:insideV w:val="none" w:sz="0" w:space="0" w:shadow="0" w:frame="0" w:color="000000"/>
        </w:tblBorders>
        <w:tblLayout w:type="fixed"/>
        <w:tblLook w:val="0000"/>
      </w:tblPr>
      <w:tblGrid/>
      <w:tr>
        <w:tc>
          <w:tcPr>
            <w:tcW w:w="1914" w:type="dxa"/>
            <w:tcBorders>
              <w:top w:val="single" w:sz="6" w:space="0" w:shadow="0" w:frame="0" w:color="000000"/>
              <w:left w:val="single" w:sz="6" w:space="0" w:shadow="0" w:frame="0" w:color="000000"/>
              <w:bottom w:val="single" w:sz="6" w:space="0" w:shadow="0" w:frame="0" w:color="000000"/>
              <w:right w:val="single" w:sz="6" w:space="0" w:shadow="0" w:frame="0" w:color="000000"/>
            </w:tcBorders>
          </w:tcPr>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jc w:val="center"/>
              <w:rPr>
                <w:color w:val="000000"/>
                <w:sz w:val="24"/>
                <w:szCs w:val="24"/>
              </w:rPr>
            </w:pPr>
            <w:r>
              <w:rPr>
                <w:color w:val="000000"/>
                <w:sz w:val="24"/>
                <w:szCs w:val="24"/>
              </w:rPr>
              <w:t>Вид альтернативи</w:t>
            </w:r>
          </w:p>
        </w:tc>
        <w:tc>
          <w:tcPr>
            <w:tcW w:w="3988" w:type="dxa"/>
            <w:tcBorders>
              <w:top w:val="single" w:sz="6" w:space="0" w:shadow="0" w:frame="0" w:color="000000"/>
              <w:left w:val="single" w:sz="6" w:space="0" w:shadow="0" w:frame="0" w:color="000000"/>
              <w:bottom w:val="single" w:sz="6" w:space="0" w:shadow="0" w:frame="0" w:color="000000"/>
              <w:right w:val="single" w:sz="6" w:space="0" w:shadow="0" w:frame="0" w:color="000000"/>
            </w:tcBorders>
          </w:tcPr>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jc w:val="center"/>
              <w:rPr>
                <w:color w:val="000000"/>
                <w:sz w:val="24"/>
                <w:szCs w:val="24"/>
              </w:rPr>
            </w:pPr>
            <w:r>
              <w:rPr>
                <w:color w:val="000000"/>
                <w:sz w:val="24"/>
                <w:szCs w:val="24"/>
              </w:rPr>
              <w:t>Вигоди</w:t>
            </w:r>
          </w:p>
        </w:tc>
        <w:tc>
          <w:tcPr>
            <w:tcW w:w="3826" w:type="dxa"/>
            <w:tcBorders>
              <w:top w:val="single" w:sz="6" w:space="0" w:shadow="0" w:frame="0" w:color="000000"/>
              <w:left w:val="single" w:sz="6" w:space="0" w:shadow="0" w:frame="0" w:color="000000"/>
              <w:bottom w:val="single" w:sz="6" w:space="0" w:shadow="0" w:frame="0" w:color="000000"/>
              <w:right w:val="single" w:sz="6" w:space="0" w:shadow="0" w:frame="0" w:color="000000"/>
            </w:tcBorders>
          </w:tcPr>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jc w:val="center"/>
              <w:rPr>
                <w:color w:val="000000"/>
                <w:sz w:val="24"/>
                <w:szCs w:val="24"/>
              </w:rPr>
            </w:pPr>
            <w:r>
              <w:rPr>
                <w:color w:val="000000"/>
                <w:sz w:val="24"/>
                <w:szCs w:val="24"/>
              </w:rPr>
              <w:t>Витрати</w:t>
            </w:r>
          </w:p>
        </w:tc>
      </w:tr>
      <w:tr>
        <w:tc>
          <w:tcPr>
            <w:tcW w:w="1914" w:type="dxa"/>
            <w:tcBorders>
              <w:top w:val="single" w:sz="6" w:space="0" w:shadow="0" w:frame="0" w:color="000000"/>
              <w:left w:val="single" w:sz="6" w:space="0" w:shadow="0" w:frame="0" w:color="000000"/>
              <w:bottom w:val="single" w:sz="6" w:space="0" w:shadow="0" w:frame="0" w:color="000000"/>
              <w:right w:val="single" w:sz="6" w:space="0" w:shadow="0" w:frame="0" w:color="000000"/>
            </w:tcBorders>
          </w:tcPr>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rPr>
                <w:color w:val="000000"/>
                <w:sz w:val="24"/>
                <w:szCs w:val="24"/>
              </w:rPr>
            </w:pPr>
            <w:r>
              <w:rPr>
                <w:color w:val="000000"/>
                <w:sz w:val="24"/>
                <w:szCs w:val="24"/>
              </w:rPr>
              <w:t>Альтернатива 1</w:t>
            </w:r>
          </w:p>
        </w:tc>
        <w:tc>
          <w:tcPr>
            <w:tcW w:w="3988" w:type="dxa"/>
            <w:tcBorders>
              <w:top w:val="single" w:sz="6" w:space="0" w:shadow="0" w:frame="0" w:color="000000"/>
              <w:left w:val="single" w:sz="6" w:space="0" w:shadow="0" w:frame="0" w:color="000000"/>
              <w:bottom w:val="single" w:sz="6" w:space="0" w:shadow="0" w:frame="0" w:color="000000"/>
              <w:right w:val="single" w:sz="6" w:space="0" w:shadow="0" w:frame="0" w:color="000000"/>
            </w:tcBorders>
          </w:tcPr>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ind w:firstLine="295"/>
              <w:jc w:val="both"/>
              <w:rPr>
                <w:color w:val="000000"/>
                <w:sz w:val="24"/>
                <w:szCs w:val="24"/>
              </w:rPr>
            </w:pPr>
            <w:r>
              <w:rPr>
                <w:color w:val="000000"/>
                <w:sz w:val="24"/>
                <w:szCs w:val="24"/>
              </w:rPr>
              <w:t>1. Підвищення ефективності запобіганню порушень платниками податкового законодавства з податку на додану вартість шляхом удосконалення СМКОР, передбаченого постановою № 1165.</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ind w:firstLine="295"/>
              <w:jc w:val="both"/>
              <w:rPr>
                <w:color w:val="000000"/>
                <w:sz w:val="24"/>
                <w:szCs w:val="24"/>
              </w:rPr>
            </w:pPr>
            <w:r>
              <w:rPr>
                <w:color w:val="000000"/>
                <w:sz w:val="24"/>
                <w:szCs w:val="24"/>
              </w:rPr>
              <w:t>2. Запобігання втрат бюджету.</w:t>
            </w:r>
          </w:p>
        </w:tc>
        <w:tc>
          <w:tcPr>
            <w:tcW w:w="3826" w:type="dxa"/>
            <w:tcBorders>
              <w:top w:val="single" w:sz="6" w:space="0" w:shadow="0" w:frame="0" w:color="000000"/>
              <w:left w:val="single" w:sz="6" w:space="0" w:shadow="0" w:frame="0" w:color="000000"/>
              <w:bottom w:val="single" w:sz="6" w:space="0" w:shadow="0" w:frame="0" w:color="000000"/>
              <w:right w:val="single" w:sz="6" w:space="0" w:shadow="0" w:frame="0" w:color="000000"/>
            </w:tcBorders>
          </w:tcPr>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ind w:firstLine="284"/>
              <w:jc w:val="both"/>
              <w:rPr>
                <w:color w:val="000000"/>
                <w:sz w:val="24"/>
                <w:szCs w:val="24"/>
              </w:rPr>
            </w:pPr>
            <w:r>
              <w:rPr>
                <w:color w:val="000000"/>
                <w:sz w:val="24"/>
                <w:szCs w:val="24"/>
              </w:rPr>
              <w:t>Витрати ДПС пов’язані з внесенням змін до СМКОР у зв’язку з розробкою та впровадженням відповідного програмного забезпечення відбуватимуться в межах фінансування ДПС та без залучення додаткових кадрів</w:t>
            </w:r>
          </w:p>
        </w:tc>
      </w:tr>
      <w:tr>
        <w:tc>
          <w:tcPr>
            <w:tcW w:w="1914" w:type="dxa"/>
            <w:tcBorders>
              <w:top w:val="single" w:sz="6" w:space="0" w:shadow="0" w:frame="0" w:color="000000"/>
              <w:left w:val="single" w:sz="6" w:space="0" w:shadow="0" w:frame="0" w:color="000000"/>
              <w:bottom w:val="single" w:sz="6" w:space="0" w:shadow="0" w:frame="0" w:color="000000"/>
              <w:right w:val="single" w:sz="6" w:space="0" w:shadow="0" w:frame="0" w:color="000000"/>
            </w:tcBorders>
          </w:tcPr>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rPr>
                <w:color w:val="000000"/>
                <w:sz w:val="24"/>
                <w:szCs w:val="24"/>
              </w:rPr>
            </w:pPr>
            <w:r>
              <w:rPr>
                <w:color w:val="000000"/>
                <w:sz w:val="24"/>
                <w:szCs w:val="24"/>
              </w:rPr>
              <w:t>Альтернатива 2</w:t>
            </w:r>
          </w:p>
        </w:tc>
        <w:tc>
          <w:tcPr>
            <w:tcW w:w="3988" w:type="dxa"/>
            <w:tcBorders>
              <w:top w:val="single" w:sz="6" w:space="0" w:shadow="0" w:frame="0" w:color="000000"/>
              <w:left w:val="single" w:sz="6" w:space="0" w:shadow="0" w:frame="0" w:color="000000"/>
              <w:bottom w:val="single" w:sz="6" w:space="0" w:shadow="0" w:frame="0" w:color="000000"/>
              <w:right w:val="single" w:sz="6" w:space="0" w:shadow="0" w:frame="0" w:color="000000"/>
            </w:tcBorders>
          </w:tcPr>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ind w:firstLine="295"/>
              <w:jc w:val="both"/>
              <w:rPr>
                <w:color w:val="000000"/>
                <w:sz w:val="24"/>
                <w:szCs w:val="24"/>
              </w:rPr>
            </w:pPr>
            <w:r>
              <w:rPr>
                <w:color w:val="000000"/>
                <w:sz w:val="24"/>
                <w:szCs w:val="24"/>
              </w:rPr>
              <w:t>Відсутні</w:t>
            </w:r>
          </w:p>
        </w:tc>
        <w:tc>
          <w:tcPr>
            <w:tcW w:w="3826" w:type="dxa"/>
            <w:tcBorders>
              <w:top w:val="single" w:sz="6" w:space="0" w:shadow="0" w:frame="0" w:color="000000"/>
              <w:left w:val="single" w:sz="6" w:space="0" w:shadow="0" w:frame="0" w:color="000000"/>
              <w:bottom w:val="single" w:sz="6" w:space="0" w:shadow="0" w:frame="0" w:color="000000"/>
              <w:right w:val="single" w:sz="6" w:space="0" w:shadow="0" w:frame="0" w:color="000000"/>
            </w:tcBorders>
          </w:tcPr>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ind w:firstLine="284"/>
              <w:jc w:val="both"/>
              <w:rPr>
                <w:color w:val="000000"/>
                <w:sz w:val="24"/>
                <w:szCs w:val="24"/>
              </w:rPr>
            </w:pPr>
            <w:r>
              <w:rPr>
                <w:color w:val="000000"/>
                <w:sz w:val="24"/>
                <w:szCs w:val="24"/>
              </w:rPr>
              <w:t>Витрати бюджету за рахунок мінімізації податкових зобов’язань з податку на додану вартість недоброчесними платниками податку та несвоєчасне відшкодування податку на додану вартість з бюджету</w:t>
            </w:r>
          </w:p>
        </w:tc>
      </w:tr>
    </w:tbl>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jc w:val="both"/>
        <w:rPr>
          <w:color w:val="000000"/>
          <w:sz w:val="8"/>
          <w:szCs w:val="8"/>
        </w:rPr>
      </w:pP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spacing w:before="120" w:beforeAutospacing="0" w:afterAutospacing="0"/>
        <w:ind w:firstLine="567"/>
        <w:jc w:val="both"/>
        <w:rPr>
          <w:color w:val="000000"/>
          <w:sz w:val="28"/>
          <w:szCs w:val="28"/>
        </w:rPr>
      </w:pPr>
      <w:r>
        <w:rPr>
          <w:color w:val="000000"/>
          <w:sz w:val="28"/>
          <w:szCs w:val="28"/>
        </w:rPr>
        <w:t>3. Проект акта не розповсюджується на сферу інтересів громадян.</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spacing w:before="120" w:beforeAutospacing="0" w:afterAutospacing="0"/>
        <w:ind w:firstLine="567"/>
        <w:jc w:val="both"/>
        <w:rPr>
          <w:color w:val="000000"/>
          <w:sz w:val="28"/>
          <w:szCs w:val="28"/>
        </w:rPr>
      </w:pPr>
      <w:r>
        <w:rPr>
          <w:color w:val="000000"/>
          <w:sz w:val="28"/>
          <w:szCs w:val="28"/>
        </w:rPr>
        <w:t>4. Оцінка впливу на сферу інтересів суб’єктів господарювання.</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spacing w:before="120" w:beforeAutospacing="0" w:afterAutospacing="0"/>
        <w:ind w:firstLine="567"/>
        <w:jc w:val="both"/>
        <w:rPr>
          <w:color w:val="000000"/>
          <w:sz w:val="28"/>
          <w:szCs w:val="28"/>
        </w:rPr>
      </w:pPr>
      <w:r>
        <w:rPr>
          <w:color w:val="000000"/>
          <w:sz w:val="28"/>
          <w:szCs w:val="28"/>
        </w:rPr>
        <w:t xml:space="preserve">За наявною в Міністерстві фінансів України інформацією протягом </w:t>
        <w:br w:type="textWrapping"/>
        <w:t>2021 року кількість платників податку на додану вартість, яким було зупинено реєстрацію податкових накладних / розрахунків коригування в Реєстрі, становить 41 322 суб’єктів господарювання (16 % від загальної кількості платників податку).</w:t>
      </w:r>
    </w:p>
    <w:p>
      <w:pPr>
        <w:spacing w:before="120" w:beforeAutospacing="0" w:afterAutospacing="0"/>
        <w:ind w:firstLine="567"/>
        <w:jc w:val="both"/>
        <w:rPr>
          <w:color w:val="000000"/>
          <w:sz w:val="28"/>
          <w:szCs w:val="28"/>
        </w:rPr>
      </w:pPr>
      <w:r>
        <w:rPr>
          <w:color w:val="000000"/>
          <w:sz w:val="28"/>
          <w:szCs w:val="28"/>
        </w:rPr>
        <w:t xml:space="preserve">Водночас визначити коло суб’єктів господарювання за класифікацією підприємств відповідно до </w:t>
      </w:r>
      <w:hyperlink xmlns:r="http://schemas.openxmlformats.org/officeDocument/2006/relationships" r:id="R2" w:anchor="n55">
        <w:r>
          <w:rPr>
            <w:color w:val="000000"/>
            <w:sz w:val="28"/>
            <w:szCs w:val="28"/>
          </w:rPr>
          <w:t>частини другої</w:t>
        </w:r>
      </w:hyperlink>
      <w:r>
        <w:rPr>
          <w:color w:val="000000"/>
          <w:sz w:val="28"/>
          <w:szCs w:val="28"/>
        </w:rPr>
        <w:t xml:space="preserve"> статті 2 Закону України </w:t>
      </w:r>
      <w:r>
        <w:rPr>
          <w:b w:val="1"/>
          <w:color w:val="000000"/>
          <w:sz w:val="28"/>
          <w:szCs w:val="28"/>
        </w:rPr>
        <w:t>«</w:t>
      </w:r>
      <w:r>
        <w:rPr>
          <w:color w:val="000000"/>
          <w:sz w:val="28"/>
          <w:szCs w:val="28"/>
        </w:rPr>
        <w:t>Про бухгалтерський облік та фінансову звітність в Україні</w:t>
      </w:r>
      <w:r>
        <w:rPr>
          <w:b w:val="1"/>
          <w:color w:val="000000"/>
          <w:sz w:val="28"/>
          <w:szCs w:val="28"/>
        </w:rPr>
        <w:t>»</w:t>
      </w:r>
      <w:r>
        <w:rPr>
          <w:color w:val="000000"/>
          <w:sz w:val="28"/>
          <w:szCs w:val="28"/>
        </w:rPr>
        <w:t xml:space="preserve">, що підпадають під дію регулювання проекту акта,  неможливо у зв’язку з відсутністю статистичних даних.</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spacing w:before="120" w:beforeAutospacing="0" w:afterAutospacing="0"/>
        <w:ind w:firstLine="567"/>
        <w:jc w:val="both"/>
        <w:rPr>
          <w:color w:val="000000"/>
          <w:sz w:val="8"/>
          <w:szCs w:val="8"/>
        </w:rPr>
      </w:pPr>
    </w:p>
    <w:tbl>
      <w:tblPr>
        <w:tblStyle w:val="T4"/>
        <w:tblW w:w="9816" w:type="dxa"/>
        <w:tblInd w:w="0" w:type="dxa"/>
        <w:tblBorders>
          <w:top w:val="single" w:sz="6" w:space="0" w:shadow="0" w:frame="0" w:color="000000"/>
          <w:left w:val="single" w:sz="6" w:space="0" w:shadow="0" w:frame="0" w:color="000000"/>
          <w:bottom w:val="single" w:sz="6" w:space="0" w:shadow="0" w:frame="0" w:color="000000"/>
          <w:right w:val="single" w:sz="6" w:space="0" w:shadow="0" w:frame="0" w:color="000000"/>
          <w:insideH w:val="single" w:sz="6" w:space="0" w:shadow="0" w:frame="0" w:color="000000"/>
          <w:insideV w:val="single" w:sz="6" w:space="0" w:shadow="0" w:frame="0" w:color="000000"/>
        </w:tblBorders>
        <w:tblLayout w:type="fixed"/>
        <w:tblLook w:val="0000"/>
      </w:tblPr>
      <w:tblGrid/>
      <w:tr>
        <w:tc>
          <w:tcPr>
            <w:tcW w:w="3735" w:type="dxa"/>
          </w:tcPr>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jc w:val="center"/>
              <w:rPr>
                <w:color w:val="000000"/>
                <w:sz w:val="24"/>
                <w:szCs w:val="24"/>
              </w:rPr>
            </w:pPr>
            <w:r>
              <w:rPr>
                <w:color w:val="000000"/>
                <w:sz w:val="24"/>
                <w:szCs w:val="24"/>
              </w:rPr>
              <w:t>Показник</w:t>
            </w:r>
          </w:p>
        </w:tc>
        <w:tc>
          <w:tcPr>
            <w:tcW w:w="1293" w:type="dxa"/>
          </w:tcPr>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jc w:val="center"/>
              <w:rPr>
                <w:color w:val="000000"/>
                <w:sz w:val="24"/>
                <w:szCs w:val="24"/>
              </w:rPr>
            </w:pPr>
            <w:r>
              <w:rPr>
                <w:color w:val="000000"/>
                <w:sz w:val="24"/>
                <w:szCs w:val="24"/>
              </w:rPr>
              <w:t>Великі</w:t>
            </w:r>
          </w:p>
        </w:tc>
        <w:tc>
          <w:tcPr>
            <w:tcW w:w="1124" w:type="dxa"/>
          </w:tcPr>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jc w:val="center"/>
              <w:rPr>
                <w:color w:val="000000"/>
                <w:sz w:val="24"/>
                <w:szCs w:val="24"/>
              </w:rPr>
            </w:pPr>
            <w:r>
              <w:rPr>
                <w:color w:val="000000"/>
                <w:sz w:val="24"/>
                <w:szCs w:val="24"/>
              </w:rPr>
              <w:t>Середні</w:t>
            </w:r>
          </w:p>
        </w:tc>
        <w:tc>
          <w:tcPr>
            <w:tcW w:w="1136" w:type="dxa"/>
          </w:tcPr>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jc w:val="center"/>
              <w:rPr>
                <w:color w:val="000000"/>
                <w:sz w:val="24"/>
                <w:szCs w:val="24"/>
              </w:rPr>
            </w:pPr>
            <w:r>
              <w:rPr>
                <w:color w:val="000000"/>
                <w:sz w:val="24"/>
                <w:szCs w:val="24"/>
              </w:rPr>
              <w:t>Малі</w:t>
            </w:r>
          </w:p>
        </w:tc>
        <w:tc>
          <w:tcPr>
            <w:tcW w:w="1234" w:type="dxa"/>
          </w:tcPr>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jc w:val="center"/>
              <w:rPr>
                <w:color w:val="000000"/>
                <w:sz w:val="24"/>
                <w:szCs w:val="24"/>
              </w:rPr>
            </w:pPr>
            <w:r>
              <w:rPr>
                <w:color w:val="000000"/>
                <w:sz w:val="24"/>
                <w:szCs w:val="24"/>
              </w:rPr>
              <w:t>Мікро</w:t>
            </w:r>
          </w:p>
        </w:tc>
        <w:tc>
          <w:tcPr>
            <w:tcW w:w="1294" w:type="dxa"/>
          </w:tcPr>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jc w:val="center"/>
              <w:rPr>
                <w:color w:val="000000"/>
                <w:sz w:val="24"/>
                <w:szCs w:val="24"/>
              </w:rPr>
            </w:pPr>
            <w:r>
              <w:rPr>
                <w:color w:val="000000"/>
                <w:sz w:val="24"/>
                <w:szCs w:val="24"/>
              </w:rPr>
              <w:t>Разом</w:t>
            </w:r>
          </w:p>
        </w:tc>
      </w:tr>
      <w:tr>
        <w:tc>
          <w:tcPr>
            <w:tcW w:w="3735" w:type="dxa"/>
          </w:tcPr>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rPr>
                <w:color w:val="000000"/>
                <w:sz w:val="24"/>
                <w:szCs w:val="24"/>
              </w:rPr>
            </w:pPr>
            <w:r>
              <w:rPr>
                <w:color w:val="000000"/>
                <w:sz w:val="24"/>
                <w:szCs w:val="24"/>
              </w:rPr>
              <w:t>Кількість суб’єктів господарювання, що підпадають під дію регулювання, одиниць*</w:t>
            </w:r>
          </w:p>
        </w:tc>
        <w:tc>
          <w:tcPr>
            <w:tcW w:w="1293" w:type="dxa"/>
            <w:vAlign w:val="center"/>
          </w:tcPr>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jc w:val="center"/>
              <w:rPr>
                <w:color w:val="000000"/>
                <w:sz w:val="24"/>
                <w:szCs w:val="24"/>
              </w:rPr>
            </w:pPr>
            <w:r>
              <w:rPr>
                <w:color w:val="000000"/>
                <w:sz w:val="24"/>
                <w:szCs w:val="24"/>
              </w:rPr>
              <w:t>-</w:t>
            </w:r>
          </w:p>
        </w:tc>
        <w:tc>
          <w:tcPr>
            <w:tcW w:w="1124" w:type="dxa"/>
            <w:vAlign w:val="center"/>
          </w:tcPr>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jc w:val="center"/>
              <w:rPr>
                <w:color w:val="000000"/>
                <w:sz w:val="24"/>
                <w:szCs w:val="24"/>
              </w:rPr>
            </w:pPr>
            <w:r>
              <w:rPr>
                <w:color w:val="000000"/>
                <w:sz w:val="24"/>
                <w:szCs w:val="24"/>
              </w:rPr>
              <w:t>-</w:t>
            </w:r>
          </w:p>
        </w:tc>
        <w:tc>
          <w:tcPr>
            <w:tcW w:w="1136" w:type="dxa"/>
            <w:vAlign w:val="center"/>
          </w:tcPr>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jc w:val="center"/>
              <w:rPr>
                <w:color w:val="000000"/>
                <w:sz w:val="24"/>
                <w:szCs w:val="24"/>
              </w:rPr>
            </w:pPr>
            <w:r>
              <w:rPr>
                <w:color w:val="000000"/>
                <w:sz w:val="24"/>
                <w:szCs w:val="24"/>
              </w:rPr>
              <w:t>-</w:t>
            </w:r>
          </w:p>
        </w:tc>
        <w:tc>
          <w:tcPr>
            <w:tcW w:w="1234" w:type="dxa"/>
            <w:vAlign w:val="center"/>
          </w:tcPr>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jc w:val="center"/>
              <w:rPr>
                <w:color w:val="000000"/>
                <w:sz w:val="24"/>
                <w:szCs w:val="24"/>
              </w:rPr>
            </w:pPr>
            <w:r>
              <w:rPr>
                <w:color w:val="000000"/>
                <w:sz w:val="24"/>
                <w:szCs w:val="24"/>
              </w:rPr>
              <w:t>-</w:t>
            </w:r>
          </w:p>
        </w:tc>
        <w:tc>
          <w:tcPr>
            <w:tcW w:w="1294" w:type="dxa"/>
            <w:vAlign w:val="center"/>
          </w:tcPr>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jc w:val="center"/>
              <w:rPr>
                <w:color w:val="000000"/>
                <w:sz w:val="24"/>
                <w:szCs w:val="24"/>
              </w:rPr>
            </w:pPr>
            <w:r>
              <w:rPr>
                <w:color w:val="000000"/>
                <w:sz w:val="24"/>
                <w:szCs w:val="24"/>
              </w:rPr>
              <w:t>-</w:t>
            </w:r>
          </w:p>
        </w:tc>
      </w:tr>
      <w:tr>
        <w:tc>
          <w:tcPr>
            <w:tcW w:w="3735" w:type="dxa"/>
          </w:tcPr>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rPr>
                <w:color w:val="000000"/>
                <w:sz w:val="24"/>
                <w:szCs w:val="24"/>
              </w:rPr>
            </w:pPr>
            <w:r>
              <w:rPr>
                <w:color w:val="000000"/>
                <w:sz w:val="24"/>
                <w:szCs w:val="24"/>
              </w:rPr>
              <w:t>Питома вага групи у загальній кількості, відсотків</w:t>
            </w:r>
          </w:p>
        </w:tc>
        <w:tc>
          <w:tcPr>
            <w:tcW w:w="1293" w:type="dxa"/>
            <w:vAlign w:val="center"/>
          </w:tcPr>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jc w:val="center"/>
              <w:rPr>
                <w:color w:val="000000"/>
                <w:sz w:val="24"/>
                <w:szCs w:val="24"/>
              </w:rPr>
            </w:pPr>
            <w:r>
              <w:rPr>
                <w:color w:val="000000"/>
                <w:sz w:val="24"/>
                <w:szCs w:val="24"/>
              </w:rPr>
              <w:t>-</w:t>
            </w:r>
          </w:p>
        </w:tc>
        <w:tc>
          <w:tcPr>
            <w:tcW w:w="1124" w:type="dxa"/>
            <w:vAlign w:val="center"/>
          </w:tcPr>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jc w:val="center"/>
              <w:rPr>
                <w:color w:val="000000"/>
                <w:sz w:val="24"/>
                <w:szCs w:val="24"/>
              </w:rPr>
            </w:pPr>
            <w:r>
              <w:rPr>
                <w:color w:val="000000"/>
                <w:sz w:val="24"/>
                <w:szCs w:val="24"/>
              </w:rPr>
              <w:t>-</w:t>
            </w:r>
          </w:p>
        </w:tc>
        <w:tc>
          <w:tcPr>
            <w:tcW w:w="1136" w:type="dxa"/>
            <w:vAlign w:val="center"/>
          </w:tcPr>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jc w:val="center"/>
              <w:rPr>
                <w:color w:val="000000"/>
                <w:sz w:val="24"/>
                <w:szCs w:val="24"/>
              </w:rPr>
            </w:pPr>
            <w:r>
              <w:rPr>
                <w:color w:val="000000"/>
                <w:sz w:val="24"/>
                <w:szCs w:val="24"/>
              </w:rPr>
              <w:t>-</w:t>
            </w:r>
          </w:p>
        </w:tc>
        <w:tc>
          <w:tcPr>
            <w:tcW w:w="1234" w:type="dxa"/>
            <w:vAlign w:val="center"/>
          </w:tcPr>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jc w:val="center"/>
              <w:rPr>
                <w:color w:val="000000"/>
                <w:sz w:val="24"/>
                <w:szCs w:val="24"/>
              </w:rPr>
            </w:pPr>
            <w:r>
              <w:rPr>
                <w:color w:val="000000"/>
                <w:sz w:val="24"/>
                <w:szCs w:val="24"/>
              </w:rPr>
              <w:t>-</w:t>
            </w:r>
          </w:p>
        </w:tc>
        <w:tc>
          <w:tcPr>
            <w:tcW w:w="1294" w:type="dxa"/>
            <w:vAlign w:val="center"/>
          </w:tcPr>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jc w:val="center"/>
              <w:rPr>
                <w:color w:val="000000"/>
                <w:sz w:val="24"/>
                <w:szCs w:val="24"/>
              </w:rPr>
            </w:pPr>
            <w:r>
              <w:rPr>
                <w:color w:val="000000"/>
                <w:sz w:val="24"/>
                <w:szCs w:val="24"/>
              </w:rPr>
              <w:t>-</w:t>
            </w:r>
          </w:p>
        </w:tc>
      </w:tr>
    </w:tbl>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ind w:firstLine="567"/>
        <w:jc w:val="both"/>
        <w:rPr>
          <w:color w:val="000000"/>
          <w:sz w:val="6"/>
          <w:szCs w:val="6"/>
        </w:rPr>
      </w:pPr>
    </w:p>
    <w:tbl>
      <w:tblPr>
        <w:tblStyle w:val="T4"/>
        <w:tblW w:w="9816" w:type="dxa"/>
        <w:tblInd w:w="0" w:type="dxa"/>
        <w:tblBorders>
          <w:top w:val="single" w:sz="6" w:space="0" w:shadow="0" w:frame="0" w:color="000000"/>
          <w:left w:val="single" w:sz="6" w:space="0" w:shadow="0" w:frame="0" w:color="000000"/>
          <w:bottom w:val="single" w:sz="6" w:space="0" w:shadow="0" w:frame="0" w:color="000000"/>
          <w:right w:val="single" w:sz="6" w:space="0" w:shadow="0" w:frame="0" w:color="000000"/>
          <w:insideH w:val="none" w:sz="0" w:space="0" w:shadow="0" w:frame="0" w:color="000000"/>
          <w:insideV w:val="none" w:sz="0" w:space="0" w:shadow="0" w:frame="0" w:color="000000"/>
        </w:tblBorders>
        <w:tblLayout w:type="fixed"/>
        <w:tblLook w:val="0000"/>
      </w:tblPr>
      <w:tblGrid/>
      <w:tr>
        <w:tc>
          <w:tcPr>
            <w:tcW w:w="1909" w:type="dxa"/>
            <w:tcBorders>
              <w:top w:val="single" w:sz="6" w:space="0" w:shadow="0" w:frame="0" w:color="000000"/>
              <w:left w:val="single" w:sz="6" w:space="0" w:shadow="0" w:frame="0" w:color="000000"/>
              <w:bottom w:val="single" w:sz="6" w:space="0" w:shadow="0" w:frame="0" w:color="000000"/>
              <w:right w:val="single" w:sz="6" w:space="0" w:shadow="0" w:frame="0" w:color="000000"/>
            </w:tcBorders>
          </w:tcPr>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jc w:val="center"/>
              <w:rPr>
                <w:color w:val="000000"/>
                <w:sz w:val="24"/>
                <w:szCs w:val="24"/>
              </w:rPr>
            </w:pPr>
            <w:r>
              <w:rPr>
                <w:color w:val="000000"/>
                <w:sz w:val="24"/>
                <w:szCs w:val="24"/>
              </w:rPr>
              <w:t>Вид альтернативи</w:t>
            </w:r>
          </w:p>
        </w:tc>
        <w:tc>
          <w:tcPr>
            <w:tcW w:w="4525" w:type="dxa"/>
            <w:tcBorders>
              <w:top w:val="single" w:sz="6" w:space="0" w:shadow="0" w:frame="0" w:color="000000"/>
              <w:left w:val="single" w:sz="6" w:space="0" w:shadow="0" w:frame="0" w:color="000000"/>
              <w:bottom w:val="single" w:sz="6" w:space="0" w:shadow="0" w:frame="0" w:color="000000"/>
              <w:right w:val="single" w:sz="6" w:space="0" w:shadow="0" w:frame="0" w:color="000000"/>
            </w:tcBorders>
          </w:tcPr>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jc w:val="center"/>
              <w:rPr>
                <w:color w:val="000000"/>
                <w:sz w:val="24"/>
                <w:szCs w:val="24"/>
              </w:rPr>
            </w:pPr>
            <w:r>
              <w:rPr>
                <w:color w:val="000000"/>
                <w:sz w:val="24"/>
                <w:szCs w:val="24"/>
              </w:rPr>
              <w:t>Вигоди</w:t>
            </w:r>
          </w:p>
        </w:tc>
        <w:tc>
          <w:tcPr>
            <w:tcW w:w="3382" w:type="dxa"/>
            <w:tcBorders>
              <w:top w:val="single" w:sz="6" w:space="0" w:shadow="0" w:frame="0" w:color="000000"/>
              <w:left w:val="single" w:sz="6" w:space="0" w:shadow="0" w:frame="0" w:color="000000"/>
              <w:bottom w:val="single" w:sz="6" w:space="0" w:shadow="0" w:frame="0" w:color="000000"/>
              <w:right w:val="single" w:sz="6" w:space="0" w:shadow="0" w:frame="0" w:color="000000"/>
            </w:tcBorders>
          </w:tcPr>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jc w:val="center"/>
              <w:rPr>
                <w:color w:val="000000"/>
                <w:sz w:val="24"/>
                <w:szCs w:val="24"/>
              </w:rPr>
            </w:pPr>
            <w:r>
              <w:rPr>
                <w:color w:val="000000"/>
                <w:sz w:val="24"/>
                <w:szCs w:val="24"/>
              </w:rPr>
              <w:t>Витрати</w:t>
            </w:r>
          </w:p>
        </w:tc>
      </w:tr>
      <w:tr>
        <w:tc>
          <w:tcPr>
            <w:tcW w:w="1909" w:type="dxa"/>
            <w:tcBorders>
              <w:top w:val="single" w:sz="6" w:space="0" w:shadow="0" w:frame="0" w:color="000000"/>
              <w:left w:val="single" w:sz="6" w:space="0" w:shadow="0" w:frame="0" w:color="000000"/>
              <w:bottom w:val="single" w:sz="6" w:space="0" w:shadow="0" w:frame="0" w:color="000000"/>
              <w:right w:val="single" w:sz="6" w:space="0" w:shadow="0" w:frame="0" w:color="000000"/>
            </w:tcBorders>
          </w:tcPr>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jc w:val="center"/>
              <w:rPr>
                <w:color w:val="000000"/>
                <w:sz w:val="24"/>
                <w:szCs w:val="24"/>
              </w:rPr>
            </w:pPr>
            <w:r>
              <w:rPr>
                <w:color w:val="000000"/>
                <w:sz w:val="24"/>
                <w:szCs w:val="24"/>
              </w:rPr>
              <w:t>Альтернатива 1</w:t>
            </w:r>
          </w:p>
        </w:tc>
        <w:tc>
          <w:tcPr>
            <w:tcW w:w="4525" w:type="dxa"/>
            <w:tcBorders>
              <w:top w:val="single" w:sz="6" w:space="0" w:shadow="0" w:frame="0" w:color="000000"/>
              <w:left w:val="single" w:sz="6" w:space="0" w:shadow="0" w:frame="0" w:color="000000"/>
              <w:bottom w:val="single" w:sz="6" w:space="0" w:shadow="0" w:frame="0" w:color="000000"/>
              <w:right w:val="single" w:sz="6" w:space="0" w:shadow="0" w:frame="0" w:color="000000"/>
            </w:tcBorders>
          </w:tcPr>
          <w:p>
            <w:pPr>
              <w:ind w:firstLine="295"/>
              <w:jc w:val="both"/>
              <w:rPr>
                <w:color w:val="000000"/>
                <w:sz w:val="24"/>
                <w:szCs w:val="24"/>
              </w:rPr>
            </w:pPr>
            <w:r>
              <w:rPr>
                <w:color w:val="000000"/>
                <w:sz w:val="24"/>
                <w:szCs w:val="24"/>
              </w:rPr>
              <w:t>1. Забезпечить підвищення ефективності запобігання порушень платниками податкового законодавства з податку на додану вартість шляхом удосконалення СМКОР, передбаченого постановою № 1165.</w:t>
            </w:r>
          </w:p>
          <w:p>
            <w:pPr>
              <w:ind w:firstLine="295"/>
              <w:jc w:val="both"/>
              <w:rPr>
                <w:color w:val="000000"/>
                <w:sz w:val="24"/>
                <w:szCs w:val="24"/>
              </w:rPr>
            </w:pPr>
            <w:r>
              <w:rPr>
                <w:color w:val="000000"/>
                <w:sz w:val="24"/>
                <w:szCs w:val="24"/>
              </w:rPr>
              <w:t>2. Забезпечить запобігання втрат бюджету.</w:t>
            </w:r>
          </w:p>
        </w:tc>
        <w:tc>
          <w:tcPr>
            <w:tcW w:w="3382" w:type="dxa"/>
            <w:tcBorders>
              <w:top w:val="single" w:sz="6" w:space="0" w:shadow="0" w:frame="0" w:color="000000"/>
              <w:left w:val="single" w:sz="6" w:space="0" w:shadow="0" w:frame="0" w:color="000000"/>
              <w:bottom w:val="single" w:sz="6" w:space="0" w:shadow="0" w:frame="0" w:color="000000"/>
              <w:right w:val="single" w:sz="6" w:space="0" w:shadow="0" w:frame="0" w:color="000000"/>
            </w:tcBorders>
            <w:vAlign w:val="center"/>
          </w:tcPr>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jc w:val="center"/>
              <w:rPr>
                <w:color w:val="000000"/>
                <w:sz w:val="24"/>
                <w:szCs w:val="24"/>
              </w:rPr>
            </w:pPr>
            <w:r>
              <w:rPr>
                <w:color w:val="000000"/>
                <w:sz w:val="24"/>
                <w:szCs w:val="24"/>
              </w:rPr>
              <w:t>Відсутні</w:t>
            </w:r>
          </w:p>
        </w:tc>
      </w:tr>
      <w:tr>
        <w:tc>
          <w:tcPr>
            <w:tcW w:w="1909" w:type="dxa"/>
            <w:tcBorders>
              <w:top w:val="single" w:sz="6" w:space="0" w:shadow="0" w:frame="0" w:color="000000"/>
              <w:left w:val="single" w:sz="6" w:space="0" w:shadow="0" w:frame="0" w:color="000000"/>
              <w:bottom w:val="single" w:sz="6" w:space="0" w:shadow="0" w:frame="0" w:color="000000"/>
              <w:right w:val="single" w:sz="6" w:space="0" w:shadow="0" w:frame="0" w:color="000000"/>
            </w:tcBorders>
          </w:tcPr>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jc w:val="center"/>
              <w:rPr>
                <w:color w:val="000000"/>
                <w:sz w:val="24"/>
                <w:szCs w:val="24"/>
              </w:rPr>
            </w:pPr>
            <w:r>
              <w:rPr>
                <w:color w:val="000000"/>
                <w:sz w:val="24"/>
                <w:szCs w:val="24"/>
              </w:rPr>
              <w:t>Альтернатива 2</w:t>
            </w:r>
          </w:p>
        </w:tc>
        <w:tc>
          <w:tcPr>
            <w:tcW w:w="4525" w:type="dxa"/>
            <w:tcBorders>
              <w:top w:val="single" w:sz="6" w:space="0" w:shadow="0" w:frame="0" w:color="000000"/>
              <w:left w:val="single" w:sz="6" w:space="0" w:shadow="0" w:frame="0" w:color="000000"/>
              <w:bottom w:val="single" w:sz="6" w:space="0" w:shadow="0" w:frame="0" w:color="000000"/>
              <w:right w:val="single" w:sz="6" w:space="0" w:shadow="0" w:frame="0" w:color="000000"/>
            </w:tcBorders>
          </w:tcPr>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ind w:firstLine="194"/>
              <w:jc w:val="center"/>
              <w:rPr>
                <w:color w:val="000000"/>
                <w:sz w:val="24"/>
                <w:szCs w:val="24"/>
              </w:rPr>
            </w:pPr>
            <w:r>
              <w:rPr>
                <w:color w:val="000000"/>
                <w:sz w:val="24"/>
                <w:szCs w:val="24"/>
              </w:rPr>
              <w:t>Відсутні</w:t>
            </w:r>
          </w:p>
        </w:tc>
        <w:tc>
          <w:tcPr>
            <w:tcW w:w="3382" w:type="dxa"/>
            <w:tcBorders>
              <w:top w:val="single" w:sz="6" w:space="0" w:shadow="0" w:frame="0" w:color="000000"/>
              <w:left w:val="single" w:sz="6" w:space="0" w:shadow="0" w:frame="0" w:color="000000"/>
              <w:bottom w:val="single" w:sz="6" w:space="0" w:shadow="0" w:frame="0" w:color="000000"/>
              <w:right w:val="single" w:sz="6" w:space="0" w:shadow="0" w:frame="0" w:color="000000"/>
            </w:tcBorders>
          </w:tcPr>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ind w:firstLine="193"/>
              <w:jc w:val="both"/>
              <w:rPr>
                <w:color w:val="000000"/>
                <w:sz w:val="24"/>
                <w:szCs w:val="24"/>
              </w:rPr>
            </w:pPr>
            <w:r>
              <w:rPr>
                <w:color w:val="000000"/>
                <w:sz w:val="24"/>
                <w:szCs w:val="24"/>
              </w:rPr>
              <w:t>На відміну від альтернативи 1, призведе до:</w:t>
            </w:r>
          </w:p>
          <w:p>
            <w:pPr>
              <w:numPr>
                <w:ilvl w:val="0"/>
                <w:numId w:val="1"/>
              </w:num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ind w:firstLine="420" w:left="0"/>
              <w:jc w:val="both"/>
              <w:rPr>
                <w:color w:val="000000"/>
                <w:sz w:val="24"/>
                <w:szCs w:val="24"/>
              </w:rPr>
            </w:pPr>
            <w:r>
              <w:rPr>
                <w:color w:val="000000"/>
                <w:sz w:val="24"/>
                <w:szCs w:val="24"/>
              </w:rPr>
              <w:t>Втрат бюджету за рахунок мінімізації податкових зобов’язань з податку на додану вартість недоброчесними платниками податку.</w:t>
            </w:r>
          </w:p>
          <w:p>
            <w:pPr>
              <w:numPr>
                <w:ilvl w:val="0"/>
                <w:numId w:val="1"/>
              </w:num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ind w:firstLine="420" w:left="0"/>
              <w:jc w:val="both"/>
              <w:rPr>
                <w:color w:val="000000"/>
                <w:sz w:val="24"/>
                <w:szCs w:val="24"/>
              </w:rPr>
            </w:pPr>
            <w:r>
              <w:rPr>
                <w:color w:val="000000"/>
                <w:sz w:val="24"/>
                <w:szCs w:val="24"/>
              </w:rPr>
              <w:t>Несвоєчасне відшкодування податку на додану вартість з бюджет.</w:t>
            </w:r>
          </w:p>
        </w:tc>
      </w:tr>
    </w:tbl>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spacing w:before="240" w:beforeAutospacing="0" w:afterAutospacing="0"/>
        <w:jc w:val="center"/>
        <w:rPr>
          <w:b w:val="1"/>
          <w:color w:val="000000"/>
          <w:sz w:val="28"/>
          <w:szCs w:val="28"/>
        </w:rPr>
      </w:pPr>
      <w:r>
        <w:rPr>
          <w:b w:val="1"/>
          <w:color w:val="000000"/>
          <w:sz w:val="28"/>
          <w:szCs w:val="28"/>
        </w:rPr>
        <w:t>IV. Вибір найбільш оптимального альтернативного способу досягнення цілей</w:t>
      </w:r>
    </w:p>
    <w:tbl>
      <w:tblPr>
        <w:tblStyle w:val="T4"/>
        <w:tblW w:w="9816" w:type="dxa"/>
        <w:tblInd w:w="0" w:type="dxa"/>
        <w:tblBorders>
          <w:top w:val="single" w:sz="6" w:space="0" w:shadow="0" w:frame="0" w:color="000000"/>
          <w:left w:val="single" w:sz="6" w:space="0" w:shadow="0" w:frame="0" w:color="000000"/>
          <w:bottom w:val="single" w:sz="6" w:space="0" w:shadow="0" w:frame="0" w:color="000000"/>
          <w:right w:val="single" w:sz="6" w:space="0" w:shadow="0" w:frame="0" w:color="000000"/>
          <w:insideH w:val="none" w:sz="0" w:space="0" w:shadow="0" w:frame="0" w:color="000000"/>
          <w:insideV w:val="none" w:sz="0" w:space="0" w:shadow="0" w:frame="0" w:color="000000"/>
        </w:tblBorders>
        <w:tblLayout w:type="fixed"/>
        <w:tblLook w:val="0000"/>
      </w:tblPr>
      <w:tblGrid/>
      <w:tr>
        <w:tc>
          <w:tcPr>
            <w:tcW w:w="2078" w:type="dxa"/>
            <w:tcBorders>
              <w:top w:val="single" w:sz="6" w:space="0" w:shadow="0" w:frame="0" w:color="000000"/>
              <w:left w:val="single" w:sz="6" w:space="0" w:shadow="0" w:frame="0" w:color="000000"/>
              <w:bottom w:val="single" w:sz="6" w:space="0" w:shadow="0" w:frame="0" w:color="000000"/>
              <w:right w:val="single" w:sz="6" w:space="0" w:shadow="0" w:frame="0" w:color="000000"/>
            </w:tcBorders>
            <w:vAlign w:val="center"/>
          </w:tcPr>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jc w:val="center"/>
              <w:rPr>
                <w:color w:val="000000"/>
                <w:sz w:val="24"/>
                <w:szCs w:val="24"/>
              </w:rPr>
            </w:pPr>
            <w:r>
              <w:rPr>
                <w:color w:val="000000"/>
                <w:sz w:val="24"/>
                <w:szCs w:val="24"/>
              </w:rPr>
              <w:t>Рейтинг результативності (досягнення цілей під час вирішення проблеми)</w:t>
            </w:r>
          </w:p>
        </w:tc>
        <w:tc>
          <w:tcPr>
            <w:tcW w:w="1975" w:type="dxa"/>
            <w:tcBorders>
              <w:top w:val="single" w:sz="6" w:space="0" w:shadow="0" w:frame="0" w:color="000000"/>
              <w:left w:val="single" w:sz="6" w:space="0" w:shadow="0" w:frame="0" w:color="000000"/>
              <w:bottom w:val="single" w:sz="6" w:space="0" w:shadow="0" w:frame="0" w:color="000000"/>
              <w:right w:val="single" w:sz="6" w:space="0" w:shadow="0" w:frame="0" w:color="000000"/>
            </w:tcBorders>
            <w:vAlign w:val="center"/>
          </w:tcPr>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ind w:left="-45"/>
              <w:jc w:val="center"/>
              <w:rPr>
                <w:color w:val="000000"/>
                <w:sz w:val="24"/>
                <w:szCs w:val="24"/>
              </w:rPr>
            </w:pPr>
            <w:r>
              <w:rPr>
                <w:color w:val="000000"/>
                <w:sz w:val="24"/>
                <w:szCs w:val="24"/>
              </w:rPr>
              <w:t>Бал результативності (за чотирибальною системою оцінки)</w:t>
            </w:r>
          </w:p>
        </w:tc>
        <w:tc>
          <w:tcPr>
            <w:tcW w:w="5763" w:type="dxa"/>
            <w:tcBorders>
              <w:top w:val="single" w:sz="6" w:space="0" w:shadow="0" w:frame="0" w:color="000000"/>
              <w:left w:val="single" w:sz="6" w:space="0" w:shadow="0" w:frame="0" w:color="000000"/>
              <w:bottom w:val="single" w:sz="6" w:space="0" w:shadow="0" w:frame="0" w:color="000000"/>
              <w:right w:val="single" w:sz="6" w:space="0" w:shadow="0" w:frame="0" w:color="000000"/>
            </w:tcBorders>
            <w:vAlign w:val="center"/>
          </w:tcPr>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jc w:val="center"/>
              <w:rPr>
                <w:color w:val="000000"/>
                <w:sz w:val="24"/>
                <w:szCs w:val="24"/>
              </w:rPr>
            </w:pPr>
            <w:r>
              <w:rPr>
                <w:color w:val="000000"/>
                <w:sz w:val="24"/>
                <w:szCs w:val="24"/>
              </w:rPr>
              <w:t>Коментарі щодо присвоєння відповідного бала</w:t>
            </w:r>
          </w:p>
        </w:tc>
      </w:tr>
      <w:tr>
        <w:tc>
          <w:tcPr>
            <w:tcW w:w="2078" w:type="dxa"/>
            <w:tcBorders>
              <w:top w:val="single" w:sz="6" w:space="0" w:shadow="0" w:frame="0" w:color="000000"/>
              <w:left w:val="single" w:sz="6" w:space="0" w:shadow="0" w:frame="0" w:color="000000"/>
              <w:bottom w:val="single" w:sz="6" w:space="0" w:shadow="0" w:frame="0" w:color="000000"/>
              <w:right w:val="single" w:sz="6" w:space="0" w:shadow="0" w:frame="0" w:color="000000"/>
            </w:tcBorders>
          </w:tcPr>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jc w:val="center"/>
              <w:rPr>
                <w:color w:val="000000"/>
                <w:sz w:val="24"/>
                <w:szCs w:val="24"/>
              </w:rPr>
            </w:pPr>
            <w:r>
              <w:rPr>
                <w:color w:val="000000"/>
                <w:sz w:val="24"/>
                <w:szCs w:val="24"/>
              </w:rPr>
              <w:t>Альтернатива 1. Прийняття постанови Кабінету Міністрів України «Про внесення змін до Порядку зупинення реєстрації податкової накладної / розрахунку коригування в Єдиному реєстрі податкових накладних»</w:t>
            </w:r>
          </w:p>
        </w:tc>
        <w:tc>
          <w:tcPr>
            <w:tcW w:w="1975" w:type="dxa"/>
            <w:tcBorders>
              <w:top w:val="single" w:sz="6" w:space="0" w:shadow="0" w:frame="0" w:color="000000"/>
              <w:left w:val="single" w:sz="6" w:space="0" w:shadow="0" w:frame="0" w:color="000000"/>
              <w:bottom w:val="single" w:sz="6" w:space="0" w:shadow="0" w:frame="0" w:color="000000"/>
              <w:right w:val="single" w:sz="6" w:space="0" w:shadow="0" w:frame="0" w:color="000000"/>
            </w:tcBorders>
          </w:tcPr>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jc w:val="center"/>
              <w:rPr>
                <w:color w:val="000000"/>
                <w:sz w:val="24"/>
                <w:szCs w:val="24"/>
              </w:rPr>
            </w:pPr>
            <w:r>
              <w:rPr>
                <w:color w:val="000000"/>
                <w:sz w:val="24"/>
                <w:szCs w:val="24"/>
              </w:rPr>
              <w:t>4</w:t>
            </w:r>
          </w:p>
        </w:tc>
        <w:tc>
          <w:tcPr>
            <w:tcW w:w="5763" w:type="dxa"/>
            <w:tcBorders>
              <w:top w:val="single" w:sz="6" w:space="0" w:shadow="0" w:frame="0" w:color="000000"/>
              <w:left w:val="single" w:sz="6" w:space="0" w:shadow="0" w:frame="0" w:color="000000"/>
              <w:bottom w:val="single" w:sz="6" w:space="0" w:shadow="0" w:frame="0" w:color="000000"/>
              <w:right w:val="single" w:sz="6" w:space="0" w:shadow="0" w:frame="0" w:color="000000"/>
            </w:tcBorders>
          </w:tcPr>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ind w:firstLine="266"/>
              <w:jc w:val="both"/>
              <w:rPr>
                <w:color w:val="000000"/>
                <w:sz w:val="24"/>
                <w:szCs w:val="24"/>
              </w:rPr>
            </w:pPr>
            <w:r>
              <w:rPr>
                <w:color w:val="000000"/>
                <w:sz w:val="24"/>
                <w:szCs w:val="24"/>
              </w:rPr>
              <w:t>Цю альтернативу оцінено відповідним балом, оскільки дає змогу повністю досягнути поставлених цілей державного регулювання без будь-яких витрат суб’єктами господарювання за мінімального збільшення навантаження на ДПС.</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ind w:firstLine="284"/>
              <w:jc w:val="both"/>
              <w:rPr>
                <w:color w:val="000000"/>
                <w:sz w:val="24"/>
                <w:szCs w:val="24"/>
              </w:rPr>
            </w:pPr>
            <w:r>
              <w:rPr>
                <w:color w:val="000000"/>
                <w:sz w:val="24"/>
                <w:szCs w:val="24"/>
              </w:rPr>
              <w:t>Альтернатива 1 дає змогу:</w:t>
            </w:r>
          </w:p>
          <w:p>
            <w:pPr>
              <w:ind w:firstLine="295"/>
              <w:jc w:val="both"/>
              <w:rPr>
                <w:color w:val="000000"/>
                <w:sz w:val="24"/>
                <w:szCs w:val="24"/>
              </w:rPr>
            </w:pPr>
            <w:r>
              <w:rPr>
                <w:color w:val="000000"/>
                <w:sz w:val="24"/>
                <w:szCs w:val="24"/>
              </w:rPr>
              <w:t>1. Запобігти порушенням платниками податкового законодавства з податку на додану вартість шляхом удосконалення СМКОР, передбаченого постановою № 1165.</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ind w:firstLine="284"/>
              <w:jc w:val="both"/>
              <w:rPr>
                <w:color w:val="000000"/>
                <w:sz w:val="24"/>
                <w:szCs w:val="24"/>
              </w:rPr>
            </w:pPr>
            <w:r>
              <w:rPr>
                <w:color w:val="000000"/>
                <w:sz w:val="24"/>
                <w:szCs w:val="24"/>
              </w:rPr>
              <w:t>2. Запобігти втратам бюджету.</w:t>
            </w:r>
          </w:p>
          <w:p>
            <w:pPr>
              <w:ind w:firstLine="284"/>
              <w:jc w:val="both"/>
              <w:rPr>
                <w:color w:val="000000"/>
                <w:sz w:val="24"/>
                <w:szCs w:val="24"/>
              </w:rPr>
            </w:pPr>
          </w:p>
        </w:tc>
      </w:tr>
      <w:tr>
        <w:tc>
          <w:tcPr>
            <w:tcW w:w="2078" w:type="dxa"/>
            <w:tcBorders>
              <w:top w:val="single" w:sz="6" w:space="0" w:shadow="0" w:frame="0" w:color="000000"/>
              <w:left w:val="single" w:sz="6" w:space="0" w:shadow="0" w:frame="0" w:color="000000"/>
              <w:bottom w:val="single" w:sz="6" w:space="0" w:shadow="0" w:frame="0" w:color="000000"/>
              <w:right w:val="single" w:sz="6" w:space="0" w:shadow="0" w:frame="0" w:color="000000"/>
            </w:tcBorders>
          </w:tcPr>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jc w:val="center"/>
              <w:rPr>
                <w:color w:val="000000"/>
                <w:sz w:val="24"/>
                <w:szCs w:val="24"/>
              </w:rPr>
            </w:pPr>
            <w:r>
              <w:rPr>
                <w:color w:val="000000"/>
                <w:sz w:val="24"/>
                <w:szCs w:val="24"/>
              </w:rPr>
              <w:t>Альтернатива 2. Збереження чинного регулювання (фактично, відсутність регулювання)</w:t>
            </w:r>
          </w:p>
        </w:tc>
        <w:tc>
          <w:tcPr>
            <w:tcW w:w="1975" w:type="dxa"/>
            <w:tcBorders>
              <w:top w:val="single" w:sz="6" w:space="0" w:shadow="0" w:frame="0" w:color="000000"/>
              <w:left w:val="single" w:sz="6" w:space="0" w:shadow="0" w:frame="0" w:color="000000"/>
              <w:bottom w:val="single" w:sz="6" w:space="0" w:shadow="0" w:frame="0" w:color="000000"/>
              <w:right w:val="single" w:sz="6" w:space="0" w:shadow="0" w:frame="0" w:color="000000"/>
            </w:tcBorders>
          </w:tcPr>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jc w:val="center"/>
              <w:rPr>
                <w:color w:val="000000"/>
                <w:sz w:val="24"/>
                <w:szCs w:val="24"/>
              </w:rPr>
            </w:pPr>
            <w:r>
              <w:rPr>
                <w:color w:val="000000"/>
                <w:sz w:val="24"/>
                <w:szCs w:val="24"/>
              </w:rPr>
              <w:t>1</w:t>
            </w:r>
          </w:p>
        </w:tc>
        <w:tc>
          <w:tcPr>
            <w:tcW w:w="5763" w:type="dxa"/>
            <w:tcBorders>
              <w:top w:val="single" w:sz="6" w:space="0" w:shadow="0" w:frame="0" w:color="000000"/>
              <w:left w:val="single" w:sz="6" w:space="0" w:shadow="0" w:frame="0" w:color="000000"/>
              <w:bottom w:val="single" w:sz="6" w:space="0" w:shadow="0" w:frame="0" w:color="000000"/>
              <w:right w:val="single" w:sz="6" w:space="0" w:shadow="0" w:frame="0" w:color="000000"/>
            </w:tcBorders>
          </w:tcPr>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ind w:firstLine="331"/>
              <w:jc w:val="both"/>
              <w:rPr>
                <w:color w:val="000000"/>
                <w:sz w:val="24"/>
                <w:szCs w:val="24"/>
              </w:rPr>
            </w:pPr>
            <w:r>
              <w:rPr>
                <w:color w:val="000000"/>
                <w:sz w:val="24"/>
                <w:szCs w:val="24"/>
              </w:rPr>
              <w:t>Альтернатива 2 не дозволяє:</w:t>
            </w:r>
          </w:p>
          <w:p>
            <w:pPr>
              <w:numPr>
                <w:ilvl w:val="0"/>
                <w:numId w:val="3"/>
              </w:num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ind w:firstLine="420" w:left="0"/>
              <w:jc w:val="both"/>
              <w:rPr>
                <w:color w:val="000000"/>
                <w:sz w:val="24"/>
                <w:szCs w:val="24"/>
              </w:rPr>
            </w:pPr>
            <w:r>
              <w:rPr>
                <w:color w:val="000000"/>
                <w:sz w:val="24"/>
                <w:szCs w:val="24"/>
              </w:rPr>
              <w:t>Підвищити ефективність запобігання порушень платниками податкового законодавства з податку на додану вартість.</w:t>
            </w:r>
          </w:p>
          <w:p>
            <w:pPr>
              <w:numPr>
                <w:ilvl w:val="0"/>
                <w:numId w:val="3"/>
              </w:num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ind w:firstLine="420" w:left="0"/>
              <w:jc w:val="both"/>
              <w:rPr>
                <w:color w:val="000000"/>
                <w:sz w:val="24"/>
                <w:szCs w:val="24"/>
              </w:rPr>
            </w:pPr>
            <w:r>
              <w:rPr>
                <w:color w:val="000000"/>
                <w:sz w:val="24"/>
                <w:szCs w:val="24"/>
              </w:rPr>
              <w:t>Запобігти втратам бюджету.</w:t>
            </w:r>
          </w:p>
        </w:tc>
      </w:tr>
    </w:tbl>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spacing w:lineRule="auto" w:line="360" w:beforeAutospacing="0" w:afterAutospacing="0"/>
        <w:jc w:val="both"/>
        <w:rPr>
          <w:color w:val="000000"/>
          <w:sz w:val="4"/>
          <w:szCs w:val="4"/>
        </w:rPr>
      </w:pP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spacing w:lineRule="auto" w:line="360" w:beforeAutospacing="0" w:afterAutospacing="0"/>
        <w:jc w:val="both"/>
        <w:rPr>
          <w:color w:val="000000"/>
          <w:sz w:val="4"/>
          <w:szCs w:val="4"/>
        </w:rPr>
      </w:pPr>
    </w:p>
    <w:tbl>
      <w:tblPr>
        <w:tblStyle w:val="T4"/>
        <w:tblW w:w="9816" w:type="dxa"/>
        <w:tblInd w:w="0" w:type="dxa"/>
        <w:tblBorders>
          <w:top w:val="single" w:sz="6" w:space="0" w:shadow="0" w:frame="0" w:color="000000"/>
          <w:left w:val="single" w:sz="6" w:space="0" w:shadow="0" w:frame="0" w:color="000000"/>
          <w:bottom w:val="single" w:sz="6" w:space="0" w:shadow="0" w:frame="0" w:color="000000"/>
          <w:right w:val="single" w:sz="6" w:space="0" w:shadow="0" w:frame="0" w:color="000000"/>
          <w:insideH w:val="single" w:sz="6" w:space="0" w:shadow="0" w:frame="0" w:color="000000"/>
          <w:insideV w:val="single" w:sz="6" w:space="0" w:shadow="0" w:frame="0" w:color="000000"/>
        </w:tblBorders>
        <w:tblLayout w:type="fixed"/>
        <w:tblLook w:val="0000"/>
      </w:tblPr>
      <w:tblGrid/>
      <w:tr>
        <w:tc>
          <w:tcPr>
            <w:tcW w:w="2064" w:type="dxa"/>
          </w:tcPr>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jc w:val="center"/>
              <w:rPr>
                <w:color w:val="000000"/>
                <w:sz w:val="24"/>
                <w:szCs w:val="24"/>
              </w:rPr>
            </w:pPr>
            <w:r>
              <w:rPr>
                <w:color w:val="000000"/>
                <w:sz w:val="24"/>
                <w:szCs w:val="24"/>
              </w:rPr>
              <w:t>Рейтинг результативності</w:t>
            </w:r>
          </w:p>
        </w:tc>
        <w:tc>
          <w:tcPr>
            <w:tcW w:w="2397" w:type="dxa"/>
          </w:tcPr>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jc w:val="center"/>
              <w:rPr>
                <w:color w:val="000000"/>
                <w:sz w:val="24"/>
                <w:szCs w:val="24"/>
              </w:rPr>
            </w:pPr>
            <w:r>
              <w:rPr>
                <w:color w:val="000000"/>
                <w:sz w:val="24"/>
                <w:szCs w:val="24"/>
              </w:rPr>
              <w:t>Вигоди (підсумок)</w:t>
            </w:r>
          </w:p>
        </w:tc>
        <w:tc>
          <w:tcPr>
            <w:tcW w:w="2389" w:type="dxa"/>
          </w:tcPr>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jc w:val="center"/>
              <w:rPr>
                <w:color w:val="000000"/>
                <w:sz w:val="24"/>
                <w:szCs w:val="24"/>
              </w:rPr>
            </w:pPr>
            <w:r>
              <w:rPr>
                <w:color w:val="000000"/>
                <w:sz w:val="24"/>
                <w:szCs w:val="24"/>
              </w:rPr>
              <w:t>Витрати (підсумок)</w:t>
            </w:r>
          </w:p>
        </w:tc>
        <w:tc>
          <w:tcPr>
            <w:tcW w:w="2966" w:type="dxa"/>
          </w:tcPr>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jc w:val="center"/>
              <w:rPr>
                <w:color w:val="000000"/>
                <w:sz w:val="24"/>
                <w:szCs w:val="24"/>
              </w:rPr>
            </w:pPr>
            <w:r>
              <w:rPr>
                <w:color w:val="000000"/>
                <w:sz w:val="24"/>
                <w:szCs w:val="24"/>
              </w:rPr>
              <w:t>Обґрунтування відповідного місця альтернативи у рейтингу</w:t>
            </w:r>
          </w:p>
        </w:tc>
      </w:tr>
      <w:tr>
        <w:tc>
          <w:tcPr>
            <w:tcW w:w="2064" w:type="dxa"/>
            <w:tcBorders>
              <w:top w:val="single" w:sz="6" w:space="0" w:shadow="0" w:frame="0" w:color="000000"/>
              <w:left w:val="single" w:sz="6" w:space="0" w:shadow="0" w:frame="0" w:color="000000"/>
              <w:bottom w:val="single" w:sz="6" w:space="0" w:shadow="0" w:frame="0" w:color="000000"/>
              <w:right w:val="single" w:sz="6" w:space="0" w:shadow="0" w:frame="0" w:color="000000"/>
            </w:tcBorders>
          </w:tcPr>
          <w:p>
            <w:pPr>
              <w:jc w:val="center"/>
              <w:rPr>
                <w:color w:val="000000"/>
                <w:sz w:val="24"/>
                <w:szCs w:val="24"/>
              </w:rPr>
            </w:pPr>
            <w:r>
              <w:rPr>
                <w:color w:val="000000"/>
                <w:sz w:val="24"/>
                <w:szCs w:val="24"/>
              </w:rPr>
              <w:t>Альтернатива 1. Прийняття постанови Кабінету Міністрів України «Про внесення змін до Порядку зупинення реєстрації податкової накладної / розрахунку коригування в Єдиному реєстрі податкових накладних»</w:t>
            </w:r>
          </w:p>
        </w:tc>
        <w:tc>
          <w:tcPr>
            <w:tcW w:w="2397" w:type="dxa"/>
          </w:tcPr>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jc w:val="both"/>
              <w:rPr>
                <w:color w:val="000000"/>
                <w:sz w:val="24"/>
                <w:szCs w:val="24"/>
              </w:rPr>
            </w:pPr>
            <w:r>
              <w:rPr>
                <w:color w:val="000000"/>
                <w:sz w:val="24"/>
                <w:szCs w:val="24"/>
              </w:rPr>
              <w:t>Дає змогу повністю досягти поставлених цілей державного регулювання.</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jc w:val="both"/>
              <w:rPr>
                <w:color w:val="000000"/>
                <w:sz w:val="24"/>
                <w:szCs w:val="24"/>
              </w:rPr>
            </w:pPr>
            <w:r>
              <w:rPr>
                <w:color w:val="000000"/>
                <w:sz w:val="24"/>
                <w:szCs w:val="24"/>
              </w:rPr>
              <w:t>У разі прийняття проекту акта буде забезпечено:</w:t>
            </w:r>
          </w:p>
          <w:p>
            <w:pPr>
              <w:numPr>
                <w:ilvl w:val="0"/>
                <w:numId w:val="2"/>
              </w:numPr>
              <w:ind w:firstLine="420" w:left="0"/>
              <w:jc w:val="both"/>
              <w:rPr>
                <w:color w:val="000000"/>
                <w:sz w:val="24"/>
                <w:szCs w:val="24"/>
              </w:rPr>
            </w:pPr>
            <w:r>
              <w:rPr>
                <w:color w:val="000000"/>
                <w:sz w:val="24"/>
                <w:szCs w:val="24"/>
              </w:rPr>
              <w:t>Підвищення ефективності запобіганню порушень платниками податкового законодавства з податку на додану вартість шляхом удосконалення СМКОР, передбаченого постановою № 1165.</w:t>
            </w:r>
          </w:p>
          <w:p>
            <w:pPr>
              <w:numPr>
                <w:ilvl w:val="0"/>
                <w:numId w:val="2"/>
              </w:numPr>
              <w:ind w:firstLine="420" w:left="0"/>
              <w:jc w:val="both"/>
              <w:rPr>
                <w:color w:val="000000"/>
                <w:sz w:val="24"/>
                <w:szCs w:val="24"/>
              </w:rPr>
            </w:pPr>
            <w:r>
              <w:rPr>
                <w:color w:val="000000"/>
                <w:sz w:val="24"/>
                <w:szCs w:val="24"/>
              </w:rPr>
              <w:t>Запобігання втрат бюджету.</w:t>
            </w:r>
          </w:p>
        </w:tc>
        <w:tc>
          <w:tcPr>
            <w:tcW w:w="2389" w:type="dxa"/>
          </w:tcPr>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jc w:val="both"/>
              <w:rPr>
                <w:color w:val="000000"/>
                <w:sz w:val="24"/>
                <w:szCs w:val="24"/>
              </w:rPr>
            </w:pPr>
            <w:r>
              <w:rPr>
                <w:color w:val="000000"/>
                <w:sz w:val="24"/>
                <w:szCs w:val="24"/>
              </w:rPr>
              <w:t>Витрати ДПС пов’язані з внесенням змін до СМКОР у зв’язку з розробкою та впровадженням відповідного програмного забезпечення відбуватимуться в межах фінансування ДПС та без залучення додаткових кадрів.</w:t>
            </w:r>
          </w:p>
        </w:tc>
        <w:tc>
          <w:tcPr>
            <w:tcW w:w="2966" w:type="dxa"/>
          </w:tcPr>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jc w:val="both"/>
              <w:rPr>
                <w:color w:val="000000"/>
                <w:sz w:val="24"/>
                <w:szCs w:val="24"/>
              </w:rPr>
            </w:pPr>
            <w:r>
              <w:rPr>
                <w:color w:val="000000"/>
                <w:sz w:val="24"/>
                <w:szCs w:val="24"/>
              </w:rPr>
              <w:t>Є найоптимальнішим серед запропонованих альтернатив, оскільки надає вигоду для сумлінних суб’єктів господарювання та держави без додаткових витрат (як людського ресурсу, так і грошового забезпечення)</w:t>
            </w:r>
          </w:p>
        </w:tc>
      </w:tr>
      <w:tr>
        <w:tc>
          <w:tcPr>
            <w:tcW w:w="2064" w:type="dxa"/>
          </w:tcPr>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jc w:val="center"/>
              <w:rPr>
                <w:color w:val="000000"/>
                <w:sz w:val="24"/>
                <w:szCs w:val="24"/>
              </w:rPr>
            </w:pPr>
            <w:r>
              <w:rPr>
                <w:color w:val="000000"/>
                <w:sz w:val="24"/>
                <w:szCs w:val="24"/>
              </w:rPr>
              <w:t>Альтернатива 2. Збереження чинного регулювання (фактично, відсутність регулювання)</w:t>
            </w:r>
          </w:p>
        </w:tc>
        <w:tc>
          <w:tcPr>
            <w:tcW w:w="2397" w:type="dxa"/>
          </w:tcPr>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jc w:val="center"/>
              <w:rPr>
                <w:color w:val="000000"/>
                <w:sz w:val="24"/>
                <w:szCs w:val="24"/>
              </w:rPr>
            </w:pPr>
            <w:r>
              <w:rPr>
                <w:color w:val="000000"/>
                <w:sz w:val="24"/>
                <w:szCs w:val="24"/>
              </w:rPr>
              <w:t>Відсутні</w:t>
            </w:r>
          </w:p>
        </w:tc>
        <w:tc>
          <w:tcPr>
            <w:tcW w:w="2389" w:type="dxa"/>
          </w:tcPr>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jc w:val="center"/>
              <w:rPr>
                <w:color w:val="000000"/>
                <w:sz w:val="24"/>
                <w:szCs w:val="24"/>
              </w:rPr>
            </w:pPr>
            <w:r>
              <w:rPr>
                <w:color w:val="000000"/>
                <w:sz w:val="24"/>
                <w:szCs w:val="24"/>
              </w:rPr>
              <w:t>Відсутні</w:t>
            </w:r>
          </w:p>
        </w:tc>
        <w:tc>
          <w:tcPr>
            <w:tcW w:w="2966" w:type="dxa"/>
          </w:tcPr>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rPr>
                <w:color w:val="000000"/>
                <w:sz w:val="24"/>
                <w:szCs w:val="24"/>
              </w:rPr>
            </w:pPr>
            <w:r>
              <w:rPr>
                <w:color w:val="000000"/>
                <w:sz w:val="24"/>
                <w:szCs w:val="24"/>
              </w:rPr>
              <w:t>Не дає можливості підвищити ефективність запобігання порушень платниками податкового законодавства з податку на додану вартість та запобігти втратам бюджету.</w:t>
            </w:r>
          </w:p>
        </w:tc>
      </w:tr>
    </w:tbl>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spacing w:before="120" w:beforeAutospacing="0" w:afterAutospacing="0"/>
        <w:jc w:val="center"/>
        <w:rPr>
          <w:b w:val="1"/>
          <w:color w:val="000000"/>
          <w:sz w:val="28"/>
          <w:szCs w:val="28"/>
        </w:rPr>
      </w:pPr>
      <w:r>
        <w:rPr>
          <w:b w:val="1"/>
          <w:color w:val="000000"/>
          <w:sz w:val="28"/>
          <w:szCs w:val="28"/>
        </w:rPr>
        <w:t>V. Механізми та заходи, які забезпечать розв’язання визначеної проблеми</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ind w:firstLine="567"/>
        <w:jc w:val="both"/>
        <w:rPr>
          <w:color w:val="000000"/>
          <w:sz w:val="28"/>
          <w:szCs w:val="28"/>
        </w:rPr>
      </w:pPr>
      <w:r>
        <w:rPr>
          <w:color w:val="000000"/>
          <w:sz w:val="28"/>
          <w:szCs w:val="28"/>
        </w:rPr>
        <w:t>Прийняття проекту акта дасть змогу підвищити ефективність запобігання порушень платниками податкового законодавства з податку на додану вартість та запобігти втратам бюджету.</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ind w:firstLine="567"/>
        <w:jc w:val="both"/>
        <w:rPr>
          <w:color w:val="000000"/>
          <w:sz w:val="28"/>
          <w:szCs w:val="28"/>
        </w:rPr>
      </w:pPr>
      <w:r>
        <w:rPr>
          <w:color w:val="000000"/>
          <w:sz w:val="28"/>
          <w:szCs w:val="28"/>
        </w:rPr>
        <w:t>Реалізація поставлених цілей державного регулювання забезпечується шляхом внесення змін до Порядку зупинення.</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spacing w:before="240" w:beforeAutospacing="0" w:afterAutospacing="0"/>
        <w:jc w:val="center"/>
        <w:rPr>
          <w:b w:val="1"/>
          <w:color w:val="000000"/>
          <w:sz w:val="28"/>
          <w:szCs w:val="28"/>
        </w:rPr>
      </w:pPr>
      <w:r>
        <w:rPr>
          <w:b w:val="1"/>
          <w:color w:val="000000"/>
          <w:sz w:val="28"/>
          <w:szCs w:val="28"/>
        </w:rPr>
        <w:t>VI. Оцінка виконання вимог регуляторного акта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spacing w:before="120" w:beforeAutospacing="0" w:afterAutospacing="0"/>
        <w:ind w:firstLine="567"/>
        <w:jc w:val="both"/>
        <w:rPr>
          <w:color w:val="000000"/>
          <w:sz w:val="28"/>
          <w:szCs w:val="28"/>
        </w:rPr>
      </w:pPr>
      <w:r>
        <w:rPr>
          <w:color w:val="000000"/>
          <w:sz w:val="28"/>
          <w:szCs w:val="28"/>
        </w:rPr>
        <w:t xml:space="preserve">Реалізація проекту акта не передбачає додаткових витрат ДПС у частині внесенням змін до СМКОР у зв’язку з розробкою та впровадженням відповідного програмного забезпечення та відбуватиметься в межах фінансування ДПС, без залучення додаткових кадрів. </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ind w:firstLine="567"/>
        <w:jc w:val="both"/>
        <w:rPr>
          <w:color w:val="000000"/>
          <w:sz w:val="28"/>
          <w:szCs w:val="28"/>
        </w:rPr>
      </w:pPr>
      <w:r>
        <w:rPr>
          <w:color w:val="000000"/>
          <w:sz w:val="28"/>
          <w:szCs w:val="28"/>
        </w:rPr>
        <w:t>Державне регулювання не передбачає утворення нового державного органу (або нового структурного підрозділу діючого органу).</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ind w:firstLine="567"/>
        <w:jc w:val="both"/>
        <w:rPr>
          <w:color w:val="000000"/>
          <w:sz w:val="28"/>
          <w:szCs w:val="28"/>
        </w:rPr>
      </w:pPr>
      <w:r>
        <w:rPr>
          <w:color w:val="000000"/>
          <w:sz w:val="28"/>
          <w:szCs w:val="28"/>
        </w:rPr>
        <w:t>У зв’язку з цим розрахунок витрат на виконання вимог регуляторного акта для органів виконавчої влади чи органів місцевого самоврядування згідно з додатком 3 до Методики проведення аналізу впливу регуляторного акта не проводився.</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spacing w:before="120" w:beforeAutospacing="0" w:afterAutospacing="0"/>
        <w:ind w:firstLine="567"/>
        <w:jc w:val="center"/>
        <w:rPr>
          <w:b w:val="1"/>
          <w:color w:val="000000"/>
          <w:sz w:val="28"/>
          <w:szCs w:val="28"/>
        </w:rPr>
      </w:pPr>
      <w:r>
        <w:rPr>
          <w:b w:val="1"/>
          <w:color w:val="000000"/>
          <w:sz w:val="28"/>
          <w:szCs w:val="28"/>
        </w:rPr>
        <w:t>VII. Обґрунтування запропонованого строку дії регуляторного акта</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spacing w:before="120" w:beforeAutospacing="0" w:afterAutospacing="0"/>
        <w:ind w:firstLine="567"/>
        <w:jc w:val="both"/>
        <w:rPr>
          <w:color w:val="000000"/>
          <w:sz w:val="28"/>
          <w:szCs w:val="28"/>
        </w:rPr>
      </w:pPr>
      <w:r>
        <w:rPr>
          <w:color w:val="000000"/>
          <w:sz w:val="28"/>
          <w:szCs w:val="28"/>
        </w:rPr>
        <w:t>Термін дії є необмеженим, якщо інший не буде визначено нормативно-правовими актами.</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ind w:firstLine="567"/>
        <w:jc w:val="both"/>
        <w:rPr>
          <w:color w:val="000000"/>
          <w:sz w:val="28"/>
          <w:szCs w:val="28"/>
        </w:rPr>
      </w:pPr>
      <w:r>
        <w:rPr>
          <w:color w:val="000000"/>
          <w:sz w:val="28"/>
          <w:szCs w:val="28"/>
        </w:rPr>
        <w:t>Регуляторний акт розроблено відповідно до положень Кодексу. У разі внесення відповідних змін до Кодексу регуляторний акт має бути приведений у відповідність до таких змін.</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spacing w:before="120" w:beforeAutospacing="0" w:afterAutospacing="0"/>
        <w:ind w:firstLine="567"/>
        <w:jc w:val="center"/>
        <w:rPr>
          <w:b w:val="1"/>
          <w:color w:val="000000"/>
          <w:sz w:val="28"/>
          <w:szCs w:val="28"/>
        </w:rPr>
      </w:pPr>
      <w:r>
        <w:rPr>
          <w:b w:val="1"/>
          <w:color w:val="000000"/>
          <w:sz w:val="28"/>
          <w:szCs w:val="28"/>
        </w:rPr>
        <w:t>VIII. Визначення показників результативності дії регуляторного акта</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spacing w:before="120" w:beforeAutospacing="0" w:afterAutospacing="0"/>
        <w:ind w:firstLine="567"/>
        <w:jc w:val="both"/>
        <w:rPr>
          <w:color w:val="000000"/>
          <w:sz w:val="28"/>
          <w:szCs w:val="28"/>
        </w:rPr>
      </w:pPr>
      <w:r>
        <w:rPr>
          <w:color w:val="000000"/>
          <w:sz w:val="28"/>
          <w:szCs w:val="28"/>
        </w:rPr>
        <w:t>Щодо прогнозних значень показників результативності вказаного регуляторного акта слід зазначити таке:</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spacing w:before="120" w:beforeAutospacing="0" w:afterAutospacing="0"/>
        <w:ind w:firstLine="567"/>
        <w:jc w:val="both"/>
        <w:rPr>
          <w:color w:val="000000"/>
          <w:sz w:val="8"/>
          <w:szCs w:val="8"/>
        </w:rPr>
      </w:pPr>
    </w:p>
    <w:tbl>
      <w:tblPr>
        <w:tblStyle w:val="T4"/>
        <w:tblW w:w="9824" w:type="dxa"/>
        <w:tblInd w:w="120" w:type="dxa"/>
        <w:tblBorders>
          <w:top w:val="single" w:sz="6" w:space="0" w:shadow="0" w:frame="0" w:color="000000"/>
          <w:left w:val="single" w:sz="6" w:space="0" w:shadow="0" w:frame="0" w:color="000000"/>
          <w:bottom w:val="single" w:sz="6" w:space="0" w:shadow="0" w:frame="0" w:color="000000"/>
          <w:right w:val="single" w:sz="6" w:space="0" w:shadow="0" w:frame="0" w:color="000000"/>
          <w:insideH w:val="single" w:sz="6" w:space="0" w:shadow="0" w:frame="0" w:color="000000"/>
          <w:insideV w:val="single" w:sz="6" w:space="0" w:shadow="0" w:frame="0" w:color="000000"/>
        </w:tblBorders>
        <w:tblLayout w:type="fixed"/>
        <w:tblLook w:val="0000"/>
      </w:tblPr>
      <w:tblGrid/>
      <w:tr>
        <w:trPr>
          <w:trHeight w:hRule="atLeast" w:val="596"/>
        </w:trPr>
        <w:tc>
          <w:tcPr>
            <w:tcW w:w="5146" w:type="dxa"/>
            <w:tcBorders>
              <w:top w:val="single" w:sz="6" w:space="0" w:shadow="0" w:frame="0" w:color="000000"/>
              <w:left w:val="single" w:sz="6" w:space="0" w:shadow="0" w:frame="0" w:color="000000"/>
              <w:bottom w:val="single" w:sz="6" w:space="0" w:shadow="0" w:frame="0" w:color="000000"/>
              <w:right w:val="single" w:sz="6" w:space="0" w:shadow="0" w:frame="0" w:color="000000"/>
            </w:tcBorders>
          </w:tcPr>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ind w:firstLine="284" w:right="-2"/>
              <w:jc w:val="both"/>
              <w:rPr>
                <w:color w:val="000000"/>
                <w:sz w:val="24"/>
                <w:szCs w:val="24"/>
              </w:rPr>
            </w:pPr>
            <w:r>
              <w:rPr>
                <w:color w:val="000000"/>
                <w:sz w:val="24"/>
                <w:szCs w:val="24"/>
              </w:rPr>
              <w:t>Розмір надходжень до бюджету в разі прийняття регуляторного акта</w:t>
            </w:r>
          </w:p>
        </w:tc>
        <w:tc>
          <w:tcPr>
            <w:tcW w:w="4678" w:type="dxa"/>
            <w:tcBorders>
              <w:top w:val="single" w:sz="6" w:space="0" w:shadow="0" w:frame="0" w:color="000000"/>
              <w:left w:val="single" w:sz="6" w:space="0" w:shadow="0" w:frame="0" w:color="000000"/>
              <w:bottom w:val="single" w:sz="6" w:space="0" w:shadow="0" w:frame="0" w:color="000000"/>
              <w:right w:val="single" w:sz="6" w:space="0" w:shadow="0" w:frame="0" w:color="000000"/>
            </w:tcBorders>
          </w:tcPr>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ind w:firstLine="284" w:right="-2"/>
              <w:jc w:val="both"/>
              <w:rPr>
                <w:color w:val="000000"/>
                <w:sz w:val="24"/>
                <w:szCs w:val="24"/>
              </w:rPr>
            </w:pPr>
            <w:r>
              <w:rPr>
                <w:color w:val="000000"/>
                <w:sz w:val="24"/>
                <w:szCs w:val="24"/>
              </w:rPr>
              <w:t>Прийняття цієї постанови не впливатиме на розмір надходжень до бюджету</w:t>
            </w:r>
          </w:p>
        </w:tc>
      </w:tr>
      <w:tr>
        <w:trPr>
          <w:trHeight w:hRule="atLeast" w:val="951"/>
        </w:trPr>
        <w:tc>
          <w:tcPr>
            <w:tcW w:w="5146" w:type="dxa"/>
            <w:tcBorders>
              <w:top w:val="single" w:sz="6" w:space="0" w:shadow="0" w:frame="0" w:color="000000"/>
              <w:left w:val="single" w:sz="6" w:space="0" w:shadow="0" w:frame="0" w:color="000000"/>
              <w:bottom w:val="single" w:sz="6" w:space="0" w:shadow="0" w:frame="0" w:color="000000"/>
              <w:right w:val="single" w:sz="6" w:space="0" w:shadow="0" w:frame="0" w:color="000000"/>
            </w:tcBorders>
          </w:tcPr>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ind w:firstLine="284" w:right="-2"/>
              <w:jc w:val="both"/>
              <w:rPr>
                <w:color w:val="000000"/>
                <w:sz w:val="24"/>
                <w:szCs w:val="24"/>
              </w:rPr>
            </w:pPr>
            <w:r>
              <w:rPr>
                <w:color w:val="000000"/>
                <w:sz w:val="24"/>
                <w:szCs w:val="24"/>
              </w:rPr>
              <w:t>Кількість платників, на яких поширюється дія акта</w:t>
            </w:r>
          </w:p>
        </w:tc>
        <w:tc>
          <w:tcPr>
            <w:tcW w:w="4678" w:type="dxa"/>
            <w:tcBorders>
              <w:top w:val="single" w:sz="6" w:space="0" w:shadow="0" w:frame="0" w:color="000000"/>
              <w:left w:val="single" w:sz="6" w:space="0" w:shadow="0" w:frame="0" w:color="000000"/>
              <w:bottom w:val="single" w:sz="6" w:space="0" w:shadow="0" w:frame="0" w:color="000000"/>
              <w:right w:val="single" w:sz="6" w:space="0" w:shadow="0" w:frame="0" w:color="000000"/>
            </w:tcBorders>
          </w:tcPr>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ind w:firstLine="284"/>
              <w:jc w:val="both"/>
              <w:rPr>
                <w:color w:val="000000"/>
                <w:sz w:val="24"/>
                <w:szCs w:val="24"/>
              </w:rPr>
            </w:pPr>
            <w:r>
              <w:rPr>
                <w:color w:val="000000"/>
                <w:sz w:val="24"/>
                <w:szCs w:val="24"/>
              </w:rPr>
              <w:t>Дія регуляторного акта поширюється на платників, зареєстрованих як платники податку на додану вартість</w:t>
            </w:r>
          </w:p>
        </w:tc>
      </w:tr>
      <w:tr>
        <w:tc>
          <w:tcPr>
            <w:tcW w:w="5146" w:type="dxa"/>
            <w:tcBorders>
              <w:top w:val="single" w:sz="6" w:space="0" w:shadow="0" w:frame="0" w:color="000000"/>
              <w:left w:val="single" w:sz="6" w:space="0" w:shadow="0" w:frame="0" w:color="000000"/>
              <w:bottom w:val="single" w:sz="6" w:space="0" w:shadow="0" w:frame="0" w:color="000000"/>
              <w:right w:val="single" w:sz="6" w:space="0" w:shadow="0" w:frame="0" w:color="000000"/>
            </w:tcBorders>
          </w:tcPr>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ind w:firstLine="284" w:right="-2"/>
              <w:jc w:val="both"/>
              <w:rPr>
                <w:color w:val="000000"/>
                <w:sz w:val="24"/>
                <w:szCs w:val="24"/>
              </w:rPr>
            </w:pPr>
            <w:r>
              <w:rPr>
                <w:color w:val="000000"/>
                <w:sz w:val="24"/>
                <w:szCs w:val="24"/>
              </w:rPr>
              <w:t>Час та кошти, витрачені платниками податків на реалізацію регуляторного акта</w:t>
            </w:r>
          </w:p>
        </w:tc>
        <w:tc>
          <w:tcPr>
            <w:tcW w:w="4678" w:type="dxa"/>
            <w:tcBorders>
              <w:top w:val="single" w:sz="6" w:space="0" w:shadow="0" w:frame="0" w:color="000000"/>
              <w:left w:val="single" w:sz="6" w:space="0" w:shadow="0" w:frame="0" w:color="000000"/>
              <w:bottom w:val="single" w:sz="6" w:space="0" w:shadow="0" w:frame="0" w:color="000000"/>
              <w:right w:val="single" w:sz="6" w:space="0" w:shadow="0" w:frame="0" w:color="000000"/>
            </w:tcBorders>
          </w:tcPr>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ind w:firstLine="284" w:right="-2"/>
              <w:jc w:val="both"/>
              <w:rPr>
                <w:color w:val="000000"/>
                <w:sz w:val="24"/>
                <w:szCs w:val="24"/>
              </w:rPr>
            </w:pPr>
            <w:r>
              <w:rPr>
                <w:color w:val="000000"/>
                <w:sz w:val="24"/>
                <w:szCs w:val="24"/>
              </w:rPr>
              <w:t>Витрати платників податку на додану вартість, які виникнуть внаслідок дії регуляторного акта, відсутні</w:t>
            </w:r>
          </w:p>
        </w:tc>
      </w:tr>
      <w:tr>
        <w:tc>
          <w:tcPr>
            <w:tcW w:w="5146" w:type="dxa"/>
            <w:tcBorders>
              <w:top w:val="single" w:sz="6" w:space="0" w:shadow="0" w:frame="0" w:color="000000"/>
              <w:left w:val="single" w:sz="6" w:space="0" w:shadow="0" w:frame="0" w:color="000000"/>
              <w:bottom w:val="single" w:sz="6" w:space="0" w:shadow="0" w:frame="0" w:color="000000"/>
              <w:right w:val="single" w:sz="6" w:space="0" w:shadow="0" w:frame="0" w:color="000000"/>
            </w:tcBorders>
          </w:tcPr>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ind w:firstLine="284" w:right="-2"/>
              <w:jc w:val="both"/>
              <w:rPr>
                <w:color w:val="000000"/>
                <w:sz w:val="24"/>
                <w:szCs w:val="24"/>
              </w:rPr>
            </w:pPr>
            <w:r>
              <w:rPr>
                <w:color w:val="000000"/>
                <w:sz w:val="24"/>
                <w:szCs w:val="24"/>
              </w:rPr>
              <w:t>Рівень поінформованості платників податків</w:t>
            </w:r>
          </w:p>
        </w:tc>
        <w:tc>
          <w:tcPr>
            <w:tcW w:w="4678" w:type="dxa"/>
            <w:tcBorders>
              <w:top w:val="single" w:sz="6" w:space="0" w:shadow="0" w:frame="0" w:color="000000"/>
              <w:left w:val="single" w:sz="6" w:space="0" w:shadow="0" w:frame="0" w:color="000000"/>
              <w:bottom w:val="single" w:sz="6" w:space="0" w:shadow="0" w:frame="0" w:color="000000"/>
              <w:right w:val="single" w:sz="6" w:space="0" w:shadow="0" w:frame="0" w:color="000000"/>
            </w:tcBorders>
          </w:tcPr>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ind w:firstLine="284"/>
              <w:jc w:val="both"/>
              <w:rPr>
                <w:color w:val="000000"/>
                <w:sz w:val="24"/>
                <w:szCs w:val="24"/>
              </w:rPr>
            </w:pPr>
            <w:r>
              <w:rPr>
                <w:color w:val="000000"/>
                <w:sz w:val="24"/>
                <w:szCs w:val="24"/>
              </w:rPr>
              <w:t xml:space="preserve">Рівень поінформованості платників податку на додану вартість, щодо основних положень постанови, є високим, оскільки постанову оприлюднено на офіційному вебпорталі Міністерства фінансів України. </w:t>
            </w:r>
          </w:p>
        </w:tc>
      </w:tr>
    </w:tbl>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spacing w:before="120" w:beforeAutospacing="0" w:afterAutospacing="0"/>
        <w:ind w:firstLine="567"/>
        <w:jc w:val="both"/>
        <w:rPr>
          <w:color w:val="000000"/>
          <w:sz w:val="24"/>
          <w:szCs w:val="24"/>
        </w:rPr>
      </w:pPr>
      <w:r>
        <w:rPr>
          <w:color w:val="000000"/>
          <w:sz w:val="28"/>
          <w:szCs w:val="28"/>
        </w:rPr>
        <w:t>За результатами відстеження регуляторного акта розробником визначаються такі показники:</w:t>
      </w:r>
    </w:p>
    <w:tbl>
      <w:tblPr>
        <w:tblStyle w:val="T4"/>
        <w:tblW w:w="9781" w:type="dxa"/>
        <w:tblInd w:w="163" w:type="dxa"/>
        <w:tblBorders>
          <w:top w:val="single" w:sz="6" w:space="0" w:shadow="0" w:frame="0" w:color="000000"/>
          <w:left w:val="single" w:sz="6" w:space="0" w:shadow="0" w:frame="0" w:color="000000"/>
          <w:bottom w:val="single" w:sz="6" w:space="0" w:shadow="0" w:frame="0" w:color="000000"/>
          <w:right w:val="single" w:sz="6" w:space="0" w:shadow="0" w:frame="0" w:color="000000"/>
          <w:insideH w:val="single" w:sz="6" w:space="0" w:shadow="0" w:frame="0" w:color="000000"/>
          <w:insideV w:val="single" w:sz="6" w:space="0" w:shadow="0" w:frame="0" w:color="000000"/>
        </w:tblBorders>
        <w:tblLayout w:type="fixed"/>
        <w:tblLook w:val="0000"/>
      </w:tblPr>
      <w:tblGrid/>
      <w:tr>
        <w:tc>
          <w:tcPr>
            <w:tcW w:w="5103" w:type="dxa"/>
            <w:tcBorders>
              <w:top w:val="single" w:sz="6" w:space="0" w:shadow="0" w:frame="0" w:color="000000"/>
              <w:left w:val="single" w:sz="6" w:space="0" w:shadow="0" w:frame="0" w:color="000000"/>
              <w:bottom w:val="single" w:sz="6" w:space="0" w:shadow="0" w:frame="0" w:color="000000"/>
              <w:right w:val="single" w:sz="6" w:space="0" w:shadow="0" w:frame="0" w:color="000000"/>
            </w:tcBorders>
          </w:tcPr>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ind w:firstLine="284"/>
              <w:jc w:val="both"/>
              <w:rPr>
                <w:color w:val="000000"/>
                <w:sz w:val="24"/>
                <w:szCs w:val="24"/>
              </w:rPr>
            </w:pPr>
            <w:r>
              <w:rPr>
                <w:color w:val="000000"/>
                <w:sz w:val="24"/>
                <w:szCs w:val="24"/>
              </w:rPr>
              <w:t>Загальна кількість платників податку на додану вартість</w:t>
            </w:r>
          </w:p>
        </w:tc>
        <w:tc>
          <w:tcPr>
            <w:tcW w:w="4678" w:type="dxa"/>
            <w:tcBorders>
              <w:top w:val="single" w:sz="6" w:space="0" w:shadow="0" w:frame="0" w:color="000000"/>
              <w:left w:val="single" w:sz="6" w:space="0" w:shadow="0" w:frame="0" w:color="000000"/>
              <w:bottom w:val="single" w:sz="6" w:space="0" w:shadow="0" w:frame="0" w:color="000000"/>
              <w:right w:val="single" w:sz="6" w:space="0" w:shadow="0" w:frame="0" w:color="000000"/>
            </w:tcBorders>
          </w:tcPr>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ind w:firstLine="284"/>
              <w:jc w:val="both"/>
              <w:rPr>
                <w:color w:val="000000"/>
                <w:sz w:val="24"/>
                <w:szCs w:val="24"/>
              </w:rPr>
            </w:pPr>
            <w:r>
              <w:rPr>
                <w:color w:val="000000"/>
                <w:sz w:val="24"/>
                <w:szCs w:val="24"/>
              </w:rPr>
              <w:t xml:space="preserve">Показник буде наведено під час здійснення відстеження результативності регуляторного акта шляхом проведення аналізу кількості платників податку на додану вартість, які намагалися порушити податкове законодавство шляхом  маніпулювання показниками та ознаками, визначеними постановою № 1165.</w:t>
            </w:r>
          </w:p>
        </w:tc>
      </w:tr>
      <w:tr>
        <w:tc>
          <w:tcPr>
            <w:tcW w:w="5103" w:type="dxa"/>
            <w:tcBorders>
              <w:top w:val="single" w:sz="6" w:space="0" w:shadow="0" w:frame="0" w:color="000000"/>
              <w:left w:val="single" w:sz="6" w:space="0" w:shadow="0" w:frame="0" w:color="000000"/>
              <w:bottom w:val="single" w:sz="6" w:space="0" w:shadow="0" w:frame="0" w:color="000000"/>
              <w:right w:val="single" w:sz="6" w:space="0" w:shadow="0" w:frame="0" w:color="000000"/>
            </w:tcBorders>
          </w:tcPr>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ind w:firstLine="284"/>
              <w:jc w:val="both"/>
              <w:rPr>
                <w:color w:val="000000"/>
                <w:sz w:val="24"/>
                <w:szCs w:val="24"/>
              </w:rPr>
            </w:pPr>
            <w:r>
              <w:rPr>
                <w:color w:val="000000"/>
                <w:sz w:val="24"/>
                <w:szCs w:val="24"/>
              </w:rPr>
              <w:t>Сума надходжень до Державного бюджету України податку на додану вартість</w:t>
            </w:r>
          </w:p>
        </w:tc>
        <w:tc>
          <w:tcPr>
            <w:tcW w:w="4678" w:type="dxa"/>
            <w:tcBorders>
              <w:top w:val="single" w:sz="6" w:space="0" w:shadow="0" w:frame="0" w:color="000000"/>
              <w:left w:val="single" w:sz="6" w:space="0" w:shadow="0" w:frame="0" w:color="000000"/>
              <w:bottom w:val="single" w:sz="6" w:space="0" w:shadow="0" w:frame="0" w:color="000000"/>
              <w:right w:val="single" w:sz="6" w:space="0" w:shadow="0" w:frame="0" w:color="000000"/>
            </w:tcBorders>
          </w:tcPr>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ind w:firstLine="284"/>
              <w:jc w:val="both"/>
              <w:rPr>
                <w:color w:val="000000"/>
                <w:sz w:val="24"/>
                <w:szCs w:val="24"/>
              </w:rPr>
            </w:pPr>
            <w:r>
              <w:rPr>
                <w:color w:val="000000"/>
                <w:sz w:val="24"/>
                <w:szCs w:val="24"/>
              </w:rPr>
              <w:t>Показник буде наведений під час здійснення відстеження результативності регуляторного акта шляхом здійснення аналізу загальної суми надходжень до державного бюджету податку на додану вартість.</w:t>
            </w:r>
          </w:p>
        </w:tc>
      </w:tr>
    </w:tbl>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jc w:val="both"/>
        <w:rPr>
          <w:color w:val="000000"/>
          <w:sz w:val="16"/>
          <w:szCs w:val="16"/>
        </w:rPr>
      </w:pP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spacing w:before="120" w:beforeAutospacing="0" w:afterAutospacing="0"/>
        <w:ind w:firstLine="567"/>
        <w:jc w:val="center"/>
        <w:rPr>
          <w:b w:val="1"/>
          <w:color w:val="000000"/>
          <w:sz w:val="28"/>
          <w:szCs w:val="28"/>
        </w:rPr>
      </w:pPr>
      <w:r>
        <w:rPr>
          <w:b w:val="1"/>
          <w:color w:val="000000"/>
          <w:sz w:val="28"/>
          <w:szCs w:val="28"/>
        </w:rPr>
        <w:t>IX. Визначення заходів, за допомогою яких здійснюватиметься відстеження результативності дії регуляторного акта</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spacing w:before="120" w:beforeAutospacing="0" w:afterAutospacing="0"/>
        <w:ind w:firstLine="567"/>
        <w:jc w:val="center"/>
        <w:rPr>
          <w:b w:val="1"/>
          <w:color w:val="000000"/>
          <w:sz w:val="8"/>
          <w:szCs w:val="8"/>
        </w:rPr>
      </w:pP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ind w:firstLine="567"/>
        <w:jc w:val="both"/>
        <w:rPr>
          <w:color w:val="000000"/>
          <w:sz w:val="28"/>
          <w:szCs w:val="28"/>
        </w:rPr>
      </w:pPr>
      <w:r>
        <w:rPr>
          <w:color w:val="000000"/>
          <w:sz w:val="28"/>
          <w:szCs w:val="28"/>
        </w:rPr>
        <w:t>Відстеження результативності регуляторного акта буде проводитись шляхом здійснення статистичного аналізу на основі офіційних даних ДПС, отриманих з Реєстру платників податку на додану вартість, Реєстру та інших баз даних ДПС.</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ind w:firstLine="567"/>
        <w:jc w:val="both"/>
        <w:rPr>
          <w:color w:val="000000"/>
          <w:sz w:val="28"/>
          <w:szCs w:val="28"/>
        </w:rPr>
      </w:pPr>
      <w:r>
        <w:rPr>
          <w:color w:val="000000"/>
          <w:sz w:val="28"/>
          <w:szCs w:val="28"/>
        </w:rPr>
        <w:t>Базове відстеження результативності регуляторного акта буде проводитись через рік після набрання чинності цим регуляторним актом, але не пізніше дня, з якого починається проведення повторного відстеження результативності зазначеної постанови.</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ind w:firstLine="567"/>
        <w:jc w:val="both"/>
        <w:rPr>
          <w:color w:val="000000"/>
          <w:sz w:val="28"/>
          <w:szCs w:val="28"/>
        </w:rPr>
      </w:pPr>
      <w:r>
        <w:rPr>
          <w:color w:val="000000"/>
          <w:sz w:val="28"/>
          <w:szCs w:val="28"/>
        </w:rPr>
        <w:t>Повторне відстеження буде здійснюватися не пізніше ніж протягом двох років з дня набрання чинності постанови.</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ind w:firstLine="567"/>
        <w:jc w:val="both"/>
        <w:rPr>
          <w:color w:val="000000"/>
          <w:sz w:val="28"/>
          <w:szCs w:val="28"/>
        </w:rPr>
      </w:pPr>
      <w:r>
        <w:rPr>
          <w:color w:val="000000"/>
          <w:sz w:val="28"/>
          <w:szCs w:val="28"/>
        </w:rPr>
        <w:t>Відповідальним виконавцем заходів щодо відстеження результативності постанови визначити Міністерство фінансів України.</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spacing w:before="120" w:beforeAutospacing="0" w:afterAutospacing="0"/>
        <w:ind w:firstLine="720"/>
        <w:jc w:val="both"/>
        <w:rPr>
          <w:color w:val="000000"/>
          <w:sz w:val="28"/>
          <w:szCs w:val="28"/>
          <w:highlight w:val="yellow"/>
        </w:rPr>
      </w:pPr>
      <w:bookmarkStart w:id="0" w:name="_GoBack"/>
      <w:bookmarkEnd w:id="0"/>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ind w:firstLine="720"/>
        <w:jc w:val="both"/>
        <w:rPr>
          <w:color w:val="000000"/>
          <w:sz w:val="28"/>
          <w:szCs w:val="28"/>
          <w:highlight w:val="yellow"/>
        </w:rPr>
      </w:pP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rPr>
          <w:color w:val="000000"/>
          <w:sz w:val="28"/>
          <w:szCs w:val="28"/>
        </w:rPr>
      </w:pPr>
      <w:r>
        <w:rPr>
          <w:b w:val="1"/>
          <w:color w:val="000000"/>
          <w:sz w:val="28"/>
          <w:szCs w:val="28"/>
        </w:rPr>
        <w:t xml:space="preserve">Міністр фінансів України                                                     Сергій МАРЧЕНКО</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rPr>
          <w:color w:val="000000"/>
          <w:sz w:val="28"/>
          <w:szCs w:val="28"/>
        </w:rPr>
      </w:pP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rPr>
          <w:color w:val="000000"/>
          <w:sz w:val="28"/>
          <w:szCs w:val="28"/>
        </w:rPr>
      </w:pP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rPr>
          <w:color w:val="000000"/>
          <w:sz w:val="28"/>
          <w:szCs w:val="28"/>
        </w:rPr>
      </w:pPr>
    </w:p>
    <w:sectPr>
      <w:headerReference xmlns:r="http://schemas.openxmlformats.org/officeDocument/2006/relationships" w:type="default" r:id="RelHdr1"/>
      <w:headerReference xmlns:r="http://schemas.openxmlformats.org/officeDocument/2006/relationships" w:type="even" r:id="RelHdr2"/>
      <w:footnotePr/>
      <w:endnotePr/>
      <w:type w:val="nextPage"/>
      <w:pgSz w:w="11906" w:h="16838" w:code="0"/>
      <w:pgMar w:left="1701" w:right="567" w:top="851" w:bottom="1418" w:header="709" w:footer="709" w:gutter="0"/>
      <w:pgNumType w:start="1" w:chapSep="period"/>
      <w:cols w:equalWidth="1" w:space="720"/>
      <w:titlePg w:val="1"/>
    </w:sectPr>
  </w:body>
</w:document>
</file>

<file path=word/endnotes.xml><?xml version="1.0" encoding="utf-8"?>
<w:endnotes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endnote w:type="separator" w:id="-1">
    <w:p/>
  </w:endnote>
  <w:endnote w:type="continuationSeparator" w:id="0">
    <w:p/>
  </w:endnote>
</w:endnotes>
</file>

<file path=word/footnotes.xml><?xml version="1.0" encoding="utf-8"?>
<w:footnotes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footnote w:type="separator" w:id="-1">
    <w:p/>
  </w:footnote>
  <w:footnote w:type="continuationSeparator" w:id="0">
    <w:p/>
  </w:footnote>
</w:footnotes>
</file>

<file path=word/header1.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tabs>
        <w:tab w:val="center" w:pos="4677" w:leader="none"/>
        <w:tab w:val="right" w:pos="9355" w:leader="none"/>
      </w:tabs>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Pr>
        <w:color w:val="000000"/>
        <w:sz w:val="24"/>
        <w:szCs w:val="24"/>
      </w:rPr>
      <w:t>#</w:t>
    </w:r>
    <w:r>
      <w:rPr>
        <w:color w:val="000000"/>
        <w:sz w:val="24"/>
        <w:szCs w:val="24"/>
      </w:rPr>
      <w:fldChar w:fldCharType="end"/>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tabs>
        <w:tab w:val="center" w:pos="4677" w:leader="none"/>
        <w:tab w:val="right" w:pos="9355" w:leader="none"/>
      </w:tabs>
      <w:jc w:val="center"/>
      <w:rPr>
        <w:color w:val="000000"/>
        <w:sz w:val="28"/>
        <w:szCs w:val="28"/>
      </w:rPr>
    </w:pPr>
  </w:p>
</w:hdr>
</file>

<file path=word/header2.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tabs>
        <w:tab w:val="center" w:pos="4677" w:leader="none"/>
        <w:tab w:val="right" w:pos="9355" w:leader="none"/>
      </w:tabs>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Pr>
        <w:color w:val="000000"/>
        <w:sz w:val="24"/>
        <w:szCs w:val="24"/>
      </w:rPr>
      <w:t>#</w:t>
    </w:r>
    <w:r>
      <w:rPr>
        <w:color w:val="000000"/>
        <w:sz w:val="24"/>
        <w:szCs w:val="24"/>
      </w:rPr>
      <w:fldChar w:fldCharType="end"/>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tabs>
        <w:tab w:val="center" w:pos="4677" w:leader="none"/>
        <w:tab w:val="right" w:pos="9355" w:leader="none"/>
      </w:tabs>
      <w:rPr>
        <w:color w:val="000000"/>
        <w:sz w:val="24"/>
        <w:szCs w:val="24"/>
      </w:rPr>
    </w:pPr>
  </w:p>
</w:hdr>
</file>

<file path=word/numbering.xml><?xml version="1.0" encoding="utf-8"?>
<w:numbering xmlns:w="http://schemas.openxmlformats.org/wordprocessingml/2006/main">
  <w:abstractNum w:abstractNumId="0">
    <w:nsid w:val="11080C24"/>
    <w:multiLevelType w:val="multilevel"/>
    <w:lvl w:ilvl="0">
      <w:start w:val="1"/>
      <w:numFmt w:val="upperRoman"/>
      <w:suff w:val="tab"/>
      <w:lvlText w:val="%1."/>
      <w:lvlJc w:val="left"/>
      <w:pPr>
        <w:ind w:hanging="720" w:left="1080"/>
      </w:pPr>
      <w:rPr>
        <w:vertAlign w:val="baseline"/>
      </w:rPr>
    </w:lvl>
    <w:lvl w:ilvl="1">
      <w:start w:val="1"/>
      <w:numFmt w:val="lowerLetter"/>
      <w:suff w:val="tab"/>
      <w:lvlText w:val="%2."/>
      <w:lvlJc w:val="left"/>
      <w:pPr>
        <w:ind w:hanging="360" w:left="1440"/>
      </w:pPr>
      <w:rPr>
        <w:vertAlign w:val="baseline"/>
      </w:rPr>
    </w:lvl>
    <w:lvl w:ilvl="2">
      <w:start w:val="1"/>
      <w:numFmt w:val="lowerRoman"/>
      <w:suff w:val="tab"/>
      <w:lvlText w:val="%3."/>
      <w:lvlJc w:val="right"/>
      <w:pPr>
        <w:ind w:hanging="180" w:left="2160"/>
      </w:pPr>
      <w:rPr>
        <w:vertAlign w:val="baseline"/>
      </w:rPr>
    </w:lvl>
    <w:lvl w:ilvl="3">
      <w:start w:val="1"/>
      <w:numFmt w:val="decimal"/>
      <w:suff w:val="tab"/>
      <w:lvlText w:val="%4."/>
      <w:lvlJc w:val="left"/>
      <w:pPr>
        <w:ind w:hanging="360" w:left="2880"/>
      </w:pPr>
      <w:rPr>
        <w:vertAlign w:val="baseline"/>
      </w:rPr>
    </w:lvl>
    <w:lvl w:ilvl="4">
      <w:start w:val="1"/>
      <w:numFmt w:val="lowerLetter"/>
      <w:suff w:val="tab"/>
      <w:lvlText w:val="%5."/>
      <w:lvlJc w:val="left"/>
      <w:pPr>
        <w:ind w:hanging="360" w:left="3600"/>
      </w:pPr>
      <w:rPr>
        <w:vertAlign w:val="baseline"/>
      </w:rPr>
    </w:lvl>
    <w:lvl w:ilvl="5">
      <w:start w:val="1"/>
      <w:numFmt w:val="lowerRoman"/>
      <w:suff w:val="tab"/>
      <w:lvlText w:val="%6."/>
      <w:lvlJc w:val="right"/>
      <w:pPr>
        <w:ind w:hanging="180" w:left="4320"/>
      </w:pPr>
      <w:rPr>
        <w:vertAlign w:val="baseline"/>
      </w:rPr>
    </w:lvl>
    <w:lvl w:ilvl="6">
      <w:start w:val="1"/>
      <w:numFmt w:val="decimal"/>
      <w:suff w:val="tab"/>
      <w:lvlText w:val="%7."/>
      <w:lvlJc w:val="left"/>
      <w:pPr>
        <w:ind w:hanging="360" w:left="5040"/>
      </w:pPr>
      <w:rPr>
        <w:vertAlign w:val="baseline"/>
      </w:rPr>
    </w:lvl>
    <w:lvl w:ilvl="7">
      <w:start w:val="1"/>
      <w:numFmt w:val="lowerLetter"/>
      <w:suff w:val="tab"/>
      <w:lvlText w:val="%8."/>
      <w:lvlJc w:val="left"/>
      <w:pPr>
        <w:ind w:hanging="360" w:left="5760"/>
      </w:pPr>
      <w:rPr>
        <w:vertAlign w:val="baseline"/>
      </w:rPr>
    </w:lvl>
    <w:lvl w:ilvl="8">
      <w:start w:val="1"/>
      <w:numFmt w:val="lowerRoman"/>
      <w:suff w:val="tab"/>
      <w:lvlText w:val="%9."/>
      <w:lvlJc w:val="right"/>
      <w:pPr>
        <w:ind w:hanging="180" w:left="6480"/>
      </w:pPr>
      <w:rPr>
        <w:vertAlign w:val="baseline"/>
      </w:rPr>
    </w:lvl>
  </w:abstractNum>
  <w:abstractNum w:abstractNumId="1">
    <w:nsid w:val="30950941"/>
    <w:multiLevelType w:val="multilevel"/>
    <w:lvl w:ilvl="0">
      <w:start w:val="1"/>
      <w:numFmt w:val="decimal"/>
      <w:suff w:val="tab"/>
      <w:lvlText w:val="%1."/>
      <w:lvlJc w:val="left"/>
      <w:pPr>
        <w:ind w:hanging="360" w:left="720"/>
      </w:pPr>
      <w:rPr>
        <w:u w:val="none"/>
      </w:rPr>
    </w:lvl>
    <w:lvl w:ilvl="1">
      <w:start w:val="1"/>
      <w:numFmt w:val="lowerLetter"/>
      <w:suff w:val="tab"/>
      <w:lvlText w:val="%2."/>
      <w:lvlJc w:val="left"/>
      <w:pPr>
        <w:ind w:hanging="360" w:left="1440"/>
      </w:pPr>
      <w:rPr>
        <w:u w:val="none"/>
      </w:rPr>
    </w:lvl>
    <w:lvl w:ilvl="2">
      <w:start w:val="1"/>
      <w:numFmt w:val="lowerRoman"/>
      <w:suff w:val="tab"/>
      <w:lvlText w:val="%3."/>
      <w:lvlJc w:val="right"/>
      <w:pPr>
        <w:ind w:hanging="360" w:left="2160"/>
      </w:pPr>
      <w:rPr>
        <w:u w:val="none"/>
      </w:rPr>
    </w:lvl>
    <w:lvl w:ilvl="3">
      <w:start w:val="1"/>
      <w:numFmt w:val="decimal"/>
      <w:suff w:val="tab"/>
      <w:lvlText w:val="%4."/>
      <w:lvlJc w:val="left"/>
      <w:pPr>
        <w:ind w:hanging="360" w:left="2880"/>
      </w:pPr>
      <w:rPr>
        <w:u w:val="none"/>
      </w:rPr>
    </w:lvl>
    <w:lvl w:ilvl="4">
      <w:start w:val="1"/>
      <w:numFmt w:val="lowerLetter"/>
      <w:suff w:val="tab"/>
      <w:lvlText w:val="%5."/>
      <w:lvlJc w:val="left"/>
      <w:pPr>
        <w:ind w:hanging="360" w:left="3600"/>
      </w:pPr>
      <w:rPr>
        <w:u w:val="none"/>
      </w:rPr>
    </w:lvl>
    <w:lvl w:ilvl="5">
      <w:start w:val="1"/>
      <w:numFmt w:val="lowerRoman"/>
      <w:suff w:val="tab"/>
      <w:lvlText w:val="%6."/>
      <w:lvlJc w:val="right"/>
      <w:pPr>
        <w:ind w:hanging="360" w:left="4320"/>
      </w:pPr>
      <w:rPr>
        <w:u w:val="none"/>
      </w:rPr>
    </w:lvl>
    <w:lvl w:ilvl="6">
      <w:start w:val="1"/>
      <w:numFmt w:val="decimal"/>
      <w:suff w:val="tab"/>
      <w:lvlText w:val="%7."/>
      <w:lvlJc w:val="left"/>
      <w:pPr>
        <w:ind w:hanging="360" w:left="5040"/>
      </w:pPr>
      <w:rPr>
        <w:u w:val="none"/>
      </w:rPr>
    </w:lvl>
    <w:lvl w:ilvl="7">
      <w:start w:val="1"/>
      <w:numFmt w:val="lowerLetter"/>
      <w:suff w:val="tab"/>
      <w:lvlText w:val="%8."/>
      <w:lvlJc w:val="left"/>
      <w:pPr>
        <w:ind w:hanging="360" w:left="5760"/>
      </w:pPr>
      <w:rPr>
        <w:u w:val="none"/>
      </w:rPr>
    </w:lvl>
    <w:lvl w:ilvl="8">
      <w:start w:val="1"/>
      <w:numFmt w:val="lowerRoman"/>
      <w:suff w:val="tab"/>
      <w:lvlText w:val="%9."/>
      <w:lvlJc w:val="right"/>
      <w:pPr>
        <w:ind w:hanging="360" w:left="6480"/>
      </w:pPr>
      <w:rPr>
        <w:u w:val="none"/>
      </w:rPr>
    </w:lvl>
  </w:abstractNum>
  <w:abstractNum w:abstractNumId="2">
    <w:nsid w:val="57F04ADB"/>
    <w:multiLevelType w:val="multilevel"/>
    <w:lvl w:ilvl="0">
      <w:start w:val="1"/>
      <w:numFmt w:val="decimal"/>
      <w:suff w:val="tab"/>
      <w:lvlText w:val="%1."/>
      <w:lvlJc w:val="left"/>
      <w:pPr>
        <w:ind w:hanging="360" w:left="720"/>
      </w:pPr>
      <w:rPr>
        <w:u w:val="none"/>
      </w:rPr>
    </w:lvl>
    <w:lvl w:ilvl="1">
      <w:start w:val="1"/>
      <w:numFmt w:val="lowerLetter"/>
      <w:suff w:val="tab"/>
      <w:lvlText w:val="%2."/>
      <w:lvlJc w:val="left"/>
      <w:pPr>
        <w:ind w:hanging="360" w:left="1440"/>
      </w:pPr>
      <w:rPr>
        <w:u w:val="none"/>
      </w:rPr>
    </w:lvl>
    <w:lvl w:ilvl="2">
      <w:start w:val="1"/>
      <w:numFmt w:val="lowerRoman"/>
      <w:suff w:val="tab"/>
      <w:lvlText w:val="%3."/>
      <w:lvlJc w:val="right"/>
      <w:pPr>
        <w:ind w:hanging="360" w:left="2160"/>
      </w:pPr>
      <w:rPr>
        <w:u w:val="none"/>
      </w:rPr>
    </w:lvl>
    <w:lvl w:ilvl="3">
      <w:start w:val="1"/>
      <w:numFmt w:val="decimal"/>
      <w:suff w:val="tab"/>
      <w:lvlText w:val="%4."/>
      <w:lvlJc w:val="left"/>
      <w:pPr>
        <w:ind w:hanging="360" w:left="2880"/>
      </w:pPr>
      <w:rPr>
        <w:u w:val="none"/>
      </w:rPr>
    </w:lvl>
    <w:lvl w:ilvl="4">
      <w:start w:val="1"/>
      <w:numFmt w:val="lowerLetter"/>
      <w:suff w:val="tab"/>
      <w:lvlText w:val="%5."/>
      <w:lvlJc w:val="left"/>
      <w:pPr>
        <w:ind w:hanging="360" w:left="3600"/>
      </w:pPr>
      <w:rPr>
        <w:u w:val="none"/>
      </w:rPr>
    </w:lvl>
    <w:lvl w:ilvl="5">
      <w:start w:val="1"/>
      <w:numFmt w:val="lowerRoman"/>
      <w:suff w:val="tab"/>
      <w:lvlText w:val="%6."/>
      <w:lvlJc w:val="right"/>
      <w:pPr>
        <w:ind w:hanging="360" w:left="4320"/>
      </w:pPr>
      <w:rPr>
        <w:u w:val="none"/>
      </w:rPr>
    </w:lvl>
    <w:lvl w:ilvl="6">
      <w:start w:val="1"/>
      <w:numFmt w:val="decimal"/>
      <w:suff w:val="tab"/>
      <w:lvlText w:val="%7."/>
      <w:lvlJc w:val="left"/>
      <w:pPr>
        <w:ind w:hanging="360" w:left="5040"/>
      </w:pPr>
      <w:rPr>
        <w:u w:val="none"/>
      </w:rPr>
    </w:lvl>
    <w:lvl w:ilvl="7">
      <w:start w:val="1"/>
      <w:numFmt w:val="lowerLetter"/>
      <w:suff w:val="tab"/>
      <w:lvlText w:val="%8."/>
      <w:lvlJc w:val="left"/>
      <w:pPr>
        <w:ind w:hanging="360" w:left="5760"/>
      </w:pPr>
      <w:rPr>
        <w:u w:val="none"/>
      </w:rPr>
    </w:lvl>
    <w:lvl w:ilvl="8">
      <w:start w:val="1"/>
      <w:numFmt w:val="lowerRoman"/>
      <w:suff w:val="tab"/>
      <w:lvlText w:val="%9."/>
      <w:lvlJc w:val="right"/>
      <w:pPr>
        <w:ind w:hanging="360" w:left="6480"/>
      </w:pPr>
      <w:rPr>
        <w:u w:val="none"/>
      </w:rPr>
    </w:lvl>
  </w:abstractNum>
  <w:abstractNum w:abstractNumId="3">
    <w:nsid w:val="7BE962DE"/>
    <w:multiLevelType w:val="multilevel"/>
    <w:lvl w:ilvl="0">
      <w:start w:val="1"/>
      <w:numFmt w:val="decimal"/>
      <w:suff w:val="tab"/>
      <w:lvlText w:val="%1."/>
      <w:lvlJc w:val="left"/>
      <w:pPr>
        <w:ind w:hanging="360" w:left="720"/>
      </w:pPr>
      <w:rPr>
        <w:u w:val="none"/>
      </w:rPr>
    </w:lvl>
    <w:lvl w:ilvl="1">
      <w:start w:val="1"/>
      <w:numFmt w:val="lowerLetter"/>
      <w:suff w:val="tab"/>
      <w:lvlText w:val="%2."/>
      <w:lvlJc w:val="left"/>
      <w:pPr>
        <w:ind w:hanging="360" w:left="1440"/>
      </w:pPr>
      <w:rPr>
        <w:u w:val="none"/>
      </w:rPr>
    </w:lvl>
    <w:lvl w:ilvl="2">
      <w:start w:val="1"/>
      <w:numFmt w:val="lowerRoman"/>
      <w:suff w:val="tab"/>
      <w:lvlText w:val="%3."/>
      <w:lvlJc w:val="right"/>
      <w:pPr>
        <w:ind w:hanging="360" w:left="2160"/>
      </w:pPr>
      <w:rPr>
        <w:u w:val="none"/>
      </w:rPr>
    </w:lvl>
    <w:lvl w:ilvl="3">
      <w:start w:val="1"/>
      <w:numFmt w:val="decimal"/>
      <w:suff w:val="tab"/>
      <w:lvlText w:val="%4."/>
      <w:lvlJc w:val="left"/>
      <w:pPr>
        <w:ind w:hanging="360" w:left="2880"/>
      </w:pPr>
      <w:rPr>
        <w:u w:val="none"/>
      </w:rPr>
    </w:lvl>
    <w:lvl w:ilvl="4">
      <w:start w:val="1"/>
      <w:numFmt w:val="lowerLetter"/>
      <w:suff w:val="tab"/>
      <w:lvlText w:val="%5."/>
      <w:lvlJc w:val="left"/>
      <w:pPr>
        <w:ind w:hanging="360" w:left="3600"/>
      </w:pPr>
      <w:rPr>
        <w:u w:val="none"/>
      </w:rPr>
    </w:lvl>
    <w:lvl w:ilvl="5">
      <w:start w:val="1"/>
      <w:numFmt w:val="lowerRoman"/>
      <w:suff w:val="tab"/>
      <w:lvlText w:val="%6."/>
      <w:lvlJc w:val="right"/>
      <w:pPr>
        <w:ind w:hanging="360" w:left="4320"/>
      </w:pPr>
      <w:rPr>
        <w:u w:val="none"/>
      </w:rPr>
    </w:lvl>
    <w:lvl w:ilvl="6">
      <w:start w:val="1"/>
      <w:numFmt w:val="decimal"/>
      <w:suff w:val="tab"/>
      <w:lvlText w:val="%7."/>
      <w:lvlJc w:val="left"/>
      <w:pPr>
        <w:ind w:hanging="360" w:left="5040"/>
      </w:pPr>
      <w:rPr>
        <w:u w:val="none"/>
      </w:rPr>
    </w:lvl>
    <w:lvl w:ilvl="7">
      <w:start w:val="1"/>
      <w:numFmt w:val="lowerLetter"/>
      <w:suff w:val="tab"/>
      <w:lvlText w:val="%8."/>
      <w:lvlJc w:val="left"/>
      <w:pPr>
        <w:ind w:hanging="360" w:left="5760"/>
      </w:pPr>
      <w:rPr>
        <w:u w:val="none"/>
      </w:rPr>
    </w:lvl>
    <w:lvl w:ilvl="8">
      <w:start w:val="1"/>
      <w:numFmt w:val="lowerRoman"/>
      <w:suff w:val="tab"/>
      <w:lvlText w:val="%9."/>
      <w:lvlJc w:val="right"/>
      <w:pPr>
        <w:ind w:hanging="360" w:left="6480"/>
      </w:pPr>
      <w:rPr>
        <w:u w:val="none"/>
      </w:rPr>
    </w:lvl>
  </w:abstractNum>
  <w:num w:numId="1">
    <w:abstractNumId w:val="3"/>
  </w:num>
  <w:num w:numId="2">
    <w:abstractNumId w:val="2"/>
  </w:num>
  <w:num w:numId="3">
    <w:abstractNumId w:val="1"/>
  </w:num>
  <w:num w:numId="4">
    <w:abstractNumId w:val="0"/>
  </w:num>
</w:numbering>
</file>

<file path=word/settings.xml><?xml version="1.0" encoding="utf-8"?>
<w:settings xmlns:w="http://schemas.openxmlformats.org/wordprocessingml/2006/main">
  <w:displayBackgroundShape w:val="0"/>
  <w:defaultTabStop w:val="720"/>
  <w:autoHyphenation w:val="0"/>
  <w:hyphenationZone w:val="425"/>
  <w:evenAndOddHeaders w:val="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clrSchemeMapping w:bg1="light1" w:t1="dark1" w:bg2="light2" w:t2="dark2" w:accent1="accent1" w:accent2="accent2" w:accent3="accent3" w:accent4="accent4" w:accent5="accent5" w:accent6="accent6" w:hyperlink="hyperlink" w:followedHyperlink="followedHyperlink"/>
  <w:footnotePr>
    <w:footnote w:id="-1"/>
    <w:footnote w:id="0"/>
  </w:footnotePr>
  <w:endnotePr>
    <w:endnote w:id="-1"/>
    <w:endnote w:id="0"/>
  </w:endnotePr>
</w:settings>
</file>

<file path=word/styles.xml><?xml version="1.0" encoding="utf-8"?>
<w:styles xmlns:w="http://schemas.openxmlformats.org/wordprocessingml/2006/main">
  <w:docDefaults>
    <w:rPrDefault>
      <w:rPr>
        <w:rFonts w:ascii="Times New Roman" w:hAnsi="Times New Roman"/>
        <w:sz w:val="20"/>
        <w:szCs w:val="22"/>
        <w:lang w:val="uk-UA" w:bidi="ar-SA" w:eastAsia="uk-UA"/>
      </w:rPr>
    </w:rPrDefault>
    <w:pPrDefault>
      <w:pPr>
        <w:keepNext w:val="0"/>
        <w:keepLines w:val="0"/>
        <w:pageBreakBefore w:val="0"/>
        <w:widowControl w:val="1"/>
        <w:suppressLineNumbers w:val="0"/>
        <w:shd w:val="clear" w:fill="auto"/>
        <w:suppressAutoHyphens w:val="0"/>
        <w:spacing w:lineRule="auto" w:line="240" w:before="0" w:after="0" w:beforeAutospacing="0" w:afterAutospacing="0"/>
        <w:ind w:firstLine="0" w:left="0" w:right="0"/>
        <w:contextualSpacing w:val="0"/>
        <w:bidi w:val="0"/>
        <w:jc w:val="left"/>
        <w:outlineLvl w:val="9"/>
      </w:pPr>
    </w:pPrDefault>
  </w:docDefaults>
  <w:style w:type="paragraph" w:styleId="P0" w:default="1">
    <w:name w:val="Normal"/>
    <w:qFormat/>
    <w:pPr/>
    <w:rPr/>
  </w:style>
  <w:style w:type="paragraph" w:styleId="P1">
    <w:name w:val="heading 1"/>
    <w:basedOn w:val="P0"/>
    <w:next w:val="P0"/>
    <w:qFormat/>
    <w:pPr>
      <w:keepNext w:val="1"/>
      <w:keepLines w:val="1"/>
      <w:spacing w:before="480" w:after="120" w:beforeAutospacing="0" w:afterAutospacing="0"/>
      <w:outlineLvl w:val="0"/>
    </w:pPr>
    <w:rPr>
      <w:b w:val="1"/>
      <w:sz w:val="48"/>
      <w:szCs w:val="48"/>
    </w:rPr>
  </w:style>
  <w:style w:type="paragraph" w:styleId="P2">
    <w:name w:val="heading 2"/>
    <w:basedOn w:val="P8"/>
    <w:next w:val="P8"/>
    <w:semiHidden/>
    <w:qFormat/>
    <w:pPr>
      <w:keepNext w:val="1"/>
      <w:spacing w:before="240" w:after="60" w:beforeAutospacing="0" w:afterAutospacing="0"/>
      <w:outlineLvl w:val="1"/>
    </w:pPr>
    <w:rPr>
      <w:rFonts w:ascii="Cambria" w:hAnsi="Cambria"/>
      <w:b w:val="1"/>
      <w:i w:val="1"/>
      <w:bCs w:val="1"/>
      <w:iCs w:val="1"/>
      <w:sz w:val="28"/>
      <w:szCs w:val="28"/>
    </w:rPr>
  </w:style>
  <w:style w:type="paragraph" w:styleId="P3">
    <w:name w:val="heading 3"/>
    <w:basedOn w:val="P8"/>
    <w:semiHidden/>
    <w:qFormat/>
    <w:pPr>
      <w:spacing w:before="100" w:after="100" w:beforeAutospacing="1" w:afterAutospacing="1"/>
      <w:outlineLvl w:val="2"/>
    </w:pPr>
    <w:rPr>
      <w:b w:val="1"/>
      <w:bCs w:val="1"/>
      <w:sz w:val="27"/>
      <w:szCs w:val="27"/>
    </w:rPr>
  </w:style>
  <w:style w:type="paragraph" w:styleId="P4">
    <w:name w:val="heading 4"/>
    <w:basedOn w:val="P0"/>
    <w:next w:val="P0"/>
    <w:semiHidden/>
    <w:qFormat/>
    <w:pPr>
      <w:keepNext w:val="1"/>
      <w:keepLines w:val="1"/>
      <w:spacing w:before="240" w:after="40" w:beforeAutospacing="0" w:afterAutospacing="0"/>
      <w:outlineLvl w:val="3"/>
    </w:pPr>
    <w:rPr>
      <w:b w:val="1"/>
      <w:sz w:val="24"/>
      <w:szCs w:val="24"/>
    </w:rPr>
  </w:style>
  <w:style w:type="paragraph" w:styleId="P5">
    <w:name w:val="heading 5"/>
    <w:basedOn w:val="P0"/>
    <w:next w:val="P0"/>
    <w:semiHidden/>
    <w:qFormat/>
    <w:pPr>
      <w:keepNext w:val="1"/>
      <w:keepLines w:val="1"/>
      <w:spacing w:before="220" w:after="40" w:beforeAutospacing="0" w:afterAutospacing="0"/>
      <w:outlineLvl w:val="4"/>
    </w:pPr>
    <w:rPr>
      <w:b w:val="1"/>
      <w:sz w:val="22"/>
      <w:szCs w:val="22"/>
    </w:rPr>
  </w:style>
  <w:style w:type="paragraph" w:styleId="P6">
    <w:name w:val="heading 6"/>
    <w:basedOn w:val="P0"/>
    <w:next w:val="P0"/>
    <w:semiHidden/>
    <w:qFormat/>
    <w:pPr>
      <w:keepNext w:val="1"/>
      <w:keepLines w:val="1"/>
      <w:spacing w:before="200" w:after="40" w:beforeAutospacing="0" w:afterAutospacing="0"/>
      <w:outlineLvl w:val="5"/>
    </w:pPr>
    <w:rPr>
      <w:b w:val="1"/>
    </w:rPr>
  </w:style>
  <w:style w:type="paragraph" w:styleId="P7">
    <w:name w:val="Title"/>
    <w:basedOn w:val="P0"/>
    <w:next w:val="P0"/>
    <w:qFormat/>
    <w:pPr>
      <w:keepNext w:val="1"/>
      <w:keepLines w:val="1"/>
      <w:spacing w:before="480" w:after="120" w:beforeAutospacing="0" w:afterAutospacing="0"/>
    </w:pPr>
    <w:rPr>
      <w:b w:val="1"/>
      <w:sz w:val="72"/>
      <w:szCs w:val="72"/>
    </w:rPr>
  </w:style>
  <w:style w:type="paragraph" w:styleId="P8">
    <w:name w:val="Звичайний1"/>
    <w:pPr>
      <w:suppressAutoHyphens w:val="1"/>
      <w:spacing w:lineRule="atLeast" w:line="1" w:beforeAutospacing="0" w:afterAutospacing="0"/>
      <w:ind w:hanging="1" w:left="-1"/>
      <w:outlineLvl w:val="0"/>
    </w:pPr>
    <w:rPr>
      <w:sz w:val="24"/>
      <w:szCs w:val="24"/>
      <w:position w:val="-1"/>
      <w:lang w:val="ru-RU"/>
    </w:rPr>
  </w:style>
  <w:style w:type="paragraph" w:styleId="P9">
    <w:name w:val="Звичайний (веб);Обычный (веб) Знак;Знак1 Знак;Знак1 Знак Знак;Знак1 Знак Знак Знак Знак Знак Знак Знак;Знак1;Знак1 Знак Знак Знак;Знак;Обычный (веб) Знак2;Обычный (веб) Знак1 Знак;Обычный (веб) Знак Знак Знак;Знак1 Знак1 Знак Знак Знак Знак;Знак1 Знак2"/>
    <w:basedOn w:val="P8"/>
    <w:pPr>
      <w:spacing w:before="100" w:after="100" w:beforeAutospacing="1" w:afterAutospacing="1"/>
    </w:pPr>
    <w:rPr/>
  </w:style>
  <w:style w:type="paragraph" w:styleId="P10">
    <w:name w:val="Знак Знак Знак Знак Знак Знак Знак Знак1"/>
    <w:basedOn w:val="P8"/>
    <w:pPr/>
    <w:rPr>
      <w:rFonts w:ascii="Verdana" w:hAnsi="Verdana"/>
      <w:sz w:val="20"/>
      <w:szCs w:val="20"/>
      <w:lang w:val="en-US" w:eastAsia="en-US"/>
    </w:rPr>
  </w:style>
  <w:style w:type="paragraph" w:styleId="P11">
    <w:name w:val="Верхній колонтитул1"/>
    <w:basedOn w:val="P8"/>
    <w:pPr>
      <w:tabs>
        <w:tab w:val="center" w:pos="4677" w:leader="none"/>
        <w:tab w:val="right" w:pos="9355" w:leader="none"/>
      </w:tabs>
    </w:pPr>
    <w:rPr/>
  </w:style>
  <w:style w:type="paragraph" w:styleId="P12">
    <w:name w:val="Нижній колонтитул1"/>
    <w:basedOn w:val="P8"/>
    <w:pPr>
      <w:tabs>
        <w:tab w:val="center" w:pos="4677" w:leader="none"/>
        <w:tab w:val="right" w:pos="9355" w:leader="none"/>
      </w:tabs>
    </w:pPr>
    <w:rPr/>
  </w:style>
  <w:style w:type="paragraph" w:styleId="P13">
    <w:name w:val="Char Знак Знак Char Знак Знак Char Знак Знак Char Знак Знак Знак Знак Знак1 Знак"/>
    <w:basedOn w:val="P8"/>
    <w:pPr/>
    <w:rPr>
      <w:rFonts w:ascii="Verdana" w:hAnsi="Verdana"/>
      <w:sz w:val="20"/>
      <w:szCs w:val="20"/>
      <w:lang w:val="en-US" w:eastAsia="en-US"/>
    </w:rPr>
  </w:style>
  <w:style w:type="paragraph" w:styleId="P14">
    <w:name w:val="Знак Знак Знак Знак Знак Знак Знак"/>
    <w:basedOn w:val="P8"/>
    <w:pPr>
      <w:spacing w:after="120" w:beforeAutospacing="0" w:afterAutospacing="0"/>
      <w:ind w:firstLine="709"/>
      <w:jc w:val="both"/>
    </w:pPr>
    <w:rPr>
      <w:rFonts w:ascii="Verdana" w:hAnsi="Verdana"/>
      <w:sz w:val="20"/>
      <w:szCs w:val="20"/>
      <w:lang w:val="en-US" w:eastAsia="en-US"/>
    </w:rPr>
  </w:style>
  <w:style w:type="paragraph" w:styleId="P15">
    <w:name w:val="Текст у виносці1"/>
    <w:basedOn w:val="P8"/>
    <w:pPr/>
    <w:rPr>
      <w:rFonts w:ascii="Tahoma" w:hAnsi="Tahoma"/>
      <w:sz w:val="16"/>
      <w:szCs w:val="16"/>
    </w:rPr>
  </w:style>
  <w:style w:type="paragraph" w:styleId="P16">
    <w:name w:val="Char Знак Знак Char Знак Знак Char Знак Знак Char Знак Знак Знак Знак Знак Знак"/>
    <w:basedOn w:val="P8"/>
    <w:pPr/>
    <w:rPr>
      <w:rFonts w:ascii="Verdana" w:hAnsi="Verdana"/>
      <w:sz w:val="20"/>
      <w:szCs w:val="20"/>
      <w:lang w:val="en-US" w:eastAsia="en-US"/>
    </w:rPr>
  </w:style>
  <w:style w:type="paragraph" w:styleId="P17">
    <w:name w:val="Текст виноски1"/>
    <w:basedOn w:val="P8"/>
    <w:pPr/>
    <w:rPr>
      <w:sz w:val="20"/>
      <w:szCs w:val="20"/>
    </w:rPr>
  </w:style>
  <w:style w:type="paragraph" w:styleId="P18">
    <w:name w:val="Знак Знак1 Знак"/>
    <w:basedOn w:val="P8"/>
    <w:pPr/>
    <w:rPr>
      <w:rFonts w:ascii="Verdana" w:hAnsi="Verdana"/>
      <w:sz w:val="20"/>
      <w:szCs w:val="20"/>
      <w:lang w:val="en-US" w:eastAsia="en-US"/>
    </w:rPr>
  </w:style>
  <w:style w:type="paragraph" w:styleId="P19">
    <w:name w:val="Char Знак Знак Char Знак Знак Char Знак Знак Char Знак Знак Знак Знак Знак Знак Знак Знак"/>
    <w:basedOn w:val="P8"/>
    <w:pPr/>
    <w:rPr>
      <w:rFonts w:ascii="Verdana" w:hAnsi="Verdana"/>
      <w:sz w:val="20"/>
      <w:szCs w:val="20"/>
      <w:lang w:val="en-US" w:eastAsia="en-US"/>
    </w:rPr>
  </w:style>
  <w:style w:type="paragraph" w:styleId="P20">
    <w:name w:val="Char Знак Знак Char Знак Знак Char Знак Знак Char Знак Знак Знак Знак"/>
    <w:basedOn w:val="P8"/>
    <w:pPr/>
    <w:rPr>
      <w:rFonts w:ascii="Verdana" w:hAnsi="Verdana"/>
      <w:sz w:val="20"/>
      <w:szCs w:val="20"/>
      <w:lang w:val="en-US" w:eastAsia="en-US"/>
    </w:rPr>
  </w:style>
  <w:style w:type="paragraph" w:styleId="P21">
    <w:name w:val="StyleZakonu"/>
    <w:basedOn w:val="P8"/>
    <w:pPr>
      <w:spacing w:lineRule="atLeast" w:line="220" w:after="60" w:beforeAutospacing="0" w:afterAutospacing="0"/>
      <w:ind w:firstLine="284"/>
      <w:jc w:val="both"/>
    </w:pPr>
    <w:rPr>
      <w:sz w:val="20"/>
      <w:szCs w:val="20"/>
      <w:lang w:val="uk-UA"/>
    </w:rPr>
  </w:style>
  <w:style w:type="paragraph" w:styleId="P22">
    <w:name w:val="Знак Знак Знак Знак Знак Знак Знак Знак"/>
    <w:basedOn w:val="P8"/>
    <w:pPr/>
    <w:rPr>
      <w:rFonts w:ascii="Verdana" w:hAnsi="Verdana"/>
      <w:sz w:val="20"/>
      <w:szCs w:val="20"/>
      <w:lang w:val="en-US" w:eastAsia="en-US"/>
    </w:rPr>
  </w:style>
  <w:style w:type="paragraph" w:styleId="P23">
    <w:name w:val="Знак Знак Знак Знак Знак Знак Знак Знак Знак Знак Знак Знак Знак Знак"/>
    <w:basedOn w:val="P8"/>
    <w:pPr/>
    <w:rPr>
      <w:rFonts w:ascii="Verdana" w:hAnsi="Verdana"/>
      <w:sz w:val="20"/>
      <w:szCs w:val="20"/>
      <w:lang w:val="en-US" w:eastAsia="en-US"/>
    </w:rPr>
  </w:style>
  <w:style w:type="paragraph" w:styleId="P24">
    <w:name w:val="Char Знак Знак Char Знак Знак Char Знак Знак Char Знак Знак Знак Знак Знак"/>
    <w:basedOn w:val="P8"/>
    <w:pPr/>
    <w:rPr>
      <w:rFonts w:ascii="Verdana" w:hAnsi="Verdana"/>
      <w:sz w:val="20"/>
      <w:szCs w:val="20"/>
      <w:lang w:val="en-US" w:eastAsia="en-US"/>
    </w:rPr>
  </w:style>
  <w:style w:type="paragraph" w:styleId="P25">
    <w:name w:val="Style 2"/>
    <w:basedOn w:val="P8"/>
    <w:pPr>
      <w:widowControl w:val="0"/>
      <w:shd w:val="clear" w:fill="FFFFFF"/>
      <w:spacing w:lineRule="atLeast" w:line="307" w:after="540" w:beforeAutospacing="0" w:afterAutospacing="0"/>
      <w:jc w:val="center"/>
    </w:pPr>
    <w:rPr>
      <w:sz w:val="26"/>
      <w:szCs w:val="26"/>
    </w:rPr>
  </w:style>
  <w:style w:type="paragraph" w:styleId="P26">
    <w:name w:val="Знак Знак Знак Знак Знак Знак"/>
    <w:basedOn w:val="P8"/>
    <w:pPr/>
    <w:rPr>
      <w:rFonts w:ascii="Verdana" w:hAnsi="Verdana"/>
      <w:sz w:val="20"/>
      <w:szCs w:val="20"/>
      <w:lang w:val="en-US" w:eastAsia="en-US"/>
    </w:rPr>
  </w:style>
  <w:style w:type="paragraph" w:styleId="P27">
    <w:name w:val="Основний текст 21"/>
    <w:basedOn w:val="P8"/>
    <w:pPr>
      <w:ind w:firstLine="567" w:right="-2"/>
      <w:jc w:val="both"/>
    </w:pPr>
    <w:rPr>
      <w:i w:val="1"/>
      <w:iCs w:val="1"/>
      <w:sz w:val="28"/>
      <w:szCs w:val="28"/>
      <w:lang w:val="uk-UA"/>
    </w:rPr>
  </w:style>
  <w:style w:type="paragraph" w:styleId="P28">
    <w:name w:val="Текст примітки1"/>
    <w:basedOn w:val="P8"/>
    <w:qFormat/>
    <w:pPr/>
    <w:rPr>
      <w:sz w:val="20"/>
      <w:szCs w:val="20"/>
    </w:rPr>
  </w:style>
  <w:style w:type="paragraph" w:styleId="P29">
    <w:name w:val="Тема примітки1"/>
    <w:basedOn w:val="P28"/>
    <w:next w:val="P28"/>
    <w:qFormat/>
    <w:pPr/>
    <w:rPr>
      <w:b w:val="1"/>
      <w:bCs w:val="1"/>
    </w:rPr>
  </w:style>
  <w:style w:type="paragraph" w:styleId="P30">
    <w:name w:val="Subtitle"/>
    <w:basedOn w:val="P0"/>
    <w:next w:val="P0"/>
    <w:pPr>
      <w:keepNext w:val="1"/>
      <w:keepLines w:val="1"/>
      <w:spacing w:before="360" w:after="80" w:beforeAutospacing="0" w:afterAutospacing="0"/>
    </w:pPr>
    <w:rPr>
      <w:rFonts w:ascii="Georgia" w:hAnsi="Georgia"/>
      <w:i w:val="1"/>
      <w:color w:val="666666"/>
      <w:sz w:val="48"/>
      <w:szCs w:val="48"/>
    </w:rPr>
  </w:style>
  <w:style w:type="paragraph" w:styleId="P31">
    <w:name w:val="footnote text"/>
    <w:link w:val="C16"/>
    <w:semiHidden/>
    <w:pPr>
      <w:spacing w:lineRule="auto" w:line="240" w:after="0"/>
    </w:pPr>
    <w:rPr>
      <w:sz w:val="20"/>
      <w:szCs w:val="20"/>
    </w:rPr>
  </w:style>
  <w:style w:type="paragraph" w:styleId="P32">
    <w:name w:val="endnote text"/>
    <w:link w:val="C18"/>
    <w:semiHidden/>
    <w:pPr>
      <w:spacing w:lineRule="auto" w:line="240" w:after="0"/>
    </w:pPr>
    <w:rPr>
      <w:sz w:val="20"/>
      <w:szCs w:val="20"/>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Шрифт абзацу за промовчанням;Знак Знак Знак Знак Знак Знак Знак Знак1 Знак"/>
    <w:rPr>
      <w:vertAlign w:val="baseline"/>
      <w:cs w:val="0"/>
      <w:w w:val="100"/>
      <w:position w:val="-1"/>
    </w:rPr>
  </w:style>
  <w:style w:type="character" w:styleId="C4">
    <w:name w:val="Звичайний (веб) Знак;Обычный (веб) Знак Знак;Знак1 Знак Знак1;Знак1 Знак Знак Знак1;Знак1 Знак Знак Знак Знак Знак Знак Знак Знак;Знак1 Знак1;Знак1 Знак Знак Знак Знак;Знак Знак;Обычный (веб) Знак2 Знак;Обычный (веб) Знак1 Знак Знак;Знак1 Знак2 Знак"/>
    <w:rPr>
      <w:sz w:val="24"/>
      <w:szCs w:val="24"/>
      <w:vertAlign w:val="baseline"/>
      <w:cs w:val="0"/>
      <w:w w:val="100"/>
      <w:position w:val="-1"/>
      <w:lang w:val="ru-RU" w:bidi="ar-SA" w:eastAsia="ru-RU"/>
    </w:rPr>
  </w:style>
  <w:style w:type="character" w:styleId="C5">
    <w:name w:val="Номер сторінки1"/>
    <w:basedOn w:val="C3"/>
    <w:rPr>
      <w:vertAlign w:val="baseline"/>
      <w:cs w:val="0"/>
      <w:w w:val="100"/>
      <w:position w:val="-1"/>
    </w:rPr>
  </w:style>
  <w:style w:type="character" w:styleId="C6">
    <w:name w:val="Знак виноски1"/>
    <w:rPr>
      <w:vertAlign w:val="superscript"/>
      <w:cs w:val="0"/>
      <w:w w:val="100"/>
      <w:position w:val="-1"/>
    </w:rPr>
  </w:style>
  <w:style w:type="character" w:styleId="C7">
    <w:name w:val="Font Style15"/>
    <w:rPr>
      <w:rFonts w:ascii="Times New Roman" w:hAnsi="Times New Roman"/>
      <w:sz w:val="26"/>
      <w:szCs w:val="26"/>
      <w:vertAlign w:val="baseline"/>
      <w:cs w:val="0"/>
      <w:w w:val="100"/>
      <w:position w:val="-1"/>
    </w:rPr>
  </w:style>
  <w:style w:type="character" w:styleId="C8">
    <w:name w:val="StyleZakonu Знак"/>
    <w:rPr>
      <w:vertAlign w:val="baseline"/>
      <w:cs w:val="0"/>
      <w:w w:val="100"/>
      <w:position w:val="-1"/>
      <w:lang w:val="uk-UA" w:bidi="ar-SA" w:eastAsia="ru-RU"/>
    </w:rPr>
  </w:style>
  <w:style w:type="character" w:styleId="C9">
    <w:name w:val="Char Style 3"/>
    <w:rPr>
      <w:sz w:val="26"/>
      <w:szCs w:val="26"/>
      <w:shd w:val="clear" w:color="auto" w:fill="FFFFFF"/>
      <w:vertAlign w:val="baseline"/>
      <w:cs w:val="0"/>
      <w:w w:val="100"/>
      <w:position w:val="-1"/>
    </w:rPr>
  </w:style>
  <w:style w:type="character" w:styleId="C10">
    <w:name w:val="Заголовок 2 Знак"/>
    <w:rPr>
      <w:rFonts w:ascii="Cambria" w:hAnsi="Cambria"/>
      <w:b w:val="1"/>
      <w:i w:val="1"/>
      <w:bCs w:val="1"/>
      <w:iCs w:val="1"/>
      <w:sz w:val="28"/>
      <w:szCs w:val="28"/>
      <w:vertAlign w:val="baseline"/>
      <w:cs w:val="0"/>
      <w:w w:val="100"/>
      <w:position w:val="-1"/>
      <w:lang w:val="ru-RU" w:eastAsia="ru-RU"/>
    </w:rPr>
  </w:style>
  <w:style w:type="character" w:styleId="C11">
    <w:name w:val="Основний текст 2 Знак"/>
    <w:rPr>
      <w:i w:val="1"/>
      <w:iCs w:val="1"/>
      <w:sz w:val="28"/>
      <w:szCs w:val="28"/>
      <w:vertAlign w:val="baseline"/>
      <w:cs w:val="0"/>
      <w:w w:val="100"/>
      <w:position w:val="-1"/>
      <w:lang w:eastAsia="ru-RU"/>
    </w:rPr>
  </w:style>
  <w:style w:type="character" w:styleId="C12">
    <w:name w:val="Знак примітки1"/>
    <w:qFormat/>
    <w:rPr>
      <w:sz w:val="16"/>
      <w:szCs w:val="16"/>
      <w:vertAlign w:val="baseline"/>
      <w:cs w:val="0"/>
      <w:w w:val="100"/>
      <w:position w:val="-1"/>
    </w:rPr>
  </w:style>
  <w:style w:type="character" w:styleId="C13">
    <w:name w:val="Текст примітки Знак"/>
    <w:rPr>
      <w:vertAlign w:val="baseline"/>
      <w:cs w:val="0"/>
      <w:w w:val="100"/>
      <w:position w:val="-1"/>
      <w:lang w:val="ru-RU" w:eastAsia="ru-RU"/>
    </w:rPr>
  </w:style>
  <w:style w:type="character" w:styleId="C14">
    <w:name w:val="Тема примітки Знак"/>
    <w:rPr>
      <w:b w:val="1"/>
      <w:bCs w:val="1"/>
      <w:vertAlign w:val="baseline"/>
      <w:cs w:val="0"/>
      <w:w w:val="100"/>
      <w:position w:val="-1"/>
      <w:lang w:val="ru-RU" w:eastAsia="ru-RU"/>
    </w:rPr>
  </w:style>
  <w:style w:type="character" w:styleId="C15">
    <w:name w:val="footnote reference"/>
    <w:semiHidden/>
    <w:rPr>
      <w:vertAlign w:val="superscript"/>
    </w:rPr>
  </w:style>
  <w:style w:type="character" w:styleId="C16">
    <w:name w:val="Footnote Text Char"/>
    <w:link w:val="P31"/>
    <w:semiHidden/>
    <w:rPr>
      <w:sz w:val="20"/>
      <w:szCs w:val="20"/>
    </w:rPr>
  </w:style>
  <w:style w:type="character" w:styleId="C17">
    <w:name w:val="endnote reference"/>
    <w:semiHidden/>
    <w:rPr>
      <w:vertAlign w:val="superscript"/>
    </w:rPr>
  </w:style>
  <w:style w:type="character" w:styleId="C18">
    <w:name w:val="Endnote Text Char"/>
    <w:link w:val="P32"/>
    <w:semiHidden/>
    <w:rPr>
      <w:sz w:val="20"/>
      <w:szCs w:val="20"/>
    </w:rPr>
  </w:style>
  <w:style w:type="table" w:styleId="T0" w:default="1">
    <w:name w:val="Normal Table"/>
    <w:semiHidden/>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Normal"/>
    <w:tblPr>
      <w:tblCellMar>
        <w:top w:w="0" w:type="dxa"/>
        <w:left w:w="0" w:type="dxa"/>
        <w:bottom w:w="0" w:type="dxa"/>
        <w:right w:w="0" w:type="dxa"/>
      </w:tblCellMar>
    </w:tblPr>
    <w:trPr/>
    <w:tcPr/>
  </w:style>
  <w:style w:type="table" w:styleId="T3">
    <w:name w:val="Звичайна таблиця1"/>
    <w:pPr>
      <w:suppressAutoHyphens w:val="1"/>
      <w:spacing w:lineRule="atLeast" w:line="1" w:beforeAutospacing="0" w:afterAutospacing="0"/>
      <w:ind w:hanging="1" w:left="-1"/>
      <w:outlineLvl w:val="0"/>
    </w:pPr>
    <w:rPr>
      <w:position w:val="-1"/>
    </w:rPr>
    <w:tblPr>
      <w:tblInd w:w="0" w:type="dxa"/>
      <w:tblCellMar>
        <w:top w:w="0" w:type="dxa"/>
        <w:left w:w="108" w:type="dxa"/>
        <w:bottom w:w="0" w:type="dxa"/>
        <w:right w:w="108" w:type="dxa"/>
      </w:tblCellMar>
    </w:tblPr>
    <w:trPr/>
    <w:tcPr/>
  </w:style>
  <w:style w:type="table" w:styleId="T4">
    <w:name w:val=""/>
    <w:basedOn w:val="T2"/>
    <w:tblPr>
      <w:tblStyleRowBandSize w:val="1"/>
      <w:tblStyleColBandSize w:val="1"/>
      <w:tblCellMar>
        <w:top w:w="30" w:type="dxa"/>
        <w:left w:w="108" w:type="dxa"/>
        <w:bottom w:w="30" w:type="dxa"/>
        <w:right w:w="108" w:type="dxa"/>
      </w:tblCellMar>
    </w:tblPr>
    <w:trPr/>
    <w:tcPr/>
  </w:style>
  <w:style w:type="numbering" w:styleId="N0">
    <w:name w:val="No List"/>
  </w:style>
  <w:style w:type="numbering" w:styleId="N1">
    <w:name w:val="Немає списку1"/>
  </w:style>
</w:styles>
</file>

<file path=word/_rels/document.xml.rels>&#65279;<?xml version="1.0" encoding="utf-8"?><Relationships xmlns="http://schemas.openxmlformats.org/package/2006/relationships"><Relationship Id="R2" Type="http://schemas.openxmlformats.org/officeDocument/2006/relationships/hyperlink" Target="https://zakon.rada.gov.ua/laws/show/996-14" TargetMode="External" /><Relationship Id="RelHdr1" Type="http://schemas.openxmlformats.org/officeDocument/2006/relationships/header" Target="header1.xml" /><Relationship Id="RelHdr2" Type="http://schemas.openxmlformats.org/officeDocument/2006/relationships/header" Target="header2.xml" /><Relationship Id="RelFnt1" Type="http://schemas.openxmlformats.org/officeDocument/2006/relationships/footnotes" Target="footnotes.xml" /><Relationship Id="RelEnt1" Type="http://schemas.openxmlformats.org/officeDocument/2006/relationships/endnotes" Target="endnotes.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 Id="RelItem1" Type="http://schemas.openxmlformats.org/officeDocument/2006/relationships/customXml" Target="../customXml/item1.xml" /></Relationships>
</file>

<file path=word/_rels/endnotes.xml.rels>&#65279;<?xml version="1.0" encoding="utf-8"?><Relationships xmlns="http://schemas.openxmlformats.org/package/2006/relationships" />
</file>

<file path=word/_rels/footnotes.xml.rels>&#65279;<?xml version="1.0" encoding="utf-8"?><Relationships xmlns="http://schemas.openxmlformats.org/package/2006/relationships" />
</file>

<file path=word/_rels/header1.xml.rels>&#65279;<?xml version="1.0" encoding="utf-8"?><Relationships xmlns="http://schemas.openxmlformats.org/package/2006/relationships" />
</file>

<file path=word/_rels/header2.xml.rels>&#65279;<?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tint val="100000"/>
                <a:shade val="100000"/>
                <a:satMod val="130000"/>
              </a:schemeClr>
            </a:gs>
            <a:gs pos="100000">
              <a:schemeClr val="phClr">
                <a:tint val="50000"/>
                <a:shade val="100000"/>
                <a:satMod val="350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fRLyDGDgcyCpJkqYdivY+gwN5g==">AMUW2mUhcDAoz2Mgqk+OQczRLf26BVwZrbNRV7PoYIsfLhO2tgJK+4UCk2h6JkRA8wOL56H1RdVRTBofJTVkEv66PjN6tw2kt9cwI1QnBo6BAp9AO1sXPQ4=</go:docsCustomData>
</go:gDocsCustomXmlDataStorage>
</file>

<file path=customXml/itemProps1.xml><?xml version="1.0" encoding="utf-8"?>
<ds:datastoreItem xmlns:ds="http://schemas.openxmlformats.org/officeDocument/2006/customXml" ds:itemID="{11111111-1234-1234-1234-123412341234}">
  <ds:schemaRefs>
    <ds:schemaRef ds:uri="http://schemas.microsoft.com/vsto/samples"/>
  </ds:schemaRefs>
</ds:datastoreItem>
</file>

<file path=docProps/app.xml><?xml version="1.0" encoding="utf-8"?>
<Properties xmlns="http://schemas.openxmlformats.org/officeDocument/2006/extended-properties">
  <Application>DevExpress Office File API/21.1.3.0</Application>
  <AppVersion>21.1</AppVersion>
  <Company>Ministry of Finance of Ukraine</Company>
  <Template>Normal</Template>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d16-rochnyak</dc:creator>
  <dcterms:created xsi:type="dcterms:W3CDTF">2022-06-20T14:56:00Z</dcterms:created>
  <cp:lastModifiedBy>tech_user</cp:lastModifiedBy>
  <dcterms:modified xsi:type="dcterms:W3CDTF">2022-06-23T09:30:20Z</dcterms:modified>
  <cp:revision>3</cp:revision>
</cp:coreProperties>
</file>