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B" w:rsidRPr="00880DB5" w:rsidRDefault="00641E5B" w:rsidP="00641E5B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880DB5">
        <w:rPr>
          <w:rFonts w:eastAsia="Times New Roman"/>
          <w:sz w:val="28"/>
          <w:szCs w:val="28"/>
          <w:lang w:val="uk-UA"/>
        </w:rPr>
        <w:t>АНАЛІЗ РЕГУЛЯТОРНОГО ВПЛИВУ</w:t>
      </w:r>
    </w:p>
    <w:p w:rsidR="00E44536" w:rsidRPr="005C381A" w:rsidRDefault="00E44536" w:rsidP="00E44536">
      <w:pPr>
        <w:jc w:val="center"/>
        <w:rPr>
          <w:b/>
          <w:bCs/>
          <w:sz w:val="28"/>
          <w:szCs w:val="28"/>
          <w:lang w:val="uk-UA"/>
        </w:rPr>
      </w:pPr>
      <w:r w:rsidRPr="00880DB5">
        <w:rPr>
          <w:b/>
          <w:bCs/>
          <w:sz w:val="28"/>
          <w:szCs w:val="28"/>
          <w:lang w:val="uk-UA"/>
        </w:rPr>
        <w:t xml:space="preserve">до проекту </w:t>
      </w:r>
      <w:r w:rsidR="002E6EDE">
        <w:rPr>
          <w:b/>
          <w:bCs/>
          <w:sz w:val="28"/>
          <w:szCs w:val="28"/>
          <w:lang w:val="uk-UA"/>
        </w:rPr>
        <w:t xml:space="preserve">наказу Міністерства фінансів </w:t>
      </w:r>
      <w:r w:rsidR="00880DB5" w:rsidRPr="00880DB5">
        <w:rPr>
          <w:b/>
          <w:bCs/>
          <w:sz w:val="28"/>
          <w:szCs w:val="28"/>
          <w:lang w:val="uk-UA"/>
        </w:rPr>
        <w:t xml:space="preserve"> України «</w:t>
      </w:r>
      <w:r w:rsidR="002E6EDE" w:rsidRPr="002E6EDE">
        <w:rPr>
          <w:b/>
          <w:bCs/>
          <w:sz w:val="28"/>
          <w:szCs w:val="28"/>
          <w:lang w:val="uk-UA"/>
        </w:rPr>
        <w:t xml:space="preserve">Про затвердження Критеріїв </w:t>
      </w:r>
      <w:r w:rsidR="002E6EDE" w:rsidRPr="005C381A">
        <w:rPr>
          <w:b/>
          <w:bCs/>
          <w:sz w:val="28"/>
          <w:szCs w:val="28"/>
          <w:lang w:val="uk-UA"/>
        </w:rPr>
        <w:t>ризиковості платника податку, Критеріїв ризиковості здійснення операцій та Переліку показників, за якими визначається позитивна податкова історія платника податку</w:t>
      </w:r>
      <w:r w:rsidR="00880DB5" w:rsidRPr="005C381A">
        <w:rPr>
          <w:b/>
          <w:bCs/>
          <w:sz w:val="28"/>
          <w:szCs w:val="28"/>
          <w:lang w:val="uk-UA"/>
        </w:rPr>
        <w:t>»</w:t>
      </w:r>
    </w:p>
    <w:p w:rsidR="001B7598" w:rsidRPr="005C381A" w:rsidRDefault="007E5988" w:rsidP="007E5988">
      <w:pPr>
        <w:pStyle w:val="3"/>
        <w:tabs>
          <w:tab w:val="left" w:pos="3735"/>
        </w:tabs>
        <w:spacing w:before="0" w:beforeAutospacing="0" w:after="0" w:afterAutospacing="0" w:line="360" w:lineRule="auto"/>
        <w:rPr>
          <w:rFonts w:eastAsia="Times New Roman"/>
          <w:sz w:val="16"/>
          <w:szCs w:val="16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ab/>
      </w:r>
    </w:p>
    <w:p w:rsidR="003C02F0" w:rsidRPr="005C381A" w:rsidRDefault="007806FE" w:rsidP="007806FE">
      <w:pPr>
        <w:pStyle w:val="3"/>
        <w:tabs>
          <w:tab w:val="left" w:pos="2977"/>
          <w:tab w:val="left" w:pos="3261"/>
        </w:tabs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 xml:space="preserve">І. </w:t>
      </w:r>
      <w:r w:rsidR="00641E5B" w:rsidRPr="005C381A">
        <w:rPr>
          <w:rFonts w:eastAsia="Times New Roman"/>
          <w:sz w:val="28"/>
          <w:szCs w:val="28"/>
          <w:lang w:val="uk-UA"/>
        </w:rPr>
        <w:t>Визначення проблеми</w:t>
      </w:r>
    </w:p>
    <w:p w:rsidR="008A5001" w:rsidRPr="005C381A" w:rsidRDefault="008A5001" w:rsidP="00DA51C0">
      <w:pPr>
        <w:pStyle w:val="3"/>
        <w:spacing w:before="0" w:beforeAutospacing="0" w:after="0" w:afterAutospacing="0"/>
        <w:ind w:firstLine="709"/>
        <w:rPr>
          <w:rFonts w:eastAsia="Times New Roman"/>
          <w:sz w:val="16"/>
          <w:szCs w:val="16"/>
          <w:lang w:val="uk-UA"/>
        </w:rPr>
      </w:pPr>
    </w:p>
    <w:p w:rsidR="002B5FBA" w:rsidRPr="005C381A" w:rsidRDefault="008A5001" w:rsidP="00776AC2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5C381A">
        <w:rPr>
          <w:b w:val="0"/>
          <w:bCs w:val="0"/>
          <w:sz w:val="28"/>
          <w:szCs w:val="28"/>
          <w:lang w:val="uk-UA"/>
        </w:rPr>
        <w:t xml:space="preserve">Критерії ризиковості платника податку, Критерії ризиковості здійснення операцій та Перелік показників, за якими визначається позитивна податкова історія платника податку, які </w:t>
      </w:r>
      <w:r w:rsidR="00546CD6" w:rsidRPr="005C381A">
        <w:rPr>
          <w:b w:val="0"/>
          <w:lang w:val="uk-UA"/>
        </w:rPr>
        <w:t xml:space="preserve">були розроблені ДФС </w:t>
      </w:r>
      <w:r w:rsidRPr="005C381A">
        <w:rPr>
          <w:b w:val="0"/>
          <w:bCs w:val="0"/>
          <w:sz w:val="28"/>
          <w:szCs w:val="28"/>
          <w:lang w:val="uk-UA"/>
        </w:rPr>
        <w:t xml:space="preserve">відповідно до вимог </w:t>
      </w:r>
      <w:r w:rsidR="0054004F" w:rsidRPr="005C381A">
        <w:rPr>
          <w:b w:val="0"/>
          <w:bCs w:val="0"/>
          <w:sz w:val="28"/>
          <w:szCs w:val="28"/>
          <w:lang w:val="uk-UA"/>
        </w:rPr>
        <w:br/>
      </w:r>
      <w:r w:rsidRPr="005C381A">
        <w:rPr>
          <w:b w:val="0"/>
          <w:bCs w:val="0"/>
          <w:sz w:val="28"/>
          <w:szCs w:val="28"/>
          <w:lang w:val="uk-UA"/>
        </w:rPr>
        <w:t>п</w:t>
      </w:r>
      <w:r w:rsidR="0054004F" w:rsidRPr="005C381A">
        <w:rPr>
          <w:b w:val="0"/>
          <w:bCs w:val="0"/>
          <w:sz w:val="28"/>
          <w:szCs w:val="28"/>
          <w:lang w:val="uk-UA"/>
        </w:rPr>
        <w:t xml:space="preserve">ункту </w:t>
      </w:r>
      <w:r w:rsidRPr="005C381A">
        <w:rPr>
          <w:b w:val="0"/>
          <w:bCs w:val="0"/>
          <w:sz w:val="28"/>
          <w:szCs w:val="28"/>
          <w:lang w:val="uk-UA"/>
        </w:rPr>
        <w:t xml:space="preserve">10 Порядку зупинення реєстрації податкової накладної / розрахунку коригування (далі – Порядок), затвердженого постановою Кабінету Міністрів України від 21.02.2018 № 117 «Про затвердження порядку з питань зупинення реєстрації податкової накладної / розрахунку коригування в Єдиному </w:t>
      </w:r>
      <w:r w:rsidR="00546CD6" w:rsidRPr="005C381A">
        <w:rPr>
          <w:b w:val="0"/>
          <w:bCs w:val="0"/>
          <w:sz w:val="28"/>
          <w:szCs w:val="28"/>
          <w:lang w:val="uk-UA"/>
        </w:rPr>
        <w:t>реєстрі податкових накладних»</w:t>
      </w:r>
      <w:r w:rsidR="0054004F" w:rsidRPr="005C381A">
        <w:rPr>
          <w:b w:val="0"/>
          <w:bCs w:val="0"/>
          <w:sz w:val="28"/>
          <w:szCs w:val="28"/>
          <w:lang w:val="uk-UA"/>
        </w:rPr>
        <w:t>,</w:t>
      </w:r>
      <w:r w:rsidR="00546CD6" w:rsidRPr="005C381A">
        <w:rPr>
          <w:b w:val="0"/>
          <w:bCs w:val="0"/>
          <w:sz w:val="28"/>
          <w:szCs w:val="28"/>
          <w:lang w:val="uk-UA"/>
        </w:rPr>
        <w:t xml:space="preserve"> </w:t>
      </w:r>
      <w:r w:rsidR="002B5FBA" w:rsidRPr="005C381A">
        <w:rPr>
          <w:b w:val="0"/>
          <w:bCs w:val="0"/>
          <w:sz w:val="28"/>
          <w:szCs w:val="28"/>
          <w:lang w:val="uk-UA"/>
        </w:rPr>
        <w:t xml:space="preserve">встановлюють норми права, які здійснюють безпосередній вплив на господарську діяльність суб’єктів господарювання, а </w:t>
      </w:r>
      <w:r w:rsidR="0054004F" w:rsidRPr="005C381A">
        <w:rPr>
          <w:b w:val="0"/>
          <w:bCs w:val="0"/>
          <w:sz w:val="28"/>
          <w:szCs w:val="28"/>
          <w:lang w:val="uk-UA"/>
        </w:rPr>
        <w:t>тому</w:t>
      </w:r>
      <w:r w:rsidR="002B5FBA" w:rsidRPr="005C381A">
        <w:rPr>
          <w:b w:val="0"/>
          <w:bCs w:val="0"/>
          <w:sz w:val="28"/>
          <w:szCs w:val="28"/>
          <w:lang w:val="uk-UA"/>
        </w:rPr>
        <w:t xml:space="preserve"> є такими, що мають ознаки регуляторного характеру.</w:t>
      </w:r>
    </w:p>
    <w:p w:rsidR="008A5001" w:rsidRPr="005C381A" w:rsidRDefault="002B5FBA" w:rsidP="00776AC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5C381A">
        <w:rPr>
          <w:b w:val="0"/>
          <w:bCs w:val="0"/>
          <w:sz w:val="28"/>
          <w:szCs w:val="28"/>
          <w:lang w:val="uk-UA"/>
        </w:rPr>
        <w:t xml:space="preserve">З метою дотримання вимог Закону України </w:t>
      </w:r>
      <w:r w:rsidR="003E336E" w:rsidRPr="005C381A">
        <w:rPr>
          <w:b w:val="0"/>
          <w:bCs w:val="0"/>
          <w:sz w:val="28"/>
          <w:szCs w:val="28"/>
          <w:lang w:val="uk-UA"/>
        </w:rPr>
        <w:t xml:space="preserve">від 11.09.2003 № 1160-ІV </w:t>
      </w:r>
      <w:r w:rsidRPr="005C381A">
        <w:rPr>
          <w:b w:val="0"/>
          <w:bCs w:val="0"/>
          <w:sz w:val="28"/>
          <w:szCs w:val="28"/>
          <w:lang w:val="uk-UA"/>
        </w:rPr>
        <w:t xml:space="preserve">«Про засади державної регуляторної політики у сфері господарської діяльності» </w:t>
      </w:r>
      <w:r w:rsidR="00D10C68" w:rsidRPr="005C381A">
        <w:rPr>
          <w:b w:val="0"/>
          <w:bCs w:val="0"/>
          <w:sz w:val="28"/>
          <w:szCs w:val="28"/>
          <w:lang w:val="uk-UA"/>
        </w:rPr>
        <w:t xml:space="preserve"> (далі – Закон України № 1160-ІV) </w:t>
      </w:r>
      <w:r w:rsidRPr="005C381A">
        <w:rPr>
          <w:b w:val="0"/>
          <w:bCs w:val="0"/>
          <w:sz w:val="28"/>
          <w:szCs w:val="28"/>
          <w:lang w:val="uk-UA"/>
        </w:rPr>
        <w:t xml:space="preserve"> та  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 28.12.1992 № 731</w:t>
      </w:r>
      <w:r w:rsidR="00D10C68" w:rsidRPr="005C381A">
        <w:rPr>
          <w:b w:val="0"/>
          <w:bCs w:val="0"/>
          <w:sz w:val="28"/>
          <w:szCs w:val="28"/>
          <w:lang w:val="uk-UA"/>
        </w:rPr>
        <w:t xml:space="preserve"> (далі – </w:t>
      </w:r>
      <w:r w:rsidR="0054004F" w:rsidRPr="005C381A">
        <w:rPr>
          <w:b w:val="0"/>
          <w:bCs w:val="0"/>
          <w:sz w:val="28"/>
          <w:szCs w:val="28"/>
          <w:lang w:val="uk-UA"/>
        </w:rPr>
        <w:t>п</w:t>
      </w:r>
      <w:r w:rsidR="00D10C68" w:rsidRPr="005C381A">
        <w:rPr>
          <w:b w:val="0"/>
          <w:bCs w:val="0"/>
          <w:sz w:val="28"/>
          <w:szCs w:val="28"/>
          <w:lang w:val="uk-UA"/>
        </w:rPr>
        <w:t>останова №</w:t>
      </w:r>
      <w:r w:rsidR="0054004F" w:rsidRPr="005C381A">
        <w:rPr>
          <w:b w:val="0"/>
          <w:bCs w:val="0"/>
          <w:sz w:val="28"/>
          <w:szCs w:val="28"/>
          <w:lang w:val="uk-UA"/>
        </w:rPr>
        <w:t> </w:t>
      </w:r>
      <w:r w:rsidR="00D10C68" w:rsidRPr="005C381A">
        <w:rPr>
          <w:b w:val="0"/>
          <w:bCs w:val="0"/>
          <w:sz w:val="28"/>
          <w:szCs w:val="28"/>
          <w:lang w:val="uk-UA"/>
        </w:rPr>
        <w:t>731)</w:t>
      </w:r>
      <w:r w:rsidR="003E336E" w:rsidRPr="005C381A">
        <w:rPr>
          <w:b w:val="0"/>
          <w:bCs w:val="0"/>
          <w:sz w:val="28"/>
          <w:szCs w:val="28"/>
          <w:lang w:val="uk-UA"/>
        </w:rPr>
        <w:t>,</w:t>
      </w:r>
      <w:r w:rsidRPr="005C381A">
        <w:rPr>
          <w:b w:val="0"/>
          <w:bCs w:val="0"/>
          <w:sz w:val="28"/>
          <w:szCs w:val="28"/>
          <w:lang w:val="uk-UA"/>
        </w:rPr>
        <w:t xml:space="preserve"> Міністерство фінансів України розробило проект наказу </w:t>
      </w:r>
      <w:r w:rsidR="002E6EDE" w:rsidRPr="005C381A">
        <w:rPr>
          <w:b w:val="0"/>
          <w:bCs w:val="0"/>
          <w:sz w:val="28"/>
          <w:szCs w:val="28"/>
          <w:lang w:val="uk-UA"/>
        </w:rPr>
        <w:t>«Про затвердження Критеріїв ризиковості платника податку, Критеріїв ризиковості здійснення операцій та Переліку показників, за якими визначається позитивна податкова історія</w:t>
      </w:r>
      <w:r w:rsidR="002E6EDE" w:rsidRPr="005C381A">
        <w:rPr>
          <w:b w:val="0"/>
          <w:sz w:val="28"/>
          <w:szCs w:val="28"/>
          <w:lang w:val="uk-UA"/>
        </w:rPr>
        <w:t xml:space="preserve"> платника податку»</w:t>
      </w:r>
      <w:r w:rsidR="00221028" w:rsidRPr="005C381A">
        <w:rPr>
          <w:b w:val="0"/>
          <w:sz w:val="28"/>
          <w:szCs w:val="28"/>
          <w:lang w:val="uk-UA"/>
        </w:rPr>
        <w:t xml:space="preserve"> (далі – проект </w:t>
      </w:r>
      <w:r w:rsidR="002E6EDE" w:rsidRPr="005C381A">
        <w:rPr>
          <w:b w:val="0"/>
          <w:sz w:val="28"/>
          <w:szCs w:val="28"/>
          <w:lang w:val="uk-UA"/>
        </w:rPr>
        <w:t>наказу</w:t>
      </w:r>
      <w:r w:rsidR="00221028" w:rsidRPr="005C381A">
        <w:rPr>
          <w:b w:val="0"/>
          <w:sz w:val="28"/>
          <w:szCs w:val="28"/>
          <w:lang w:val="uk-UA"/>
        </w:rPr>
        <w:t>)</w:t>
      </w:r>
      <w:r w:rsidR="003E336E" w:rsidRPr="005C381A">
        <w:rPr>
          <w:b w:val="0"/>
          <w:sz w:val="28"/>
          <w:szCs w:val="28"/>
          <w:lang w:val="uk-UA"/>
        </w:rPr>
        <w:t>.</w:t>
      </w:r>
      <w:r w:rsidR="00221028" w:rsidRPr="005C381A">
        <w:rPr>
          <w:b w:val="0"/>
          <w:sz w:val="28"/>
          <w:szCs w:val="28"/>
          <w:lang w:val="uk-UA"/>
        </w:rPr>
        <w:t xml:space="preserve"> </w:t>
      </w:r>
    </w:p>
    <w:p w:rsidR="003E336E" w:rsidRPr="005C381A" w:rsidRDefault="003E336E" w:rsidP="00776AC2">
      <w:pPr>
        <w:ind w:firstLine="708"/>
        <w:jc w:val="both"/>
        <w:rPr>
          <w:rStyle w:val="rvts23"/>
          <w:sz w:val="28"/>
          <w:szCs w:val="28"/>
          <w:lang w:val="uk-UA"/>
        </w:rPr>
      </w:pPr>
      <w:r w:rsidRPr="005C381A">
        <w:rPr>
          <w:rStyle w:val="rvts23"/>
          <w:sz w:val="28"/>
          <w:szCs w:val="28"/>
          <w:lang w:val="uk-UA"/>
        </w:rPr>
        <w:t xml:space="preserve">Водночас слід зазначити, що </w:t>
      </w:r>
      <w:r w:rsidR="00352CB5" w:rsidRPr="005C381A">
        <w:rPr>
          <w:rStyle w:val="rvts23"/>
          <w:sz w:val="28"/>
          <w:szCs w:val="28"/>
          <w:lang w:val="uk-UA"/>
        </w:rPr>
        <w:t xml:space="preserve">система електронного адміністрування податку на додану вартість запроваджена </w:t>
      </w:r>
      <w:r w:rsidRPr="005C381A">
        <w:rPr>
          <w:rStyle w:val="rvts23"/>
          <w:sz w:val="28"/>
          <w:szCs w:val="28"/>
          <w:lang w:val="uk-UA"/>
        </w:rPr>
        <w:t>відповідно до підпункту 200</w:t>
      </w:r>
      <w:r w:rsidRPr="005C381A">
        <w:rPr>
          <w:rStyle w:val="rvts23"/>
          <w:sz w:val="28"/>
          <w:szCs w:val="28"/>
          <w:vertAlign w:val="superscript"/>
          <w:lang w:val="uk-UA"/>
        </w:rPr>
        <w:t>1</w:t>
      </w:r>
      <w:r w:rsidRPr="005C381A">
        <w:rPr>
          <w:rStyle w:val="rvts23"/>
          <w:sz w:val="28"/>
          <w:szCs w:val="28"/>
          <w:lang w:val="uk-UA"/>
        </w:rPr>
        <w:t xml:space="preserve">.1 </w:t>
      </w:r>
      <w:r w:rsidR="00283799" w:rsidRPr="005C381A">
        <w:rPr>
          <w:rStyle w:val="rvts23"/>
          <w:sz w:val="28"/>
          <w:szCs w:val="28"/>
          <w:lang w:val="uk-UA"/>
        </w:rPr>
        <w:br/>
      </w:r>
      <w:r w:rsidRPr="005C381A">
        <w:rPr>
          <w:rStyle w:val="rvts23"/>
          <w:sz w:val="28"/>
          <w:szCs w:val="28"/>
          <w:lang w:val="uk-UA"/>
        </w:rPr>
        <w:t>статті 200</w:t>
      </w:r>
      <w:r w:rsidRPr="005C381A">
        <w:rPr>
          <w:rStyle w:val="rvts23"/>
          <w:sz w:val="28"/>
          <w:szCs w:val="28"/>
          <w:vertAlign w:val="superscript"/>
          <w:lang w:val="uk-UA"/>
        </w:rPr>
        <w:t>1</w:t>
      </w:r>
      <w:r w:rsidRPr="005C381A">
        <w:rPr>
          <w:sz w:val="28"/>
          <w:szCs w:val="28"/>
          <w:lang w:val="uk-UA"/>
        </w:rPr>
        <w:t xml:space="preserve"> Податкового кодексу України (далі – </w:t>
      </w:r>
      <w:r w:rsidRPr="005C381A">
        <w:rPr>
          <w:rStyle w:val="rvts23"/>
          <w:sz w:val="28"/>
          <w:szCs w:val="28"/>
          <w:lang w:val="uk-UA"/>
        </w:rPr>
        <w:t>Кодекс). Підпунктом 201.1 статті 201 Кодексу передбачено, що на дату виникнення податкових зобов’язань платник податку зобов’язаний скласти податкову накладну в електронній формі з дотриманням умови щодо реєстрації у порядку</w:t>
      </w:r>
      <w:r w:rsidR="005A50FF" w:rsidRPr="005C381A">
        <w:rPr>
          <w:rStyle w:val="rvts23"/>
          <w:sz w:val="28"/>
          <w:szCs w:val="28"/>
          <w:lang w:val="uk-UA"/>
        </w:rPr>
        <w:t>,</w:t>
      </w:r>
      <w:r w:rsidRPr="005C381A">
        <w:rPr>
          <w:rStyle w:val="rvts23"/>
          <w:sz w:val="28"/>
          <w:szCs w:val="28"/>
          <w:lang w:val="uk-UA"/>
        </w:rPr>
        <w:t xml:space="preserve"> визначеному законодавством, електронного підпису уповноваженої платником особи та зареєструвати її в Єдиному реєстрі податкових накладних</w:t>
      </w:r>
      <w:r w:rsidR="00431133" w:rsidRPr="005C381A">
        <w:rPr>
          <w:rStyle w:val="rvts23"/>
          <w:sz w:val="28"/>
          <w:szCs w:val="28"/>
          <w:lang w:val="uk-UA"/>
        </w:rPr>
        <w:t xml:space="preserve"> (далі –</w:t>
      </w:r>
      <w:r w:rsidR="00431133" w:rsidRPr="00D360AD">
        <w:rPr>
          <w:rStyle w:val="rvts23"/>
          <w:sz w:val="28"/>
          <w:szCs w:val="28"/>
          <w:lang w:val="ru-RU"/>
        </w:rPr>
        <w:t xml:space="preserve"> ЄРПН)</w:t>
      </w:r>
      <w:r w:rsidRPr="005C381A">
        <w:rPr>
          <w:rStyle w:val="rvts23"/>
          <w:sz w:val="28"/>
          <w:szCs w:val="28"/>
          <w:lang w:val="uk-UA"/>
        </w:rPr>
        <w:t xml:space="preserve"> у встановлений Кодексом термін.</w:t>
      </w:r>
    </w:p>
    <w:p w:rsidR="003E336E" w:rsidRPr="005C381A" w:rsidRDefault="003E336E" w:rsidP="003E336E">
      <w:pPr>
        <w:ind w:firstLine="708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З метою виявлення можливих порушень законодавства на постійній основі здійснюється комплексний аналіз діяльності платників податків, які реєструють податкові накладні в </w:t>
      </w:r>
      <w:r w:rsidR="00431133" w:rsidRPr="005C381A">
        <w:rPr>
          <w:lang w:val="uk-UA"/>
        </w:rPr>
        <w:t>ЄРПН</w:t>
      </w:r>
      <w:r w:rsidR="00431133" w:rsidRPr="005C381A">
        <w:rPr>
          <w:sz w:val="28"/>
          <w:szCs w:val="28"/>
          <w:lang w:val="uk-UA"/>
        </w:rPr>
        <w:t xml:space="preserve">  </w:t>
      </w:r>
      <w:r w:rsidRPr="005C381A">
        <w:rPr>
          <w:sz w:val="28"/>
          <w:szCs w:val="28"/>
          <w:lang w:val="uk-UA"/>
        </w:rPr>
        <w:t>на постачання товарів і послуг.</w:t>
      </w:r>
    </w:p>
    <w:p w:rsidR="003E336E" w:rsidRPr="005C381A" w:rsidRDefault="003E336E" w:rsidP="003E336E">
      <w:pPr>
        <w:ind w:firstLine="708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Запуск зазначеної системи дав змогу перекрити лазівк</w:t>
      </w:r>
      <w:r w:rsidR="005C381A">
        <w:rPr>
          <w:sz w:val="28"/>
          <w:szCs w:val="28"/>
          <w:lang w:val="uk-UA"/>
        </w:rPr>
        <w:t>и</w:t>
      </w:r>
      <w:r w:rsidRPr="005C381A">
        <w:rPr>
          <w:sz w:val="28"/>
          <w:szCs w:val="28"/>
          <w:lang w:val="uk-UA"/>
        </w:rPr>
        <w:t xml:space="preserve">, які використовувались для створення фіктивного податкового кредиту. Ефективна робота системи моніторингу критеріїв оцінки ризиків та </w:t>
      </w:r>
      <w:r w:rsidR="005C381A">
        <w:rPr>
          <w:sz w:val="28"/>
          <w:szCs w:val="28"/>
          <w:lang w:val="uk-UA"/>
        </w:rPr>
        <w:t xml:space="preserve">зупинення реєстрації ПН/РК в </w:t>
      </w:r>
      <w:r w:rsidR="005C381A" w:rsidRPr="005C381A">
        <w:rPr>
          <w:rStyle w:val="rvts23"/>
          <w:sz w:val="28"/>
          <w:szCs w:val="28"/>
          <w:lang w:val="ru-RU"/>
        </w:rPr>
        <w:t>ЄРПН</w:t>
      </w:r>
      <w:r w:rsidR="005C381A">
        <w:rPr>
          <w:sz w:val="28"/>
          <w:szCs w:val="28"/>
          <w:lang w:val="uk-UA"/>
        </w:rPr>
        <w:t xml:space="preserve"> </w:t>
      </w:r>
      <w:r w:rsidRPr="005C381A">
        <w:rPr>
          <w:sz w:val="28"/>
          <w:szCs w:val="28"/>
          <w:lang w:val="uk-UA"/>
        </w:rPr>
        <w:t xml:space="preserve"> надала можливість упередити значні обсяги ймовірного фіктивного податкового кредиту. </w:t>
      </w:r>
    </w:p>
    <w:p w:rsidR="003E336E" w:rsidRPr="005C381A" w:rsidRDefault="00943A6E" w:rsidP="003E336E">
      <w:pPr>
        <w:ind w:firstLine="708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lastRenderedPageBreak/>
        <w:t xml:space="preserve">Загалом, </w:t>
      </w:r>
      <w:r w:rsidR="003E336E" w:rsidRPr="005C381A">
        <w:rPr>
          <w:sz w:val="28"/>
          <w:szCs w:val="28"/>
          <w:lang w:val="uk-UA"/>
        </w:rPr>
        <w:t xml:space="preserve">з </w:t>
      </w:r>
      <w:r w:rsidR="00F8653F" w:rsidRPr="005C381A">
        <w:rPr>
          <w:sz w:val="28"/>
          <w:szCs w:val="28"/>
          <w:lang w:val="uk-UA"/>
        </w:rPr>
        <w:t>моменту набрання чинності постановою Кабінету Міністрів України від 21.02.2018 № 117 «Про затвердження порядку з питань зупинення реєстрації податкової накладної / розрахунку коригування в Єдиному реєстрі податкових накладних»</w:t>
      </w:r>
      <w:r w:rsidR="003E336E" w:rsidRPr="005C381A">
        <w:rPr>
          <w:sz w:val="28"/>
          <w:szCs w:val="28"/>
          <w:lang w:val="uk-UA"/>
        </w:rPr>
        <w:t xml:space="preserve"> (з </w:t>
      </w:r>
      <w:r w:rsidR="00F8653F" w:rsidRPr="005C381A">
        <w:rPr>
          <w:sz w:val="28"/>
          <w:szCs w:val="28"/>
          <w:lang w:val="uk-UA"/>
        </w:rPr>
        <w:t>2</w:t>
      </w:r>
      <w:r w:rsidR="003E336E" w:rsidRPr="005C381A">
        <w:rPr>
          <w:sz w:val="28"/>
          <w:szCs w:val="28"/>
          <w:lang w:val="uk-UA"/>
        </w:rPr>
        <w:t>3.0</w:t>
      </w:r>
      <w:r w:rsidR="00F8653F" w:rsidRPr="005C381A">
        <w:rPr>
          <w:sz w:val="28"/>
          <w:szCs w:val="28"/>
          <w:lang w:val="uk-UA"/>
        </w:rPr>
        <w:t>3</w:t>
      </w:r>
      <w:r w:rsidR="003E336E" w:rsidRPr="005C381A">
        <w:rPr>
          <w:sz w:val="28"/>
          <w:szCs w:val="28"/>
          <w:lang w:val="uk-UA"/>
        </w:rPr>
        <w:t>.201</w:t>
      </w:r>
      <w:r w:rsidR="00F8653F" w:rsidRPr="005C381A">
        <w:rPr>
          <w:sz w:val="28"/>
          <w:szCs w:val="28"/>
          <w:lang w:val="uk-UA"/>
        </w:rPr>
        <w:t>8</w:t>
      </w:r>
      <w:r w:rsidR="003E336E" w:rsidRPr="005C381A">
        <w:rPr>
          <w:sz w:val="28"/>
          <w:szCs w:val="28"/>
          <w:lang w:val="uk-UA"/>
        </w:rPr>
        <w:t>):</w:t>
      </w:r>
    </w:p>
    <w:p w:rsidR="00F8653F" w:rsidRPr="005C381A" w:rsidRDefault="00F8653F" w:rsidP="003E336E">
      <w:pPr>
        <w:ind w:firstLine="708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надіслано для реєстрації в </w:t>
      </w:r>
      <w:r w:rsidR="00431133" w:rsidRPr="005C381A">
        <w:rPr>
          <w:sz w:val="28"/>
          <w:szCs w:val="28"/>
          <w:lang w:val="uk-UA"/>
        </w:rPr>
        <w:t xml:space="preserve">ЄРПН </w:t>
      </w:r>
      <w:r w:rsidRPr="005C381A">
        <w:rPr>
          <w:sz w:val="28"/>
          <w:szCs w:val="28"/>
          <w:lang w:val="uk-UA"/>
        </w:rPr>
        <w:t>46</w:t>
      </w:r>
      <w:r w:rsidR="002B36F9" w:rsidRPr="005C381A">
        <w:rPr>
          <w:sz w:val="28"/>
          <w:szCs w:val="28"/>
          <w:lang w:val="uk-UA"/>
        </w:rPr>
        <w:t>,</w:t>
      </w:r>
      <w:r w:rsidRPr="005C381A">
        <w:rPr>
          <w:sz w:val="28"/>
          <w:szCs w:val="28"/>
          <w:lang w:val="uk-UA"/>
        </w:rPr>
        <w:t>6</w:t>
      </w:r>
      <w:r w:rsidR="002B36F9" w:rsidRPr="005C381A">
        <w:rPr>
          <w:sz w:val="28"/>
          <w:szCs w:val="28"/>
          <w:lang w:val="uk-UA"/>
        </w:rPr>
        <w:t> млн</w:t>
      </w:r>
      <w:r w:rsidRPr="005C381A">
        <w:rPr>
          <w:sz w:val="28"/>
          <w:szCs w:val="28"/>
          <w:lang w:val="uk-UA"/>
        </w:rPr>
        <w:t>. податков</w:t>
      </w:r>
      <w:r w:rsidR="0058299D" w:rsidRPr="005C381A">
        <w:rPr>
          <w:sz w:val="28"/>
          <w:szCs w:val="28"/>
          <w:lang w:val="uk-UA"/>
        </w:rPr>
        <w:t>их</w:t>
      </w:r>
      <w:r w:rsidRPr="005C381A">
        <w:rPr>
          <w:sz w:val="28"/>
          <w:szCs w:val="28"/>
          <w:lang w:val="uk-UA"/>
        </w:rPr>
        <w:t xml:space="preserve"> накладн</w:t>
      </w:r>
      <w:r w:rsidR="0058299D" w:rsidRPr="005C381A">
        <w:rPr>
          <w:sz w:val="28"/>
          <w:szCs w:val="28"/>
          <w:lang w:val="uk-UA"/>
        </w:rPr>
        <w:t>их</w:t>
      </w:r>
      <w:r w:rsidRPr="005C381A">
        <w:rPr>
          <w:sz w:val="28"/>
          <w:szCs w:val="28"/>
          <w:lang w:val="uk-UA"/>
        </w:rPr>
        <w:t> / розрахунк</w:t>
      </w:r>
      <w:r w:rsidR="0058299D" w:rsidRPr="005C381A">
        <w:rPr>
          <w:sz w:val="28"/>
          <w:szCs w:val="28"/>
          <w:lang w:val="uk-UA"/>
        </w:rPr>
        <w:t>ів</w:t>
      </w:r>
      <w:r w:rsidRPr="005C381A">
        <w:rPr>
          <w:sz w:val="28"/>
          <w:szCs w:val="28"/>
          <w:lang w:val="uk-UA"/>
        </w:rPr>
        <w:t xml:space="preserve"> коригування (далі –</w:t>
      </w:r>
      <w:r w:rsidR="00431133" w:rsidRPr="005C381A">
        <w:rPr>
          <w:sz w:val="28"/>
          <w:szCs w:val="28"/>
          <w:lang w:val="uk-UA"/>
        </w:rPr>
        <w:t xml:space="preserve"> </w:t>
      </w:r>
      <w:r w:rsidRPr="005C381A">
        <w:rPr>
          <w:sz w:val="28"/>
          <w:szCs w:val="28"/>
          <w:lang w:val="uk-UA"/>
        </w:rPr>
        <w:t>ПН/РК)</w:t>
      </w:r>
      <w:r w:rsidR="002B36F9" w:rsidRPr="005C381A">
        <w:rPr>
          <w:sz w:val="28"/>
          <w:szCs w:val="28"/>
          <w:lang w:val="uk-UA"/>
        </w:rPr>
        <w:t xml:space="preserve"> по 187 тис. платника</w:t>
      </w:r>
      <w:r w:rsidR="0058299D" w:rsidRPr="005C381A">
        <w:rPr>
          <w:sz w:val="28"/>
          <w:szCs w:val="28"/>
          <w:lang w:val="uk-UA"/>
        </w:rPr>
        <w:t>х</w:t>
      </w:r>
      <w:r w:rsidR="002B36F9" w:rsidRPr="005C381A">
        <w:rPr>
          <w:sz w:val="28"/>
          <w:szCs w:val="28"/>
          <w:lang w:val="uk-UA"/>
        </w:rPr>
        <w:t xml:space="preserve"> на 297 635,6 млн.</w:t>
      </w:r>
      <w:r w:rsidR="00943A6E" w:rsidRPr="005C381A">
        <w:rPr>
          <w:sz w:val="28"/>
          <w:szCs w:val="28"/>
          <w:lang w:val="uk-UA"/>
        </w:rPr>
        <w:t> </w:t>
      </w:r>
      <w:r w:rsidR="002B36F9" w:rsidRPr="005C381A">
        <w:rPr>
          <w:sz w:val="28"/>
          <w:szCs w:val="28"/>
          <w:lang w:val="uk-UA"/>
        </w:rPr>
        <w:t xml:space="preserve">грн., </w:t>
      </w:r>
      <w:r w:rsidRPr="005C381A">
        <w:rPr>
          <w:sz w:val="28"/>
          <w:szCs w:val="28"/>
          <w:lang w:val="uk-UA"/>
        </w:rPr>
        <w:t xml:space="preserve"> </w:t>
      </w:r>
      <w:r w:rsidR="002B36F9" w:rsidRPr="005C381A">
        <w:rPr>
          <w:sz w:val="28"/>
          <w:szCs w:val="28"/>
          <w:lang w:val="uk-UA"/>
        </w:rPr>
        <w:t>з яких:</w:t>
      </w:r>
    </w:p>
    <w:p w:rsidR="003E336E" w:rsidRPr="005C381A" w:rsidRDefault="003E336E" w:rsidP="003E336E">
      <w:pPr>
        <w:ind w:firstLine="708"/>
        <w:jc w:val="both"/>
        <w:rPr>
          <w:sz w:val="28"/>
          <w:szCs w:val="28"/>
          <w:lang w:val="uk-UA"/>
        </w:rPr>
      </w:pPr>
      <w:r w:rsidRPr="005C381A">
        <w:rPr>
          <w:spacing w:val="-4"/>
          <w:sz w:val="28"/>
          <w:szCs w:val="28"/>
          <w:lang w:val="uk-UA"/>
        </w:rPr>
        <w:t xml:space="preserve">зареєстровано в </w:t>
      </w:r>
      <w:r w:rsidR="00431133" w:rsidRPr="005C381A">
        <w:rPr>
          <w:spacing w:val="-4"/>
          <w:sz w:val="28"/>
          <w:szCs w:val="28"/>
          <w:lang w:val="uk-UA"/>
        </w:rPr>
        <w:t xml:space="preserve">ЄРПН </w:t>
      </w:r>
      <w:r w:rsidRPr="005C381A">
        <w:rPr>
          <w:spacing w:val="-4"/>
          <w:sz w:val="28"/>
          <w:szCs w:val="28"/>
          <w:lang w:val="uk-UA"/>
        </w:rPr>
        <w:t xml:space="preserve">понад </w:t>
      </w:r>
      <w:r w:rsidR="002B36F9" w:rsidRPr="005C381A">
        <w:rPr>
          <w:spacing w:val="-4"/>
          <w:sz w:val="28"/>
          <w:szCs w:val="28"/>
          <w:lang w:val="uk-UA"/>
        </w:rPr>
        <w:t>46,5</w:t>
      </w:r>
      <w:r w:rsidRPr="005C381A">
        <w:rPr>
          <w:spacing w:val="-4"/>
          <w:sz w:val="28"/>
          <w:szCs w:val="28"/>
          <w:lang w:val="uk-UA"/>
        </w:rPr>
        <w:t xml:space="preserve"> млн. </w:t>
      </w:r>
      <w:r w:rsidR="002B36F9" w:rsidRPr="005C381A">
        <w:rPr>
          <w:spacing w:val="-4"/>
          <w:sz w:val="28"/>
          <w:szCs w:val="28"/>
          <w:lang w:val="uk-UA"/>
        </w:rPr>
        <w:t>ПН/РК</w:t>
      </w:r>
      <w:r w:rsidRPr="005C381A">
        <w:rPr>
          <w:spacing w:val="-4"/>
          <w:sz w:val="28"/>
          <w:szCs w:val="28"/>
          <w:lang w:val="uk-UA"/>
        </w:rPr>
        <w:t xml:space="preserve"> майже від </w:t>
      </w:r>
      <w:r w:rsidR="002B36F9" w:rsidRPr="005C381A">
        <w:rPr>
          <w:spacing w:val="-4"/>
          <w:sz w:val="28"/>
          <w:szCs w:val="28"/>
          <w:lang w:val="uk-UA"/>
        </w:rPr>
        <w:t xml:space="preserve">186,5 </w:t>
      </w:r>
      <w:r w:rsidRPr="005C381A">
        <w:rPr>
          <w:spacing w:val="-4"/>
          <w:sz w:val="28"/>
          <w:szCs w:val="28"/>
          <w:lang w:val="uk-UA"/>
        </w:rPr>
        <w:t>тис. платників</w:t>
      </w:r>
      <w:r w:rsidRPr="005C381A">
        <w:rPr>
          <w:sz w:val="28"/>
          <w:szCs w:val="28"/>
          <w:lang w:val="uk-UA"/>
        </w:rPr>
        <w:t xml:space="preserve"> податку</w:t>
      </w:r>
      <w:r w:rsidR="002B36F9" w:rsidRPr="005C381A">
        <w:rPr>
          <w:sz w:val="28"/>
          <w:szCs w:val="28"/>
          <w:lang w:val="uk-UA"/>
        </w:rPr>
        <w:t xml:space="preserve"> на 294 978,5 млн.</w:t>
      </w:r>
      <w:r w:rsidR="00943A6E" w:rsidRPr="005C381A">
        <w:rPr>
          <w:sz w:val="28"/>
          <w:szCs w:val="28"/>
          <w:lang w:val="uk-UA"/>
        </w:rPr>
        <w:t> </w:t>
      </w:r>
      <w:r w:rsidR="002B36F9" w:rsidRPr="005C381A">
        <w:rPr>
          <w:sz w:val="28"/>
          <w:szCs w:val="28"/>
          <w:lang w:val="uk-UA"/>
        </w:rPr>
        <w:t>грн.</w:t>
      </w:r>
      <w:r w:rsidRPr="005C381A">
        <w:rPr>
          <w:sz w:val="28"/>
          <w:szCs w:val="28"/>
          <w:lang w:val="uk-UA"/>
        </w:rPr>
        <w:t>;</w:t>
      </w:r>
    </w:p>
    <w:p w:rsidR="001B08B5" w:rsidRPr="005C381A" w:rsidRDefault="003E336E" w:rsidP="003E336E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5C381A">
        <w:rPr>
          <w:sz w:val="28"/>
          <w:szCs w:val="28"/>
          <w:lang w:val="uk-UA"/>
        </w:rPr>
        <w:t>зупинено</w:t>
      </w:r>
      <w:proofErr w:type="spellEnd"/>
      <w:r w:rsidRPr="005C381A">
        <w:rPr>
          <w:sz w:val="28"/>
          <w:szCs w:val="28"/>
          <w:lang w:val="uk-UA"/>
        </w:rPr>
        <w:t xml:space="preserve"> реєстрацію </w:t>
      </w:r>
      <w:r w:rsidR="002B36F9" w:rsidRPr="005C381A">
        <w:rPr>
          <w:sz w:val="28"/>
          <w:szCs w:val="28"/>
          <w:lang w:val="uk-UA"/>
        </w:rPr>
        <w:t>143,5</w:t>
      </w:r>
      <w:r w:rsidRPr="005C381A">
        <w:rPr>
          <w:sz w:val="28"/>
          <w:szCs w:val="28"/>
          <w:lang w:val="uk-UA"/>
        </w:rPr>
        <w:t xml:space="preserve"> тис. </w:t>
      </w:r>
      <w:r w:rsidR="002B36F9" w:rsidRPr="005C381A">
        <w:rPr>
          <w:sz w:val="28"/>
          <w:szCs w:val="28"/>
          <w:lang w:val="uk-UA"/>
        </w:rPr>
        <w:t>ПН/РК</w:t>
      </w:r>
      <w:r w:rsidRPr="005C381A">
        <w:rPr>
          <w:sz w:val="28"/>
          <w:szCs w:val="28"/>
          <w:lang w:val="uk-UA"/>
        </w:rPr>
        <w:t xml:space="preserve"> </w:t>
      </w:r>
      <w:r w:rsidR="002B36F9" w:rsidRPr="005C381A">
        <w:rPr>
          <w:sz w:val="28"/>
          <w:szCs w:val="28"/>
          <w:lang w:val="uk-UA"/>
        </w:rPr>
        <w:t>на 2 657,0 млн.</w:t>
      </w:r>
      <w:r w:rsidR="00943A6E" w:rsidRPr="005C381A">
        <w:rPr>
          <w:sz w:val="28"/>
          <w:szCs w:val="28"/>
          <w:lang w:val="uk-UA"/>
        </w:rPr>
        <w:t> </w:t>
      </w:r>
      <w:r w:rsidR="002B36F9" w:rsidRPr="005C381A">
        <w:rPr>
          <w:sz w:val="28"/>
          <w:szCs w:val="28"/>
          <w:lang w:val="uk-UA"/>
        </w:rPr>
        <w:t>гр</w:t>
      </w:r>
      <w:r w:rsidR="001B08B5" w:rsidRPr="005C381A">
        <w:rPr>
          <w:sz w:val="28"/>
          <w:szCs w:val="28"/>
          <w:lang w:val="uk-UA"/>
        </w:rPr>
        <w:t>ивень.</w:t>
      </w:r>
    </w:p>
    <w:p w:rsidR="003E336E" w:rsidRPr="005C381A" w:rsidRDefault="003E336E" w:rsidP="003E336E">
      <w:pPr>
        <w:ind w:firstLine="708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Запровадження проекту </w:t>
      </w:r>
      <w:r w:rsidR="002B36F9" w:rsidRPr="005C381A">
        <w:rPr>
          <w:sz w:val="28"/>
          <w:szCs w:val="28"/>
          <w:lang w:val="uk-UA"/>
        </w:rPr>
        <w:t>наказу</w:t>
      </w:r>
      <w:r w:rsidRPr="005C381A">
        <w:rPr>
          <w:sz w:val="28"/>
          <w:szCs w:val="28"/>
          <w:lang w:val="uk-UA"/>
        </w:rPr>
        <w:t xml:space="preserve"> </w:t>
      </w:r>
      <w:r w:rsidR="00D10C68" w:rsidRPr="005C381A">
        <w:rPr>
          <w:sz w:val="28"/>
          <w:szCs w:val="28"/>
          <w:lang w:val="uk-UA"/>
        </w:rPr>
        <w:t xml:space="preserve">забезпечить </w:t>
      </w:r>
      <w:r w:rsidR="00D10C68" w:rsidRPr="005C381A">
        <w:rPr>
          <w:bCs/>
          <w:sz w:val="28"/>
          <w:szCs w:val="28"/>
          <w:lang w:val="uk-UA"/>
        </w:rPr>
        <w:t xml:space="preserve">дотримання вимог Закону України № 1160-ІV  та   </w:t>
      </w:r>
      <w:r w:rsidR="00943A6E" w:rsidRPr="005C381A">
        <w:rPr>
          <w:bCs/>
          <w:sz w:val="28"/>
          <w:szCs w:val="28"/>
          <w:lang w:val="uk-UA"/>
        </w:rPr>
        <w:t>п</w:t>
      </w:r>
      <w:r w:rsidR="00D10C68" w:rsidRPr="005C381A">
        <w:rPr>
          <w:bCs/>
          <w:sz w:val="28"/>
          <w:szCs w:val="28"/>
          <w:lang w:val="uk-UA"/>
        </w:rPr>
        <w:t>останови № 731,</w:t>
      </w:r>
      <w:r w:rsidRPr="005C381A">
        <w:rPr>
          <w:sz w:val="28"/>
          <w:szCs w:val="28"/>
          <w:lang w:val="uk-UA"/>
        </w:rPr>
        <w:t xml:space="preserve"> поліпшить ефективність боротьби з ухиленням від оподаткування та забезпечить недопущення втрат бюджету.</w:t>
      </w:r>
    </w:p>
    <w:p w:rsidR="00776AC2" w:rsidRPr="005C381A" w:rsidRDefault="00776AC2" w:rsidP="003E336E">
      <w:pPr>
        <w:ind w:firstLine="708"/>
        <w:jc w:val="both"/>
        <w:rPr>
          <w:sz w:val="16"/>
          <w:szCs w:val="16"/>
          <w:lang w:val="uk-UA"/>
        </w:rPr>
      </w:pPr>
    </w:p>
    <w:p w:rsidR="009707C7" w:rsidRPr="005C381A" w:rsidRDefault="003E336E" w:rsidP="003E336E">
      <w:pPr>
        <w:ind w:firstLine="720"/>
        <w:jc w:val="center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Основні групи (підгрупи), на які проблема має вплив:</w:t>
      </w:r>
    </w:p>
    <w:tbl>
      <w:tblPr>
        <w:tblW w:w="4298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1276"/>
        <w:gridCol w:w="1221"/>
      </w:tblGrid>
      <w:tr w:rsidR="005C381A" w:rsidRPr="005C381A" w:rsidTr="005A50FF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Групи (підгрупи)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Ні</w:t>
            </w:r>
          </w:p>
        </w:tc>
      </w:tr>
      <w:tr w:rsidR="005C381A" w:rsidRPr="005C381A" w:rsidTr="005A50FF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Громадяни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-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+</w:t>
            </w:r>
          </w:p>
        </w:tc>
      </w:tr>
      <w:tr w:rsidR="005C381A" w:rsidRPr="005C381A" w:rsidTr="005A50FF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Держава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-</w:t>
            </w:r>
          </w:p>
        </w:tc>
      </w:tr>
      <w:tr w:rsidR="005C381A" w:rsidRPr="005C381A" w:rsidTr="005A50FF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Суб’єкти господарювання,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-</w:t>
            </w:r>
          </w:p>
        </w:tc>
      </w:tr>
      <w:tr w:rsidR="003E336E" w:rsidRPr="005C381A" w:rsidTr="005A50FF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36E" w:rsidRPr="005C381A" w:rsidRDefault="003E336E" w:rsidP="005A50FF">
            <w:pPr>
              <w:pStyle w:val="a3"/>
              <w:jc w:val="center"/>
              <w:rPr>
                <w:sz w:val="22"/>
                <w:lang w:val="uk-UA"/>
              </w:rPr>
            </w:pPr>
            <w:r w:rsidRPr="005C381A">
              <w:rPr>
                <w:sz w:val="22"/>
                <w:lang w:val="uk-UA"/>
              </w:rPr>
              <w:t>-</w:t>
            </w:r>
          </w:p>
        </w:tc>
      </w:tr>
    </w:tbl>
    <w:p w:rsidR="003E336E" w:rsidRPr="005C381A" w:rsidRDefault="003E336E" w:rsidP="003E336E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  <w:lang w:val="uk-UA"/>
        </w:rPr>
      </w:pPr>
    </w:p>
    <w:p w:rsidR="003E336E" w:rsidRPr="005C381A" w:rsidRDefault="003E336E" w:rsidP="003E33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Врегулювання зазначених проблемних питань не може бути здійснено за допомогою:</w:t>
      </w:r>
    </w:p>
    <w:p w:rsidR="003E336E" w:rsidRPr="005C381A" w:rsidRDefault="003E336E" w:rsidP="003E33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:rsidR="003E336E" w:rsidRDefault="003E336E" w:rsidP="003E33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діючих регуляторних актів, оскільки такі регуляторні акти відсутні.</w:t>
      </w:r>
    </w:p>
    <w:p w:rsidR="009707C7" w:rsidRPr="009707C7" w:rsidRDefault="009707C7" w:rsidP="003E336E">
      <w:pPr>
        <w:pStyle w:val="a3"/>
        <w:spacing w:before="0" w:beforeAutospacing="0" w:after="0" w:afterAutospacing="0"/>
        <w:ind w:firstLine="720"/>
        <w:jc w:val="both"/>
        <w:rPr>
          <w:sz w:val="6"/>
          <w:szCs w:val="28"/>
          <w:lang w:val="uk-UA"/>
        </w:rPr>
      </w:pPr>
    </w:p>
    <w:p w:rsidR="00D10C68" w:rsidRPr="005C381A" w:rsidRDefault="00D10C68" w:rsidP="001B7598">
      <w:pPr>
        <w:pStyle w:val="3"/>
        <w:spacing w:before="0" w:beforeAutospacing="0" w:after="0" w:afterAutospacing="0"/>
        <w:jc w:val="center"/>
        <w:rPr>
          <w:rFonts w:eastAsia="Times New Roman"/>
          <w:sz w:val="16"/>
          <w:szCs w:val="16"/>
          <w:highlight w:val="yellow"/>
          <w:lang w:val="uk-UA"/>
        </w:rPr>
      </w:pPr>
    </w:p>
    <w:p w:rsidR="00F2141A" w:rsidRPr="005C381A" w:rsidRDefault="00F2141A" w:rsidP="00F2141A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>II. Цілі державного регулювання</w:t>
      </w:r>
    </w:p>
    <w:p w:rsidR="00F2141A" w:rsidRPr="005C381A" w:rsidRDefault="00F2141A" w:rsidP="00F2141A">
      <w:pPr>
        <w:pStyle w:val="3"/>
        <w:spacing w:before="0" w:beforeAutospacing="0" w:after="0" w:afterAutospacing="0"/>
        <w:jc w:val="center"/>
        <w:rPr>
          <w:rFonts w:eastAsia="Times New Roman"/>
          <w:sz w:val="16"/>
          <w:szCs w:val="16"/>
          <w:lang w:val="uk-UA"/>
        </w:rPr>
      </w:pPr>
    </w:p>
    <w:p w:rsidR="00F2141A" w:rsidRPr="005C381A" w:rsidRDefault="00F2141A" w:rsidP="00F2141A">
      <w:pPr>
        <w:pStyle w:val="a3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C381A">
        <w:rPr>
          <w:rFonts w:ascii="Times New Roman" w:hAnsi="Times New Roman"/>
          <w:sz w:val="28"/>
          <w:szCs w:val="28"/>
          <w:lang w:val="uk-UA"/>
        </w:rPr>
        <w:t xml:space="preserve">Цілями видання проекту </w:t>
      </w:r>
      <w:r w:rsidR="00943A6E" w:rsidRPr="005C381A">
        <w:rPr>
          <w:rFonts w:ascii="Times New Roman" w:hAnsi="Times New Roman"/>
          <w:sz w:val="28"/>
          <w:szCs w:val="28"/>
          <w:lang w:val="uk-UA"/>
        </w:rPr>
        <w:t>наказу</w:t>
      </w:r>
      <w:r w:rsidRPr="005C381A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D10C68" w:rsidRPr="005C381A" w:rsidRDefault="00D10C68" w:rsidP="00F2141A">
      <w:pPr>
        <w:pStyle w:val="a3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C381A">
        <w:rPr>
          <w:rFonts w:ascii="Times New Roman" w:hAnsi="Times New Roman"/>
          <w:sz w:val="28"/>
          <w:szCs w:val="28"/>
          <w:lang w:val="uk-UA"/>
        </w:rPr>
        <w:t xml:space="preserve">дотримання вимог Закону України № 1160-ІV  та   </w:t>
      </w:r>
      <w:r w:rsidR="00943A6E" w:rsidRPr="005C381A">
        <w:rPr>
          <w:rFonts w:ascii="Times New Roman" w:hAnsi="Times New Roman"/>
          <w:sz w:val="28"/>
          <w:szCs w:val="28"/>
          <w:lang w:val="uk-UA"/>
        </w:rPr>
        <w:t>п</w:t>
      </w:r>
      <w:r w:rsidRPr="005C381A">
        <w:rPr>
          <w:rFonts w:ascii="Times New Roman" w:hAnsi="Times New Roman"/>
          <w:sz w:val="28"/>
          <w:szCs w:val="28"/>
          <w:lang w:val="uk-UA"/>
        </w:rPr>
        <w:t>останови № 731;</w:t>
      </w:r>
    </w:p>
    <w:p w:rsidR="00F2141A" w:rsidRPr="005C381A" w:rsidRDefault="00F2141A" w:rsidP="00D81DA2">
      <w:pPr>
        <w:pStyle w:val="a3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381A">
        <w:rPr>
          <w:rFonts w:ascii="Times New Roman" w:hAnsi="Times New Roman"/>
          <w:sz w:val="28"/>
          <w:szCs w:val="28"/>
          <w:lang w:val="uk-UA"/>
        </w:rPr>
        <w:t>поліпшення ефективності боротьби з ухиленням від оподаткування несумлінних платників податків та недопущення втрат бюджету;</w:t>
      </w:r>
    </w:p>
    <w:p w:rsidR="00F2141A" w:rsidRPr="005C381A" w:rsidRDefault="00F2141A" w:rsidP="00D81DA2">
      <w:pPr>
        <w:pStyle w:val="a3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381A">
        <w:rPr>
          <w:rFonts w:ascii="Times New Roman" w:hAnsi="Times New Roman"/>
          <w:sz w:val="28"/>
          <w:szCs w:val="28"/>
          <w:lang w:val="uk-UA"/>
        </w:rPr>
        <w:t>стабільність та довіра платників податків до контролюючого органу</w:t>
      </w:r>
      <w:r w:rsidR="0095012A" w:rsidRPr="005C381A">
        <w:rPr>
          <w:rFonts w:ascii="Times New Roman" w:hAnsi="Times New Roman"/>
          <w:sz w:val="28"/>
          <w:szCs w:val="28"/>
          <w:lang w:val="uk-UA"/>
        </w:rPr>
        <w:t>.</w:t>
      </w:r>
    </w:p>
    <w:p w:rsidR="00367AF3" w:rsidRPr="005C381A" w:rsidRDefault="00367AF3" w:rsidP="00367AF3">
      <w:pPr>
        <w:pStyle w:val="a30"/>
        <w:ind w:left="1080"/>
        <w:jc w:val="both"/>
        <w:rPr>
          <w:sz w:val="16"/>
          <w:szCs w:val="16"/>
          <w:highlight w:val="yellow"/>
          <w:lang w:val="uk-UA"/>
        </w:rPr>
      </w:pPr>
    </w:p>
    <w:p w:rsidR="00997C17" w:rsidRPr="005C381A" w:rsidRDefault="00641E5B" w:rsidP="00367AF3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367AF3" w:rsidRPr="005C381A" w:rsidRDefault="00367AF3" w:rsidP="00367AF3">
      <w:pPr>
        <w:pStyle w:val="3"/>
        <w:spacing w:before="0" w:beforeAutospacing="0" w:after="0" w:afterAutospacing="0"/>
        <w:jc w:val="center"/>
        <w:rPr>
          <w:rFonts w:eastAsia="Times New Roman"/>
          <w:sz w:val="16"/>
          <w:szCs w:val="16"/>
          <w:lang w:val="uk-UA"/>
        </w:rPr>
      </w:pPr>
    </w:p>
    <w:p w:rsidR="00641E5B" w:rsidRPr="005C381A" w:rsidRDefault="00641E5B" w:rsidP="00367A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1. Альтернативні способи досягнення цілей державного регулювання:</w:t>
      </w:r>
    </w:p>
    <w:p w:rsidR="00367AF3" w:rsidRPr="005C381A" w:rsidRDefault="00367AF3" w:rsidP="00367AF3">
      <w:pPr>
        <w:pStyle w:val="a3"/>
        <w:spacing w:before="0" w:beforeAutospacing="0" w:after="0" w:afterAutospacing="0"/>
        <w:ind w:firstLine="720"/>
        <w:jc w:val="both"/>
        <w:rPr>
          <w:sz w:val="8"/>
          <w:szCs w:val="8"/>
          <w:lang w:val="uk-UA"/>
        </w:rPr>
      </w:pP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989"/>
      </w:tblGrid>
      <w:tr w:rsidR="005C381A" w:rsidRPr="005C381A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Опис альтернативи</w:t>
            </w:r>
          </w:p>
        </w:tc>
      </w:tr>
      <w:tr w:rsidR="005C381A" w:rsidRPr="005C381A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ind w:right="-68"/>
              <w:rPr>
                <w:lang w:val="uk-UA"/>
              </w:rPr>
            </w:pPr>
            <w:r w:rsidRPr="005C381A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ind w:firstLine="29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Затвердити розроблений нормативно-правовий акт</w:t>
            </w:r>
          </w:p>
          <w:p w:rsidR="00641E5B" w:rsidRPr="005C381A" w:rsidRDefault="00641E5B">
            <w:pPr>
              <w:pStyle w:val="a3"/>
              <w:spacing w:before="0" w:beforeAutospacing="0" w:after="0" w:afterAutospacing="0"/>
              <w:ind w:firstLine="290"/>
              <w:jc w:val="both"/>
              <w:rPr>
                <w:lang w:val="uk-UA"/>
              </w:rPr>
            </w:pPr>
          </w:p>
        </w:tc>
      </w:tr>
      <w:tr w:rsidR="00641E5B" w:rsidRPr="005C381A" w:rsidTr="00367AF3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ind w:right="-67"/>
              <w:rPr>
                <w:lang w:val="uk-UA"/>
              </w:rPr>
            </w:pPr>
            <w:r w:rsidRPr="005C381A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spacing w:before="0" w:beforeAutospacing="0" w:after="0" w:afterAutospacing="0"/>
              <w:ind w:firstLine="29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Залишити ситуацію без змін</w:t>
            </w:r>
          </w:p>
        </w:tc>
      </w:tr>
    </w:tbl>
    <w:p w:rsidR="00367AF3" w:rsidRPr="005C381A" w:rsidRDefault="00367AF3" w:rsidP="00367A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41E5B" w:rsidRPr="005C381A" w:rsidRDefault="00641E5B" w:rsidP="00367A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2. Оцінка впливу на сферу інтересів держави</w:t>
      </w:r>
    </w:p>
    <w:p w:rsidR="00367AF3" w:rsidRPr="005C381A" w:rsidRDefault="00367AF3" w:rsidP="00367A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  <w:lang w:val="uk-UA"/>
        </w:rPr>
      </w:pP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4644"/>
        <w:gridCol w:w="3368"/>
      </w:tblGrid>
      <w:tr w:rsidR="005C381A" w:rsidRPr="005C381A" w:rsidTr="00C611EF">
        <w:trPr>
          <w:tblCellSpacing w:w="30" w:type="dxa"/>
        </w:trPr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Вид альтернативи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Вигоди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highlight w:val="yellow"/>
                <w:lang w:val="uk-UA"/>
              </w:rPr>
            </w:pPr>
            <w:r w:rsidRPr="005C381A">
              <w:rPr>
                <w:lang w:val="uk-UA"/>
              </w:rPr>
              <w:t>Витрати</w:t>
            </w:r>
          </w:p>
        </w:tc>
      </w:tr>
      <w:tr w:rsidR="005C381A" w:rsidRPr="00D360AD" w:rsidTr="00C611EF">
        <w:trPr>
          <w:tblCellSpacing w:w="30" w:type="dxa"/>
        </w:trPr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rPr>
                <w:lang w:val="uk-UA"/>
              </w:rPr>
            </w:pPr>
            <w:r w:rsidRPr="005C381A">
              <w:rPr>
                <w:lang w:val="uk-UA"/>
              </w:rPr>
              <w:t>Альтернатива 1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367AF3" w:rsidP="0072457F">
            <w:pPr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1. </w:t>
            </w:r>
            <w:r w:rsidR="00D10C68" w:rsidRPr="005C381A">
              <w:rPr>
                <w:lang w:val="uk-UA"/>
              </w:rPr>
              <w:t xml:space="preserve">Забезпечить дотримання вимог Закону України № 1160-ІV  та   </w:t>
            </w:r>
            <w:r w:rsidR="00943A6E" w:rsidRPr="005C381A">
              <w:rPr>
                <w:lang w:val="uk-UA"/>
              </w:rPr>
              <w:t>п</w:t>
            </w:r>
            <w:r w:rsidR="00D10C68" w:rsidRPr="005C381A">
              <w:rPr>
                <w:lang w:val="uk-UA"/>
              </w:rPr>
              <w:t>останови № 731</w:t>
            </w:r>
            <w:r w:rsidR="0082732B" w:rsidRPr="005C381A">
              <w:rPr>
                <w:lang w:val="uk-UA"/>
              </w:rPr>
              <w:t>.</w:t>
            </w:r>
          </w:p>
          <w:p w:rsidR="00367AF3" w:rsidRPr="005C381A" w:rsidRDefault="00367AF3" w:rsidP="0082732B">
            <w:pPr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2. </w:t>
            </w:r>
            <w:r w:rsidR="0082732B" w:rsidRPr="005C381A">
              <w:rPr>
                <w:lang w:val="uk-UA"/>
              </w:rPr>
              <w:t>Поліпшення ефективності боротьби з ухиленням від оподаткування з метою недопущення втрат бюджету</w:t>
            </w:r>
            <w:r w:rsidRPr="005C381A">
              <w:rPr>
                <w:lang w:val="uk-UA"/>
              </w:rPr>
              <w:t>.</w:t>
            </w:r>
          </w:p>
          <w:p w:rsidR="00367AF3" w:rsidRPr="005C381A" w:rsidRDefault="00367AF3" w:rsidP="00367AF3">
            <w:pPr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3. </w:t>
            </w:r>
            <w:r w:rsidR="00943A6E" w:rsidRPr="005C381A">
              <w:rPr>
                <w:lang w:val="uk-UA"/>
              </w:rPr>
              <w:t>У</w:t>
            </w:r>
            <w:r w:rsidRPr="005C381A">
              <w:rPr>
                <w:lang w:val="uk-UA"/>
              </w:rPr>
              <w:t>досконалення системи контролю за нарахуванням  ПДВ до бюджету.</w:t>
            </w:r>
          </w:p>
          <w:p w:rsidR="0082732B" w:rsidRPr="005C381A" w:rsidRDefault="0082732B" w:rsidP="0082732B">
            <w:pPr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 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2D63" w:rsidRPr="005C381A" w:rsidRDefault="00641E5B" w:rsidP="00776AC2">
            <w:pPr>
              <w:spacing w:before="100" w:beforeAutospacing="1" w:after="100" w:afterAutospacing="1"/>
              <w:ind w:hanging="7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Витрати відсутні</w:t>
            </w:r>
            <w:r w:rsidR="003F2D63" w:rsidRPr="005C381A">
              <w:rPr>
                <w:lang w:val="uk-UA"/>
              </w:rPr>
              <w:t>. Оновлення програмного забезпечення здійснюється в межах фінансування Державної фіскальної служби</w:t>
            </w:r>
            <w:r w:rsidR="00943A6E" w:rsidRPr="005C381A">
              <w:rPr>
                <w:lang w:val="uk-UA"/>
              </w:rPr>
              <w:t xml:space="preserve"> України</w:t>
            </w:r>
            <w:r w:rsidR="003F2D63" w:rsidRPr="005C381A">
              <w:rPr>
                <w:lang w:val="uk-UA"/>
              </w:rPr>
              <w:t xml:space="preserve"> без необхідності залучення кадрів</w:t>
            </w:r>
            <w:r w:rsidR="001F29EC" w:rsidRPr="005C381A">
              <w:rPr>
                <w:lang w:val="uk-UA"/>
              </w:rPr>
              <w:t>.</w:t>
            </w:r>
          </w:p>
        </w:tc>
      </w:tr>
      <w:tr w:rsidR="005C381A" w:rsidRPr="005C381A" w:rsidTr="00C611EF">
        <w:trPr>
          <w:tblCellSpacing w:w="30" w:type="dxa"/>
        </w:trPr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rPr>
                <w:lang w:val="uk-UA"/>
              </w:rPr>
            </w:pPr>
            <w:r w:rsidRPr="005C381A">
              <w:rPr>
                <w:lang w:val="uk-UA"/>
              </w:rPr>
              <w:t>Альтернатива 2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C611EF" w:rsidP="00E0769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C381A">
              <w:t xml:space="preserve"> </w:t>
            </w:r>
            <w:r w:rsidRPr="005C381A">
              <w:rPr>
                <w:lang w:val="uk-UA"/>
              </w:rPr>
              <w:t>Відсутні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530E2B" w:rsidP="00367AF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Витрати відсутні</w:t>
            </w:r>
            <w:r w:rsidR="001F29EC" w:rsidRPr="005C381A">
              <w:rPr>
                <w:lang w:val="uk-UA"/>
              </w:rPr>
              <w:t>.</w:t>
            </w:r>
          </w:p>
          <w:p w:rsidR="00F02991" w:rsidRPr="005C381A" w:rsidRDefault="005C381A" w:rsidP="001B759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Зупинення</w:t>
            </w:r>
            <w:r w:rsidR="00F02991" w:rsidRPr="005C381A">
              <w:rPr>
                <w:lang w:val="uk-UA"/>
              </w:rPr>
              <w:t xml:space="preserve"> </w:t>
            </w:r>
            <w:r w:rsidR="00D360AD">
              <w:rPr>
                <w:lang w:val="uk-UA"/>
              </w:rPr>
              <w:t xml:space="preserve">реєстрації </w:t>
            </w:r>
            <w:r w:rsidR="00F02991" w:rsidRPr="005C381A">
              <w:rPr>
                <w:lang w:val="uk-UA"/>
              </w:rPr>
              <w:t>ПН/РК</w:t>
            </w:r>
            <w:r w:rsidR="00D360AD">
              <w:rPr>
                <w:lang w:val="uk-UA"/>
              </w:rPr>
              <w:t xml:space="preserve"> </w:t>
            </w:r>
            <w:r w:rsidR="00D360AD">
              <w:rPr>
                <w:sz w:val="28"/>
                <w:szCs w:val="28"/>
                <w:lang w:val="uk-UA"/>
              </w:rPr>
              <w:t xml:space="preserve">в </w:t>
            </w:r>
            <w:r w:rsidR="00D360AD" w:rsidRPr="00D360AD">
              <w:rPr>
                <w:rStyle w:val="rvts23"/>
                <w:sz w:val="28"/>
                <w:szCs w:val="28"/>
                <w:lang w:val="uk-UA"/>
              </w:rPr>
              <w:t>ЄРПН</w:t>
            </w:r>
            <w:bookmarkStart w:id="0" w:name="_GoBack"/>
            <w:bookmarkEnd w:id="0"/>
            <w:r w:rsidR="00F02991" w:rsidRPr="005C381A">
              <w:rPr>
                <w:lang w:val="uk-UA"/>
              </w:rPr>
              <w:t xml:space="preserve"> на підставі документів, оформлен</w:t>
            </w:r>
            <w:r w:rsidR="00943A6E" w:rsidRPr="005C381A">
              <w:rPr>
                <w:lang w:val="uk-UA"/>
              </w:rPr>
              <w:t>их</w:t>
            </w:r>
            <w:r w:rsidR="00F02991" w:rsidRPr="005C381A">
              <w:rPr>
                <w:lang w:val="uk-UA"/>
              </w:rPr>
              <w:t xml:space="preserve"> з порушенням вимог Закону України № 1160-ІV  та   </w:t>
            </w:r>
            <w:r w:rsidR="00943A6E" w:rsidRPr="005C381A">
              <w:rPr>
                <w:lang w:val="uk-UA"/>
              </w:rPr>
              <w:t>п</w:t>
            </w:r>
            <w:r w:rsidR="00F02991" w:rsidRPr="005C381A">
              <w:rPr>
                <w:lang w:val="uk-UA"/>
              </w:rPr>
              <w:t>останови № 731.</w:t>
            </w:r>
          </w:p>
          <w:p w:rsidR="00EC748C" w:rsidRPr="005C381A" w:rsidRDefault="00EC748C" w:rsidP="00943A6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Безпідставна реєстрація </w:t>
            </w:r>
            <w:r w:rsidR="00F02991" w:rsidRPr="005C381A">
              <w:rPr>
                <w:lang w:val="uk-UA"/>
              </w:rPr>
              <w:t>ПН</w:t>
            </w:r>
            <w:r w:rsidR="001F29EC" w:rsidRPr="005C381A">
              <w:rPr>
                <w:lang w:val="uk-UA"/>
              </w:rPr>
              <w:t> </w:t>
            </w:r>
            <w:r w:rsidRPr="005C381A">
              <w:rPr>
                <w:lang w:val="uk-UA"/>
              </w:rPr>
              <w:t>/</w:t>
            </w:r>
            <w:r w:rsidR="001F29EC" w:rsidRPr="005C381A">
              <w:rPr>
                <w:lang w:val="uk-UA"/>
              </w:rPr>
              <w:t> </w:t>
            </w:r>
            <w:r w:rsidR="00F02991" w:rsidRPr="005C381A">
              <w:rPr>
                <w:lang w:val="uk-UA"/>
              </w:rPr>
              <w:t>РК</w:t>
            </w:r>
            <w:r w:rsidRPr="005C381A">
              <w:rPr>
                <w:lang w:val="uk-UA"/>
              </w:rPr>
              <w:t xml:space="preserve"> у разі</w:t>
            </w:r>
            <w:r w:rsidR="001F29EC" w:rsidRPr="005C381A">
              <w:rPr>
                <w:lang w:val="uk-UA"/>
              </w:rPr>
              <w:t>,</w:t>
            </w:r>
            <w:r w:rsidRPr="005C381A">
              <w:rPr>
                <w:lang w:val="uk-UA"/>
              </w:rPr>
              <w:t xml:space="preserve"> коли постачальник фактично не здійснює господарськ</w:t>
            </w:r>
            <w:r w:rsidR="00943A6E" w:rsidRPr="005C381A">
              <w:rPr>
                <w:lang w:val="uk-UA"/>
              </w:rPr>
              <w:t>ої</w:t>
            </w:r>
            <w:r w:rsidRPr="005C381A">
              <w:rPr>
                <w:lang w:val="uk-UA"/>
              </w:rPr>
              <w:t xml:space="preserve"> операці</w:t>
            </w:r>
            <w:r w:rsidR="00943A6E" w:rsidRPr="005C381A">
              <w:rPr>
                <w:lang w:val="uk-UA"/>
              </w:rPr>
              <w:t>ї</w:t>
            </w:r>
            <w:r w:rsidRPr="005C381A">
              <w:rPr>
                <w:lang w:val="uk-UA"/>
              </w:rPr>
              <w:t xml:space="preserve">, а реєструє виключно з метою надання покупцю необґрунтованої податкової вигоди. Ухилення від оподаткування несумлінних платників податків. </w:t>
            </w:r>
          </w:p>
        </w:tc>
      </w:tr>
    </w:tbl>
    <w:p w:rsidR="0072457F" w:rsidRPr="005C381A" w:rsidRDefault="00641E5B" w:rsidP="003B03A9">
      <w:pPr>
        <w:pStyle w:val="a3"/>
        <w:spacing w:before="240" w:beforeAutospacing="0" w:after="60" w:afterAutospacing="0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3. </w:t>
      </w:r>
      <w:r w:rsidR="000E2E17" w:rsidRPr="005C381A">
        <w:rPr>
          <w:sz w:val="28"/>
          <w:szCs w:val="28"/>
          <w:lang w:val="uk-UA"/>
        </w:rPr>
        <w:t xml:space="preserve">Проект </w:t>
      </w:r>
      <w:r w:rsidR="00BB1F3E" w:rsidRPr="005C381A">
        <w:rPr>
          <w:sz w:val="28"/>
          <w:szCs w:val="28"/>
          <w:lang w:val="uk-UA"/>
        </w:rPr>
        <w:t>наказу</w:t>
      </w:r>
      <w:r w:rsidR="001F29EC" w:rsidRPr="005C381A">
        <w:rPr>
          <w:sz w:val="28"/>
          <w:szCs w:val="28"/>
          <w:lang w:val="uk-UA"/>
        </w:rPr>
        <w:t xml:space="preserve"> </w:t>
      </w:r>
      <w:r w:rsidR="000E2E17" w:rsidRPr="005C381A">
        <w:rPr>
          <w:sz w:val="28"/>
          <w:szCs w:val="28"/>
          <w:lang w:val="uk-UA"/>
        </w:rPr>
        <w:t xml:space="preserve">не впливає на </w:t>
      </w:r>
      <w:r w:rsidRPr="005C381A">
        <w:rPr>
          <w:sz w:val="28"/>
          <w:szCs w:val="28"/>
          <w:lang w:val="uk-UA"/>
        </w:rPr>
        <w:t>сферу інтересів громадян</w:t>
      </w:r>
      <w:r w:rsidR="0072457F" w:rsidRPr="005C381A">
        <w:rPr>
          <w:sz w:val="28"/>
          <w:szCs w:val="28"/>
          <w:lang w:val="uk-UA"/>
        </w:rPr>
        <w:t>.</w:t>
      </w:r>
    </w:p>
    <w:p w:rsidR="0072457F" w:rsidRDefault="0072457F" w:rsidP="001F29EC">
      <w:pPr>
        <w:pStyle w:val="a3"/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4. Оцінка впливу на сферу інтересів суб’єктів господарювання</w:t>
      </w:r>
      <w:r w:rsidR="00B4010A" w:rsidRPr="005C381A">
        <w:rPr>
          <w:sz w:val="28"/>
          <w:szCs w:val="28"/>
          <w:lang w:val="uk-UA"/>
        </w:rPr>
        <w:t xml:space="preserve"> </w:t>
      </w:r>
    </w:p>
    <w:p w:rsidR="009707C7" w:rsidRDefault="009707C7" w:rsidP="009707C7">
      <w:pPr>
        <w:pStyle w:val="a3"/>
        <w:ind w:left="7230"/>
        <w:jc w:val="both"/>
        <w:rPr>
          <w:b/>
          <w:color w:val="000000" w:themeColor="text1"/>
          <w:sz w:val="20"/>
          <w:szCs w:val="20"/>
          <w:lang w:val="uk-UA"/>
        </w:rPr>
      </w:pPr>
      <w:r w:rsidRPr="00DE415C">
        <w:rPr>
          <w:b/>
          <w:color w:val="000000" w:themeColor="text1"/>
          <w:sz w:val="20"/>
          <w:szCs w:val="20"/>
          <w:lang w:val="uk-UA"/>
        </w:rPr>
        <w:t xml:space="preserve">Станом на </w:t>
      </w:r>
      <w:r>
        <w:rPr>
          <w:b/>
          <w:color w:val="000000" w:themeColor="text1"/>
          <w:sz w:val="20"/>
          <w:szCs w:val="20"/>
        </w:rPr>
        <w:t>18</w:t>
      </w:r>
      <w:r w:rsidRPr="00DE415C">
        <w:rPr>
          <w:b/>
          <w:color w:val="000000" w:themeColor="text1"/>
          <w:sz w:val="20"/>
          <w:szCs w:val="20"/>
          <w:lang w:val="uk-UA"/>
        </w:rPr>
        <w:t>.0</w:t>
      </w:r>
      <w:r>
        <w:rPr>
          <w:b/>
          <w:color w:val="000000" w:themeColor="text1"/>
          <w:sz w:val="20"/>
          <w:szCs w:val="20"/>
        </w:rPr>
        <w:t>5</w:t>
      </w:r>
      <w:r w:rsidRPr="00DE415C">
        <w:rPr>
          <w:b/>
          <w:color w:val="000000" w:themeColor="text1"/>
          <w:sz w:val="20"/>
          <w:szCs w:val="20"/>
          <w:lang w:val="uk-UA"/>
        </w:rPr>
        <w:t>.2018</w:t>
      </w:r>
    </w:p>
    <w:tbl>
      <w:tblPr>
        <w:tblW w:w="963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2293"/>
        <w:gridCol w:w="1843"/>
        <w:gridCol w:w="2668"/>
      </w:tblGrid>
      <w:tr w:rsidR="009707C7" w:rsidTr="00E12951">
        <w:trPr>
          <w:trHeight w:val="550"/>
          <w:tblCellSpacing w:w="20" w:type="dxa"/>
          <w:jc w:val="center"/>
        </w:trPr>
        <w:tc>
          <w:tcPr>
            <w:tcW w:w="2767" w:type="dxa"/>
            <w:shd w:val="clear" w:color="auto" w:fill="auto"/>
          </w:tcPr>
          <w:p w:rsidR="009707C7" w:rsidRPr="008F6F61" w:rsidRDefault="009707C7" w:rsidP="00E12951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Показник</w:t>
            </w:r>
          </w:p>
        </w:tc>
        <w:tc>
          <w:tcPr>
            <w:tcW w:w="2253" w:type="dxa"/>
          </w:tcPr>
          <w:p w:rsidR="009707C7" w:rsidRPr="008F6F61" w:rsidRDefault="009707C7" w:rsidP="00E12951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Юридичні особи</w:t>
            </w:r>
          </w:p>
        </w:tc>
        <w:tc>
          <w:tcPr>
            <w:tcW w:w="1803" w:type="dxa"/>
            <w:shd w:val="clear" w:color="auto" w:fill="auto"/>
          </w:tcPr>
          <w:p w:rsidR="009707C7" w:rsidRPr="008F6F61" w:rsidRDefault="009707C7" w:rsidP="00E12951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Фізичні особи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</w:tcPr>
          <w:p w:rsidR="009707C7" w:rsidRPr="00C82EB0" w:rsidRDefault="009707C7" w:rsidP="00E129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9707C7" w:rsidTr="00E12951">
        <w:trPr>
          <w:trHeight w:val="764"/>
          <w:tblCellSpacing w:w="20" w:type="dxa"/>
          <w:jc w:val="center"/>
        </w:trPr>
        <w:tc>
          <w:tcPr>
            <w:tcW w:w="2767" w:type="dxa"/>
            <w:shd w:val="clear" w:color="auto" w:fill="auto"/>
          </w:tcPr>
          <w:p w:rsidR="009707C7" w:rsidRPr="008F6F61" w:rsidRDefault="009707C7" w:rsidP="00E12951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 xml:space="preserve">Кількість </w:t>
            </w:r>
            <w:r>
              <w:rPr>
                <w:lang w:val="uk-UA"/>
              </w:rPr>
              <w:t>діючих платників  ПДВ</w:t>
            </w:r>
            <w:r w:rsidRPr="008F6F61">
              <w:rPr>
                <w:lang w:val="uk-UA"/>
              </w:rPr>
              <w:t>, одиниць</w:t>
            </w:r>
          </w:p>
        </w:tc>
        <w:tc>
          <w:tcPr>
            <w:tcW w:w="2253" w:type="dxa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233 147</w:t>
            </w:r>
          </w:p>
        </w:tc>
        <w:tc>
          <w:tcPr>
            <w:tcW w:w="1803" w:type="dxa"/>
            <w:shd w:val="clear" w:color="auto" w:fill="auto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19 772</w:t>
            </w:r>
          </w:p>
        </w:tc>
        <w:tc>
          <w:tcPr>
            <w:tcW w:w="2608" w:type="dxa"/>
            <w:shd w:val="clear" w:color="auto" w:fill="auto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252 919</w:t>
            </w:r>
          </w:p>
        </w:tc>
      </w:tr>
      <w:tr w:rsidR="009707C7" w:rsidRPr="00C82EB0" w:rsidTr="00E12951">
        <w:trPr>
          <w:trHeight w:val="870"/>
          <w:tblCellSpacing w:w="20" w:type="dxa"/>
          <w:jc w:val="center"/>
        </w:trPr>
        <w:tc>
          <w:tcPr>
            <w:tcW w:w="2767" w:type="dxa"/>
            <w:shd w:val="clear" w:color="auto" w:fill="auto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2253" w:type="dxa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803" w:type="dxa"/>
            <w:shd w:val="clear" w:color="auto" w:fill="auto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08" w:type="dxa"/>
            <w:shd w:val="clear" w:color="auto" w:fill="auto"/>
          </w:tcPr>
          <w:p w:rsidR="009707C7" w:rsidRPr="00F675A8" w:rsidRDefault="009707C7" w:rsidP="00E12951">
            <w:pPr>
              <w:pStyle w:val="a3"/>
              <w:jc w:val="center"/>
              <w:rPr>
                <w:lang w:val="uk-UA"/>
              </w:rPr>
            </w:pPr>
            <w:r w:rsidRPr="00F675A8">
              <w:rPr>
                <w:lang w:val="uk-UA"/>
              </w:rPr>
              <w:t>Х</w:t>
            </w:r>
          </w:p>
        </w:tc>
      </w:tr>
    </w:tbl>
    <w:p w:rsidR="009707C7" w:rsidRDefault="009707C7" w:rsidP="009707C7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  <w:r w:rsidRPr="00DE415C">
        <w:rPr>
          <w:color w:val="000000" w:themeColor="text1"/>
          <w:sz w:val="22"/>
          <w:lang w:val="uk-UA"/>
        </w:rPr>
        <w:lastRenderedPageBreak/>
        <w:t xml:space="preserve">*За даними ДФС </w:t>
      </w:r>
    </w:p>
    <w:p w:rsidR="009707C7" w:rsidRPr="00010B07" w:rsidRDefault="009707C7" w:rsidP="009707C7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</w:p>
    <w:p w:rsidR="0099107E" w:rsidRPr="005C381A" w:rsidRDefault="0099107E" w:rsidP="00D10C68">
      <w:pPr>
        <w:pStyle w:val="a3"/>
        <w:spacing w:before="0" w:beforeAutospacing="0" w:after="0" w:afterAutospacing="0"/>
        <w:ind w:firstLine="720"/>
        <w:jc w:val="both"/>
        <w:rPr>
          <w:sz w:val="22"/>
          <w:lang w:val="uk-UA"/>
        </w:rPr>
      </w:pPr>
    </w:p>
    <w:tbl>
      <w:tblPr>
        <w:tblW w:w="9497" w:type="dxa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122"/>
        <w:gridCol w:w="3532"/>
      </w:tblGrid>
      <w:tr w:rsidR="005C381A" w:rsidRPr="005C381A" w:rsidTr="00DE415C">
        <w:trPr>
          <w:tblCellSpacing w:w="20" w:type="dxa"/>
        </w:trPr>
        <w:tc>
          <w:tcPr>
            <w:tcW w:w="1783" w:type="dxa"/>
            <w:shd w:val="clear" w:color="auto" w:fill="auto"/>
          </w:tcPr>
          <w:p w:rsidR="0072457F" w:rsidRPr="005C381A" w:rsidRDefault="0072457F" w:rsidP="001F29EC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Вид альтернативи</w:t>
            </w:r>
          </w:p>
        </w:tc>
        <w:tc>
          <w:tcPr>
            <w:tcW w:w="4082" w:type="dxa"/>
            <w:shd w:val="clear" w:color="auto" w:fill="auto"/>
          </w:tcPr>
          <w:p w:rsidR="0072457F" w:rsidRPr="005C381A" w:rsidRDefault="0072457F" w:rsidP="00663C16">
            <w:pPr>
              <w:pStyle w:val="a3"/>
              <w:spacing w:before="0" w:after="0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Вигоди</w:t>
            </w:r>
          </w:p>
        </w:tc>
        <w:tc>
          <w:tcPr>
            <w:tcW w:w="3472" w:type="dxa"/>
            <w:shd w:val="clear" w:color="auto" w:fill="auto"/>
          </w:tcPr>
          <w:p w:rsidR="0072457F" w:rsidRPr="005C381A" w:rsidRDefault="0072457F" w:rsidP="00663C16">
            <w:pPr>
              <w:pStyle w:val="a3"/>
              <w:spacing w:before="0" w:after="0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Витрати</w:t>
            </w:r>
          </w:p>
        </w:tc>
      </w:tr>
      <w:tr w:rsidR="005C381A" w:rsidRPr="00D360AD" w:rsidTr="00DE415C">
        <w:trPr>
          <w:tblCellSpacing w:w="20" w:type="dxa"/>
        </w:trPr>
        <w:tc>
          <w:tcPr>
            <w:tcW w:w="1783" w:type="dxa"/>
            <w:shd w:val="clear" w:color="auto" w:fill="auto"/>
            <w:vAlign w:val="center"/>
          </w:tcPr>
          <w:p w:rsidR="00D10C68" w:rsidRPr="005C381A" w:rsidRDefault="00D10C68" w:rsidP="00D10C68">
            <w:pPr>
              <w:pStyle w:val="a3"/>
              <w:spacing w:before="0" w:after="0"/>
              <w:rPr>
                <w:lang w:val="uk-UA"/>
              </w:rPr>
            </w:pPr>
            <w:r w:rsidRPr="005C381A">
              <w:rPr>
                <w:lang w:val="uk-UA"/>
              </w:rPr>
              <w:t>Альтернатива 1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10C68" w:rsidRPr="005C381A" w:rsidRDefault="00D10C68" w:rsidP="00D10C68">
            <w:pPr>
              <w:rPr>
                <w:lang w:val="uk-UA"/>
              </w:rPr>
            </w:pPr>
            <w:r w:rsidRPr="005C381A">
              <w:rPr>
                <w:lang w:val="uk-UA"/>
              </w:rPr>
              <w:t>Дає можливість врегулювати питання превентивного реагування та бачення потенційних порушень</w:t>
            </w:r>
          </w:p>
        </w:tc>
        <w:tc>
          <w:tcPr>
            <w:tcW w:w="3472" w:type="dxa"/>
            <w:shd w:val="clear" w:color="auto" w:fill="auto"/>
          </w:tcPr>
          <w:p w:rsidR="00D10C68" w:rsidRPr="005C381A" w:rsidRDefault="00D10C68" w:rsidP="00D10C68">
            <w:pPr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Відсутні</w:t>
            </w:r>
          </w:p>
          <w:p w:rsidR="00D10C68" w:rsidRPr="005C381A" w:rsidRDefault="00D10C68" w:rsidP="00D10C68">
            <w:pPr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Оновлення програмного забезпечення не є затратним. </w:t>
            </w:r>
          </w:p>
          <w:p w:rsidR="00D10C68" w:rsidRPr="005C381A" w:rsidRDefault="00D10C68" w:rsidP="00D10C68">
            <w:pPr>
              <w:jc w:val="both"/>
              <w:rPr>
                <w:lang w:val="uk-UA"/>
              </w:rPr>
            </w:pPr>
          </w:p>
        </w:tc>
      </w:tr>
      <w:tr w:rsidR="005C381A" w:rsidRPr="005C381A" w:rsidTr="00DE415C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10C68" w:rsidRPr="005C381A" w:rsidRDefault="00D10C68" w:rsidP="00D10C68">
            <w:pPr>
              <w:pStyle w:val="a3"/>
              <w:spacing w:before="0" w:after="0"/>
              <w:rPr>
                <w:lang w:val="uk-UA"/>
              </w:rPr>
            </w:pPr>
            <w:r w:rsidRPr="005C381A">
              <w:rPr>
                <w:lang w:val="uk-UA"/>
              </w:rPr>
              <w:t>Альтернатива 2</w:t>
            </w:r>
          </w:p>
        </w:tc>
        <w:tc>
          <w:tcPr>
            <w:tcW w:w="4082" w:type="dxa"/>
            <w:shd w:val="clear" w:color="auto" w:fill="auto"/>
          </w:tcPr>
          <w:p w:rsidR="00D10C68" w:rsidRPr="005C381A" w:rsidRDefault="00D10C68" w:rsidP="00D10C68">
            <w:pPr>
              <w:ind w:firstLine="30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Відсутні</w:t>
            </w:r>
          </w:p>
        </w:tc>
        <w:tc>
          <w:tcPr>
            <w:tcW w:w="3472" w:type="dxa"/>
            <w:shd w:val="clear" w:color="auto" w:fill="auto"/>
          </w:tcPr>
          <w:p w:rsidR="00D10C68" w:rsidRPr="005C381A" w:rsidRDefault="00D10C68" w:rsidP="00D10C68">
            <w:pPr>
              <w:ind w:firstLine="300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>Відсутні</w:t>
            </w:r>
          </w:p>
        </w:tc>
      </w:tr>
    </w:tbl>
    <w:p w:rsidR="00997C17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p w:rsidR="009707C7" w:rsidRPr="009707C7" w:rsidRDefault="009707C7" w:rsidP="00641E5B">
      <w:pPr>
        <w:pStyle w:val="3"/>
        <w:spacing w:before="240" w:beforeAutospacing="0" w:after="0" w:afterAutospacing="0"/>
        <w:jc w:val="center"/>
        <w:rPr>
          <w:rFonts w:eastAsia="Times New Roman"/>
          <w:sz w:val="14"/>
          <w:szCs w:val="28"/>
          <w:lang w:val="uk-UA"/>
        </w:rPr>
      </w:pP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036"/>
        <w:gridCol w:w="5774"/>
      </w:tblGrid>
      <w:tr w:rsidR="005C381A" w:rsidRPr="00D360AD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5C381A" w:rsidRDefault="00641E5B" w:rsidP="0088435E">
            <w:pPr>
              <w:pStyle w:val="a3"/>
              <w:ind w:left="-45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5C381A" w:rsidRDefault="00641E5B" w:rsidP="0088435E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5C381A">
              <w:rPr>
                <w:lang w:val="uk-UA"/>
              </w:rPr>
              <w:t>бала</w:t>
            </w:r>
            <w:proofErr w:type="spellEnd"/>
          </w:p>
        </w:tc>
      </w:tr>
      <w:tr w:rsidR="005C381A" w:rsidRPr="00D360AD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rPr>
                <w:lang w:val="uk-UA"/>
              </w:rPr>
            </w:pPr>
            <w:r w:rsidRPr="005C381A">
              <w:rPr>
                <w:lang w:val="uk-UA"/>
              </w:rPr>
              <w:t>Альтернатива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3F1FEF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3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 w:rsidP="003A24DD">
            <w:pPr>
              <w:pStyle w:val="a3"/>
              <w:ind w:firstLine="331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Альтернатива 1 </w:t>
            </w:r>
            <w:r w:rsidR="00B77223" w:rsidRPr="005C381A">
              <w:rPr>
                <w:lang w:val="uk-UA"/>
              </w:rPr>
              <w:t>дає змогу досягнути поставлених цілей державного регулювання  без будь-яких витрат.</w:t>
            </w:r>
            <w:r w:rsidRPr="005C381A">
              <w:rPr>
                <w:lang w:val="uk-UA"/>
              </w:rPr>
              <w:t xml:space="preserve"> </w:t>
            </w:r>
          </w:p>
        </w:tc>
      </w:tr>
      <w:tr w:rsidR="005C381A" w:rsidRPr="00D360AD" w:rsidTr="00F72757">
        <w:trPr>
          <w:trHeight w:val="869"/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rPr>
                <w:lang w:val="uk-UA"/>
              </w:rPr>
            </w:pPr>
            <w:r w:rsidRPr="005C381A">
              <w:rPr>
                <w:lang w:val="uk-UA"/>
              </w:rPr>
              <w:t>Альтернатива 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1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 w:rsidP="00EF285E">
            <w:pPr>
              <w:pStyle w:val="a3"/>
              <w:spacing w:before="0" w:beforeAutospacing="0" w:after="0" w:afterAutospacing="0"/>
              <w:ind w:firstLine="331"/>
              <w:jc w:val="both"/>
              <w:rPr>
                <w:lang w:val="uk-UA"/>
              </w:rPr>
            </w:pPr>
            <w:r w:rsidRPr="005C381A">
              <w:rPr>
                <w:lang w:val="uk-UA"/>
              </w:rPr>
              <w:t xml:space="preserve">Альтернатива 2 </w:t>
            </w:r>
            <w:r w:rsidR="00EF285E" w:rsidRPr="005C381A">
              <w:rPr>
                <w:lang w:val="uk-UA"/>
              </w:rPr>
              <w:t>з</w:t>
            </w:r>
            <w:r w:rsidR="00B77223" w:rsidRPr="005C381A">
              <w:rPr>
                <w:lang w:val="uk-UA"/>
              </w:rPr>
              <w:t>алиш</w:t>
            </w:r>
            <w:r w:rsidR="00EF285E" w:rsidRPr="005C381A">
              <w:rPr>
                <w:lang w:val="uk-UA"/>
              </w:rPr>
              <w:t>ає</w:t>
            </w:r>
            <w:r w:rsidR="00B77223" w:rsidRPr="005C381A">
              <w:rPr>
                <w:lang w:val="uk-UA"/>
              </w:rPr>
              <w:t xml:space="preserve"> ситуацію без змін, що призведе до виникнення непорозумінь між платником податків та контролюючим органом.</w:t>
            </w:r>
          </w:p>
        </w:tc>
      </w:tr>
    </w:tbl>
    <w:p w:rsidR="00641E5B" w:rsidRPr="005C381A" w:rsidRDefault="00641E5B" w:rsidP="00641E5B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highlight w:val="yellow"/>
          <w:lang w:val="uk-UA"/>
        </w:rPr>
      </w:pPr>
    </w:p>
    <w:tbl>
      <w:tblPr>
        <w:tblW w:w="498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527"/>
        <w:gridCol w:w="2126"/>
        <w:gridCol w:w="3261"/>
      </w:tblGrid>
      <w:tr w:rsidR="005C381A" w:rsidRPr="00D360AD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Рейтинг результативності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Вигоди (підсумок)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Витрати (підсумок)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>
            <w:pPr>
              <w:pStyle w:val="a3"/>
              <w:jc w:val="center"/>
              <w:rPr>
                <w:lang w:val="uk-UA"/>
              </w:rPr>
            </w:pPr>
            <w:r w:rsidRPr="005C381A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5C381A" w:rsidRPr="00D360AD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5C381A" w:rsidRDefault="0040686D" w:rsidP="0040686D">
            <w:pPr>
              <w:pStyle w:val="a3"/>
              <w:rPr>
                <w:lang w:val="uk-UA"/>
              </w:rPr>
            </w:pPr>
            <w:r w:rsidRPr="005C381A">
              <w:rPr>
                <w:lang w:val="uk-UA"/>
              </w:rPr>
              <w:t>Альтернатива 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2991" w:rsidRPr="005C381A" w:rsidRDefault="00F02991" w:rsidP="003A24DD">
            <w:pPr>
              <w:rPr>
                <w:lang w:val="uk-UA"/>
              </w:rPr>
            </w:pPr>
            <w:r w:rsidRPr="005C381A">
              <w:rPr>
                <w:lang w:val="uk-UA"/>
              </w:rPr>
              <w:t>Д</w:t>
            </w:r>
            <w:r w:rsidR="00D10C68" w:rsidRPr="005C381A">
              <w:rPr>
                <w:lang w:val="uk-UA"/>
              </w:rPr>
              <w:t xml:space="preserve">отримання вимог </w:t>
            </w:r>
            <w:r w:rsidRPr="005C381A">
              <w:rPr>
                <w:lang w:val="uk-UA"/>
              </w:rPr>
              <w:t xml:space="preserve">Закону України </w:t>
            </w:r>
            <w:r w:rsidR="00943A6E" w:rsidRPr="005C381A">
              <w:rPr>
                <w:lang w:val="uk-UA"/>
              </w:rPr>
              <w:br/>
            </w:r>
            <w:r w:rsidRPr="005C381A">
              <w:rPr>
                <w:lang w:val="uk-UA"/>
              </w:rPr>
              <w:t xml:space="preserve">№ 1160-ІV  та   </w:t>
            </w:r>
            <w:r w:rsidR="00943A6E" w:rsidRPr="005C381A">
              <w:rPr>
                <w:lang w:val="uk-UA"/>
              </w:rPr>
              <w:t>п</w:t>
            </w:r>
            <w:r w:rsidRPr="005C381A">
              <w:rPr>
                <w:lang w:val="uk-UA"/>
              </w:rPr>
              <w:t>останови № 731,</w:t>
            </w:r>
          </w:p>
          <w:p w:rsidR="0040686D" w:rsidRPr="005C381A" w:rsidRDefault="00F02991" w:rsidP="003A24DD">
            <w:pPr>
              <w:rPr>
                <w:lang w:val="uk-UA"/>
              </w:rPr>
            </w:pPr>
            <w:r w:rsidRPr="005C381A">
              <w:rPr>
                <w:lang w:val="uk-UA"/>
              </w:rPr>
              <w:t>п</w:t>
            </w:r>
            <w:r w:rsidR="003A24DD" w:rsidRPr="005C381A">
              <w:rPr>
                <w:lang w:val="uk-UA"/>
              </w:rPr>
              <w:t>оліпшення ефективності боротьби з ухиленням від оподаткування несумлінних платників податків та недопущення втрат бюджету</w:t>
            </w:r>
            <w:r w:rsidR="00D10C68" w:rsidRPr="005C381A">
              <w:rPr>
                <w:lang w:val="uk-UA"/>
              </w:rPr>
              <w:t>.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5C381A" w:rsidRDefault="0040686D" w:rsidP="00D26B60">
            <w:pPr>
              <w:spacing w:before="100" w:beforeAutospacing="1" w:after="100" w:afterAutospacing="1"/>
              <w:ind w:hanging="7"/>
              <w:rPr>
                <w:lang w:val="uk-UA"/>
              </w:rPr>
            </w:pPr>
            <w:r w:rsidRPr="005C381A">
              <w:rPr>
                <w:lang w:val="uk-UA"/>
              </w:rPr>
              <w:t xml:space="preserve">Витрати відсутні. </w:t>
            </w:r>
          </w:p>
          <w:p w:rsidR="00BD741E" w:rsidRPr="005C381A" w:rsidRDefault="00BD741E" w:rsidP="00D26B60">
            <w:pPr>
              <w:spacing w:before="100" w:beforeAutospacing="1" w:after="100" w:afterAutospacing="1"/>
              <w:ind w:hanging="7"/>
              <w:rPr>
                <w:lang w:val="uk-UA"/>
              </w:rPr>
            </w:pPr>
            <w:r w:rsidRPr="005C381A">
              <w:rPr>
                <w:lang w:val="uk-UA"/>
              </w:rPr>
              <w:t xml:space="preserve">Оновлення програмного забезпечення здійснюється в межах фінансування Державної фіскальної служби </w:t>
            </w:r>
            <w:r w:rsidR="00943A6E" w:rsidRPr="005C381A">
              <w:rPr>
                <w:lang w:val="uk-UA"/>
              </w:rPr>
              <w:t xml:space="preserve">України </w:t>
            </w:r>
            <w:r w:rsidRPr="005C381A">
              <w:rPr>
                <w:lang w:val="uk-UA"/>
              </w:rPr>
              <w:t>без необхідності залучення кадрів.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5C381A" w:rsidRDefault="0040686D" w:rsidP="008D1D43">
            <w:pPr>
              <w:pStyle w:val="a3"/>
              <w:rPr>
                <w:shd w:val="clear" w:color="auto" w:fill="FFFF00"/>
                <w:lang w:val="uk-UA"/>
              </w:rPr>
            </w:pPr>
            <w:r w:rsidRPr="005C381A">
              <w:rPr>
                <w:lang w:val="uk-UA"/>
              </w:rPr>
              <w:t>Є найбільш оптимальною серед запропонованих альтернатив, оскільки дає змогу досягнути поставлених цілей державного регулювання без будь-яких витрат</w:t>
            </w:r>
            <w:r w:rsidR="00943A6E" w:rsidRPr="005C381A">
              <w:rPr>
                <w:lang w:val="uk-UA"/>
              </w:rPr>
              <w:t>.</w:t>
            </w:r>
          </w:p>
        </w:tc>
      </w:tr>
      <w:tr w:rsidR="005C381A" w:rsidRPr="00D360AD" w:rsidTr="0040686D">
        <w:trPr>
          <w:trHeight w:val="1099"/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641E5B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5C381A">
              <w:rPr>
                <w:lang w:val="uk-UA"/>
              </w:rPr>
              <w:t>Альтернатива 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D26B60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5C381A">
              <w:rPr>
                <w:lang w:val="uk-UA"/>
              </w:rPr>
              <w:t xml:space="preserve">Ухилення від оподаткування </w:t>
            </w:r>
            <w:r w:rsidRPr="005C381A">
              <w:rPr>
                <w:lang w:val="uk-UA"/>
              </w:rPr>
              <w:lastRenderedPageBreak/>
              <w:t>несумлінних платників податків.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465152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5C381A">
              <w:rPr>
                <w:lang w:val="uk-UA"/>
              </w:rPr>
              <w:lastRenderedPageBreak/>
              <w:t>Витрати відсутні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5C381A" w:rsidRDefault="002A452A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5C381A">
              <w:rPr>
                <w:lang w:val="uk-UA"/>
              </w:rPr>
              <w:t>Н</w:t>
            </w:r>
            <w:r w:rsidR="00641E5B" w:rsidRPr="005C381A">
              <w:rPr>
                <w:lang w:val="uk-UA"/>
              </w:rPr>
              <w:t>е дає змоги досягнути поставлен</w:t>
            </w:r>
            <w:r w:rsidR="0083050F" w:rsidRPr="005C381A">
              <w:rPr>
                <w:lang w:val="uk-UA"/>
              </w:rPr>
              <w:t>их цілей державного регулювання</w:t>
            </w:r>
          </w:p>
        </w:tc>
      </w:tr>
    </w:tbl>
    <w:p w:rsidR="001B7598" w:rsidRPr="005C381A" w:rsidRDefault="001B7598" w:rsidP="00EC748C">
      <w:pPr>
        <w:pStyle w:val="3"/>
        <w:spacing w:before="120" w:beforeAutospacing="0" w:after="120" w:afterAutospacing="0"/>
        <w:jc w:val="center"/>
        <w:rPr>
          <w:rFonts w:eastAsia="Times New Roman"/>
          <w:bCs w:val="0"/>
          <w:sz w:val="16"/>
          <w:szCs w:val="16"/>
          <w:highlight w:val="yellow"/>
          <w:lang w:val="ru-RU"/>
        </w:rPr>
      </w:pPr>
    </w:p>
    <w:p w:rsidR="00641E5B" w:rsidRPr="005C381A" w:rsidRDefault="00FF402C" w:rsidP="00EC748C">
      <w:pPr>
        <w:pStyle w:val="3"/>
        <w:spacing w:before="120" w:beforeAutospacing="0" w:after="120" w:afterAutospacing="0"/>
        <w:jc w:val="center"/>
        <w:rPr>
          <w:rFonts w:eastAsia="Times New Roman"/>
          <w:bCs w:val="0"/>
          <w:sz w:val="28"/>
          <w:szCs w:val="28"/>
          <w:lang w:val="uk-UA"/>
        </w:rPr>
      </w:pPr>
      <w:r w:rsidRPr="005C381A">
        <w:rPr>
          <w:rFonts w:eastAsia="Times New Roman"/>
          <w:bCs w:val="0"/>
          <w:sz w:val="28"/>
          <w:szCs w:val="28"/>
          <w:lang w:val="ru-RU"/>
        </w:rPr>
        <w:t xml:space="preserve"> </w:t>
      </w:r>
      <w:r w:rsidR="00641E5B" w:rsidRPr="005C381A">
        <w:rPr>
          <w:rFonts w:eastAsia="Times New Roman"/>
          <w:bCs w:val="0"/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B839F2" w:rsidRPr="005C381A" w:rsidRDefault="003E0940" w:rsidP="007C59B4">
      <w:pPr>
        <w:pStyle w:val="3"/>
        <w:spacing w:before="120" w:beforeAutospacing="0" w:after="0" w:afterAutospacing="0"/>
        <w:ind w:firstLine="720"/>
        <w:jc w:val="both"/>
        <w:rPr>
          <w:rFonts w:eastAsia="Times New Roman"/>
          <w:b w:val="0"/>
          <w:bCs w:val="0"/>
          <w:i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i/>
          <w:sz w:val="28"/>
          <w:szCs w:val="28"/>
          <w:lang w:val="uk-UA"/>
        </w:rPr>
        <w:t xml:space="preserve">1. </w:t>
      </w:r>
      <w:r w:rsidR="008D1D43" w:rsidRPr="005C381A">
        <w:rPr>
          <w:rFonts w:eastAsia="Times New Roman"/>
          <w:b w:val="0"/>
          <w:bCs w:val="0"/>
          <w:i/>
          <w:sz w:val="28"/>
          <w:szCs w:val="28"/>
          <w:lang w:val="uk-UA"/>
        </w:rPr>
        <w:t xml:space="preserve">Механізм дії регуляторного </w:t>
      </w:r>
      <w:proofErr w:type="spellStart"/>
      <w:r w:rsidR="008D1D43" w:rsidRPr="005C381A">
        <w:rPr>
          <w:rFonts w:eastAsia="Times New Roman"/>
          <w:b w:val="0"/>
          <w:bCs w:val="0"/>
          <w:i/>
          <w:sz w:val="28"/>
          <w:szCs w:val="28"/>
          <w:lang w:val="uk-UA"/>
        </w:rPr>
        <w:t>акта</w:t>
      </w:r>
      <w:proofErr w:type="spellEnd"/>
    </w:p>
    <w:p w:rsidR="003E0940" w:rsidRPr="005C381A" w:rsidRDefault="003E0940" w:rsidP="007C59B4">
      <w:pPr>
        <w:pStyle w:val="3"/>
        <w:spacing w:before="12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Основним механізмом для розв’язання визначених проблем є прийняття проекту </w:t>
      </w:r>
      <w:r w:rsidR="00AD33B7" w:rsidRPr="005C381A">
        <w:rPr>
          <w:rFonts w:eastAsia="Times New Roman"/>
          <w:b w:val="0"/>
          <w:bCs w:val="0"/>
          <w:sz w:val="28"/>
          <w:szCs w:val="28"/>
          <w:lang w:val="uk-UA"/>
        </w:rPr>
        <w:t>наказу</w:t>
      </w: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>.</w:t>
      </w:r>
    </w:p>
    <w:p w:rsidR="0040686D" w:rsidRPr="005C381A" w:rsidRDefault="0040686D" w:rsidP="00CD30C1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Проектом </w:t>
      </w:r>
      <w:r w:rsidR="00AD33B7" w:rsidRPr="005C381A">
        <w:rPr>
          <w:rFonts w:eastAsia="Times New Roman"/>
          <w:b w:val="0"/>
          <w:bCs w:val="0"/>
          <w:sz w:val="28"/>
          <w:szCs w:val="28"/>
          <w:lang w:val="uk-UA"/>
        </w:rPr>
        <w:t>наказу</w:t>
      </w:r>
      <w:r w:rsidR="0063527C"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>пропонується затвердити:</w:t>
      </w:r>
    </w:p>
    <w:p w:rsidR="00D75B33" w:rsidRPr="005C381A" w:rsidRDefault="00D75B33" w:rsidP="00D75B33">
      <w:pPr>
        <w:pStyle w:val="a3"/>
        <w:spacing w:before="0" w:beforeAutospacing="0" w:after="0" w:afterAutospacing="0"/>
        <w:ind w:firstLine="709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 xml:space="preserve">Критерії ризиковості платника податку; </w:t>
      </w:r>
    </w:p>
    <w:p w:rsidR="00D75B33" w:rsidRPr="005C381A" w:rsidRDefault="00D75B33" w:rsidP="00D75B33">
      <w:pPr>
        <w:pStyle w:val="a3"/>
        <w:spacing w:before="0" w:beforeAutospacing="0" w:after="0" w:afterAutospacing="0"/>
        <w:ind w:firstLine="709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>Критерії ризиковості здійснення операцій;</w:t>
      </w:r>
    </w:p>
    <w:p w:rsidR="00D75B33" w:rsidRPr="005C381A" w:rsidRDefault="00D75B33" w:rsidP="00D75B3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>Перелік показників, за якими визначається позитивна податкова історія платника податку.</w:t>
      </w:r>
    </w:p>
    <w:p w:rsidR="003E0940" w:rsidRPr="005C381A" w:rsidRDefault="003E0940" w:rsidP="007C59B4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Fonts w:eastAsia="SimSun"/>
          <w:i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i/>
          <w:sz w:val="28"/>
          <w:szCs w:val="28"/>
          <w:shd w:val="clear" w:color="auto" w:fill="FFFFFF"/>
          <w:lang w:val="uk-UA"/>
        </w:rPr>
        <w:t>2. Організаційні заходи впрова</w:t>
      </w:r>
      <w:r w:rsidR="00C220CE" w:rsidRPr="005C381A">
        <w:rPr>
          <w:rFonts w:eastAsia="SimSun"/>
          <w:i/>
          <w:sz w:val="28"/>
          <w:szCs w:val="28"/>
          <w:shd w:val="clear" w:color="auto" w:fill="FFFFFF"/>
          <w:lang w:val="uk-UA"/>
        </w:rPr>
        <w:t xml:space="preserve">дження регуляторного </w:t>
      </w:r>
      <w:proofErr w:type="spellStart"/>
      <w:r w:rsidR="00C220CE" w:rsidRPr="005C381A">
        <w:rPr>
          <w:rFonts w:eastAsia="SimSun"/>
          <w:i/>
          <w:sz w:val="28"/>
          <w:szCs w:val="28"/>
          <w:shd w:val="clear" w:color="auto" w:fill="FFFFFF"/>
          <w:lang w:val="uk-UA"/>
        </w:rPr>
        <w:t>акта</w:t>
      </w:r>
      <w:proofErr w:type="spellEnd"/>
      <w:r w:rsidR="00C220CE" w:rsidRPr="005C381A">
        <w:rPr>
          <w:rFonts w:eastAsia="SimSun"/>
          <w:i/>
          <w:sz w:val="28"/>
          <w:szCs w:val="28"/>
          <w:shd w:val="clear" w:color="auto" w:fill="FFFFFF"/>
          <w:lang w:val="uk-UA"/>
        </w:rPr>
        <w:t xml:space="preserve"> в дію</w:t>
      </w:r>
    </w:p>
    <w:p w:rsidR="003E0940" w:rsidRPr="005C381A" w:rsidRDefault="003E0940" w:rsidP="007C59B4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Для впровадження цього регуляторного </w:t>
      </w:r>
      <w:proofErr w:type="spellStart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необхідно забезпечити інформування громадськост</w:t>
      </w:r>
      <w:r w:rsidR="00C220CE"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і про вимоги регуляторного </w:t>
      </w:r>
      <w:proofErr w:type="spellStart"/>
      <w:r w:rsidR="00C220CE" w:rsidRPr="005C381A">
        <w:rPr>
          <w:rFonts w:eastAsia="SimSu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шляхом його оприлюднення в засобах масової інформації та на офіційному веб-сайті.</w:t>
      </w:r>
    </w:p>
    <w:p w:rsidR="00CC5296" w:rsidRPr="005C381A" w:rsidRDefault="00CC5296" w:rsidP="003E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Впровадження проекту наказу </w:t>
      </w:r>
      <w:proofErr w:type="spellStart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надасть</w:t>
      </w:r>
      <w:proofErr w:type="spellEnd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можливість вдосконалити систему контролю за нарахуванням ПДВ до бюджету, поліпшить ефективність боротьби з ухиленням від оподаткування та забезпечить недопущення втрат бюджету.</w:t>
      </w:r>
    </w:p>
    <w:p w:rsidR="003E0940" w:rsidRPr="005C381A" w:rsidRDefault="003E0940" w:rsidP="003E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Ризику впливу зовнішніх факторів на дію регуляторного </w:t>
      </w:r>
      <w:proofErr w:type="spellStart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немає.</w:t>
      </w:r>
    </w:p>
    <w:p w:rsidR="003E0940" w:rsidRPr="005C381A" w:rsidRDefault="003E0940" w:rsidP="003E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Досягнення цілей не передбачає додаткових організаційних заходів.</w:t>
      </w:r>
    </w:p>
    <w:p w:rsidR="003E0940" w:rsidRPr="005C381A" w:rsidRDefault="003E0940" w:rsidP="003E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Прийняття проекту </w:t>
      </w:r>
      <w:r w:rsidR="00AD33B7" w:rsidRPr="005C381A">
        <w:rPr>
          <w:rFonts w:eastAsia="SimSun"/>
          <w:sz w:val="28"/>
          <w:szCs w:val="28"/>
          <w:shd w:val="clear" w:color="auto" w:fill="FFFFFF"/>
          <w:lang w:val="uk-UA"/>
        </w:rPr>
        <w:t>наказу</w:t>
      </w: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не приведе до неочікуваних результатів і не потребує додаткових витрат з державного бюджету.</w:t>
      </w:r>
    </w:p>
    <w:p w:rsidR="003E0940" w:rsidRPr="005C381A" w:rsidRDefault="003E0940" w:rsidP="003E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Можлива шкода у разі очікуваних наслідків дії </w:t>
      </w:r>
      <w:proofErr w:type="spellStart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не прогнозується.</w:t>
      </w:r>
    </w:p>
    <w:p w:rsidR="003E0940" w:rsidRPr="005C381A" w:rsidRDefault="003E0940" w:rsidP="003E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З боку суб’єктів господарювання відсутня необхідність вчинення додаткових дій</w:t>
      </w:r>
      <w:r w:rsidR="005E0B77" w:rsidRPr="005C381A">
        <w:rPr>
          <w:rFonts w:eastAsia="SimSun"/>
          <w:sz w:val="28"/>
          <w:szCs w:val="28"/>
          <w:shd w:val="clear" w:color="auto" w:fill="FFFFFF"/>
          <w:lang w:val="uk-UA"/>
        </w:rPr>
        <w:t>,</w:t>
      </w:r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оскільки проект </w:t>
      </w:r>
      <w:proofErr w:type="spellStart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C381A">
        <w:rPr>
          <w:rFonts w:eastAsia="SimSun"/>
          <w:sz w:val="28"/>
          <w:szCs w:val="28"/>
          <w:shd w:val="clear" w:color="auto" w:fill="FFFFFF"/>
          <w:lang w:val="uk-UA"/>
        </w:rPr>
        <w:t xml:space="preserve"> направлений на усунення додаткових регуляторних бар’єрів щодо здійснення господарської діяльності.</w:t>
      </w:r>
    </w:p>
    <w:p w:rsidR="001B7598" w:rsidRPr="005C381A" w:rsidRDefault="001B7598" w:rsidP="00CE58AF">
      <w:pPr>
        <w:pStyle w:val="3"/>
        <w:spacing w:before="0" w:beforeAutospacing="0" w:after="0" w:afterAutospacing="0"/>
        <w:jc w:val="center"/>
        <w:rPr>
          <w:rFonts w:eastAsia="Times New Roman"/>
          <w:sz w:val="16"/>
          <w:szCs w:val="16"/>
          <w:highlight w:val="yellow"/>
          <w:lang w:val="uk-UA"/>
        </w:rPr>
      </w:pPr>
    </w:p>
    <w:p w:rsidR="00641E5B" w:rsidRPr="005C381A" w:rsidRDefault="00641E5B" w:rsidP="00CE58AF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5C381A">
        <w:rPr>
          <w:rFonts w:eastAsia="Times New Roman"/>
          <w:sz w:val="28"/>
          <w:szCs w:val="28"/>
          <w:lang w:val="uk-UA"/>
        </w:rPr>
        <w:t>акта</w:t>
      </w:r>
      <w:proofErr w:type="spellEnd"/>
      <w:r w:rsidRPr="005C381A">
        <w:rPr>
          <w:rFonts w:eastAsia="Times New Roman"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40B99" w:rsidRPr="005C381A" w:rsidRDefault="00640B99" w:rsidP="00CE58AF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</w:p>
    <w:p w:rsidR="00641E5B" w:rsidRPr="005C381A" w:rsidRDefault="00641E5B" w:rsidP="00CE58AF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Реалізація проекту </w:t>
      </w:r>
      <w:r w:rsidR="00AD33B7" w:rsidRPr="005C381A">
        <w:rPr>
          <w:rFonts w:eastAsia="Times New Roman"/>
          <w:b w:val="0"/>
          <w:bCs w:val="0"/>
          <w:sz w:val="28"/>
          <w:szCs w:val="28"/>
          <w:lang w:val="uk-UA"/>
        </w:rPr>
        <w:t>наказу</w:t>
      </w:r>
      <w:r w:rsidR="00E227D3"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>не передбачає фінансових вит</w:t>
      </w:r>
      <w:r w:rsidR="005E0B77" w:rsidRPr="005C381A">
        <w:rPr>
          <w:rFonts w:eastAsia="Times New Roman"/>
          <w:b w:val="0"/>
          <w:bCs w:val="0"/>
          <w:sz w:val="28"/>
          <w:szCs w:val="28"/>
          <w:lang w:val="uk-UA"/>
        </w:rPr>
        <w:t>рат з боку державних органів та відповідно</w:t>
      </w: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 додаткових видатків бюджету.</w:t>
      </w:r>
    </w:p>
    <w:p w:rsidR="006E3B67" w:rsidRPr="005C381A" w:rsidRDefault="006E3B67" w:rsidP="00CE58AF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>Фінансування для розробки програмного забезпечення здійснюється в межах ДФС.</w:t>
      </w:r>
    </w:p>
    <w:p w:rsidR="006E3B67" w:rsidRPr="005C381A" w:rsidRDefault="006E3B67" w:rsidP="00CE58AF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>Отримання електронного цифрового підпису суб’єктами господарювання є безкоштовним.</w:t>
      </w:r>
      <w:r w:rsidR="00106ED6"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 Затрат із запровадження програмного забезпечення суб’єкти господарювання не несуть.</w:t>
      </w:r>
    </w:p>
    <w:p w:rsidR="00641E5B" w:rsidRPr="005C381A" w:rsidRDefault="00641E5B" w:rsidP="00662146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lastRenderedPageBreak/>
        <w:t xml:space="preserve">VII. Обґрунтування запропонованого строку дії регуляторного </w:t>
      </w:r>
      <w:proofErr w:type="spellStart"/>
      <w:r w:rsidRPr="005C381A">
        <w:rPr>
          <w:rFonts w:eastAsia="Times New Roman"/>
          <w:sz w:val="28"/>
          <w:szCs w:val="28"/>
          <w:lang w:val="uk-UA"/>
        </w:rPr>
        <w:t>акта</w:t>
      </w:r>
      <w:proofErr w:type="spellEnd"/>
    </w:p>
    <w:p w:rsidR="00662146" w:rsidRPr="005C381A" w:rsidRDefault="00662146" w:rsidP="00662146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</w:p>
    <w:p w:rsidR="00662146" w:rsidRPr="005C381A" w:rsidRDefault="00662146" w:rsidP="00662146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Строк дії проекту </w:t>
      </w:r>
      <w:proofErr w:type="spellStart"/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>акта</w:t>
      </w:r>
      <w:proofErr w:type="spellEnd"/>
      <w:r w:rsidRPr="005C381A">
        <w:rPr>
          <w:rFonts w:eastAsia="Times New Roman"/>
          <w:b w:val="0"/>
          <w:bCs w:val="0"/>
          <w:sz w:val="28"/>
          <w:szCs w:val="28"/>
          <w:lang w:val="uk-UA"/>
        </w:rPr>
        <w:t xml:space="preserve"> є необмеженим, до можливих змін податкового законодавства.</w:t>
      </w:r>
    </w:p>
    <w:p w:rsidR="0099107E" w:rsidRPr="005C381A" w:rsidRDefault="0099107E" w:rsidP="00742580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</w:p>
    <w:p w:rsidR="00641E5B" w:rsidRPr="005C381A" w:rsidRDefault="00641E5B" w:rsidP="00742580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5C381A">
        <w:rPr>
          <w:rFonts w:eastAsia="Times New Roman"/>
          <w:sz w:val="28"/>
          <w:szCs w:val="28"/>
          <w:lang w:val="uk-UA"/>
        </w:rPr>
        <w:t>акта</w:t>
      </w:r>
      <w:proofErr w:type="spellEnd"/>
    </w:p>
    <w:p w:rsidR="00742580" w:rsidRPr="005C381A" w:rsidRDefault="00742580" w:rsidP="00742580">
      <w:pPr>
        <w:pStyle w:val="3"/>
        <w:spacing w:before="0" w:beforeAutospacing="0" w:after="0" w:afterAutospacing="0"/>
        <w:ind w:left="709" w:firstLine="720"/>
        <w:jc w:val="both"/>
        <w:rPr>
          <w:b w:val="0"/>
          <w:bCs w:val="0"/>
          <w:sz w:val="28"/>
          <w:szCs w:val="28"/>
          <w:lang w:val="uk-UA"/>
        </w:rPr>
      </w:pPr>
    </w:p>
    <w:p w:rsidR="00662146" w:rsidRPr="005C381A" w:rsidRDefault="00742580" w:rsidP="00742580">
      <w:pPr>
        <w:pStyle w:val="3"/>
        <w:spacing w:before="0" w:beforeAutospacing="0" w:after="0" w:afterAutospacing="0"/>
        <w:ind w:firstLine="720"/>
        <w:jc w:val="both"/>
        <w:rPr>
          <w:b w:val="0"/>
          <w:bCs w:val="0"/>
          <w:sz w:val="28"/>
          <w:szCs w:val="28"/>
          <w:lang w:val="uk-UA"/>
        </w:rPr>
      </w:pPr>
      <w:r w:rsidRPr="005C381A">
        <w:rPr>
          <w:b w:val="0"/>
          <w:bCs w:val="0"/>
          <w:sz w:val="28"/>
          <w:szCs w:val="28"/>
          <w:lang w:val="uk-UA"/>
        </w:rPr>
        <w:t>1. Додаткових надходжень до державного та місцевих бюджетів і державних цільових фондів, пов'язани</w:t>
      </w:r>
      <w:r w:rsidR="005E0B77" w:rsidRPr="005C381A">
        <w:rPr>
          <w:b w:val="0"/>
          <w:bCs w:val="0"/>
          <w:sz w:val="28"/>
          <w:szCs w:val="28"/>
          <w:lang w:val="uk-UA"/>
        </w:rPr>
        <w:t>х</w:t>
      </w:r>
      <w:r w:rsidRPr="005C381A">
        <w:rPr>
          <w:b w:val="0"/>
          <w:bCs w:val="0"/>
          <w:sz w:val="28"/>
          <w:szCs w:val="28"/>
          <w:lang w:val="uk-UA"/>
        </w:rPr>
        <w:t xml:space="preserve"> з дією </w:t>
      </w:r>
      <w:proofErr w:type="spellStart"/>
      <w:r w:rsidRPr="005C381A">
        <w:rPr>
          <w:b w:val="0"/>
          <w:bCs w:val="0"/>
          <w:sz w:val="28"/>
          <w:szCs w:val="28"/>
          <w:lang w:val="uk-UA"/>
        </w:rPr>
        <w:t>акта</w:t>
      </w:r>
      <w:proofErr w:type="spellEnd"/>
      <w:r w:rsidRPr="005C381A">
        <w:rPr>
          <w:b w:val="0"/>
          <w:bCs w:val="0"/>
          <w:sz w:val="28"/>
          <w:szCs w:val="28"/>
          <w:lang w:val="uk-UA"/>
        </w:rPr>
        <w:t>, не очікується.</w:t>
      </w:r>
    </w:p>
    <w:p w:rsidR="00B05699" w:rsidRPr="005C381A" w:rsidRDefault="00742580" w:rsidP="00B05699">
      <w:pPr>
        <w:ind w:firstLine="709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2</w:t>
      </w:r>
      <w:r w:rsidR="008A4624" w:rsidRPr="005C381A">
        <w:rPr>
          <w:sz w:val="28"/>
          <w:szCs w:val="28"/>
          <w:lang w:val="uk-UA"/>
        </w:rPr>
        <w:t xml:space="preserve">. </w:t>
      </w:r>
      <w:r w:rsidRPr="005C381A">
        <w:rPr>
          <w:sz w:val="28"/>
          <w:szCs w:val="28"/>
          <w:lang w:val="uk-UA"/>
        </w:rPr>
        <w:t xml:space="preserve">Дія </w:t>
      </w:r>
      <w:proofErr w:type="spellStart"/>
      <w:r w:rsidRPr="005C381A">
        <w:rPr>
          <w:sz w:val="28"/>
          <w:szCs w:val="28"/>
          <w:lang w:val="uk-UA"/>
        </w:rPr>
        <w:t>акта</w:t>
      </w:r>
      <w:proofErr w:type="spellEnd"/>
      <w:r w:rsidRPr="005C381A">
        <w:rPr>
          <w:sz w:val="28"/>
          <w:szCs w:val="28"/>
          <w:lang w:val="uk-UA"/>
        </w:rPr>
        <w:t xml:space="preserve"> поширюється на платників податку на додану вартість, які реєструють податкову накладну</w:t>
      </w:r>
      <w:r w:rsidR="005E0B77" w:rsidRPr="005C381A">
        <w:rPr>
          <w:sz w:val="28"/>
          <w:szCs w:val="28"/>
          <w:lang w:val="uk-UA"/>
        </w:rPr>
        <w:t> </w:t>
      </w:r>
      <w:r w:rsidRPr="005C381A">
        <w:rPr>
          <w:sz w:val="28"/>
          <w:szCs w:val="28"/>
          <w:lang w:val="uk-UA"/>
        </w:rPr>
        <w:t>/</w:t>
      </w:r>
      <w:r w:rsidR="005E0B77" w:rsidRPr="005C381A">
        <w:rPr>
          <w:sz w:val="28"/>
          <w:szCs w:val="28"/>
          <w:lang w:val="uk-UA"/>
        </w:rPr>
        <w:t> </w:t>
      </w:r>
      <w:r w:rsidRPr="005C381A">
        <w:rPr>
          <w:sz w:val="28"/>
          <w:szCs w:val="28"/>
          <w:lang w:val="uk-UA"/>
        </w:rPr>
        <w:t xml:space="preserve">розрахунок коригування в </w:t>
      </w:r>
      <w:r w:rsidR="005E0B77" w:rsidRPr="005C381A">
        <w:rPr>
          <w:sz w:val="28"/>
          <w:szCs w:val="28"/>
          <w:lang w:val="uk-UA"/>
        </w:rPr>
        <w:t>ЄРПН</w:t>
      </w:r>
      <w:r w:rsidRPr="005C381A">
        <w:rPr>
          <w:sz w:val="28"/>
          <w:szCs w:val="28"/>
          <w:lang w:val="uk-UA"/>
        </w:rPr>
        <w:t>, відповідно до статті 201 Кодексу.</w:t>
      </w:r>
      <w:r w:rsidR="00B05699" w:rsidRPr="005C381A">
        <w:rPr>
          <w:sz w:val="28"/>
          <w:szCs w:val="28"/>
          <w:lang w:val="uk-UA"/>
        </w:rPr>
        <w:t xml:space="preserve"> </w:t>
      </w:r>
    </w:p>
    <w:p w:rsidR="00B05699" w:rsidRPr="005C381A" w:rsidRDefault="00742580" w:rsidP="008E461F">
      <w:pPr>
        <w:ind w:firstLine="709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3</w:t>
      </w:r>
      <w:r w:rsidR="00B05699" w:rsidRPr="005C381A">
        <w:rPr>
          <w:sz w:val="28"/>
          <w:szCs w:val="28"/>
          <w:lang w:val="uk-UA"/>
        </w:rPr>
        <w:t xml:space="preserve">. Кошти і час, що витрачатимуться суб'єктами господарювання та/або фізичними особами, пов'язаними з виконанням вимог </w:t>
      </w:r>
      <w:proofErr w:type="spellStart"/>
      <w:r w:rsidR="00B05699" w:rsidRPr="005C381A">
        <w:rPr>
          <w:sz w:val="28"/>
          <w:szCs w:val="28"/>
          <w:lang w:val="uk-UA"/>
        </w:rPr>
        <w:t>акта</w:t>
      </w:r>
      <w:proofErr w:type="spellEnd"/>
      <w:r w:rsidR="002C6C59" w:rsidRPr="005C381A">
        <w:rPr>
          <w:sz w:val="28"/>
          <w:szCs w:val="28"/>
          <w:lang w:val="uk-UA"/>
        </w:rPr>
        <w:t>,</w:t>
      </w:r>
      <w:r w:rsidR="00B05699" w:rsidRPr="005C381A">
        <w:rPr>
          <w:sz w:val="28"/>
          <w:szCs w:val="28"/>
          <w:lang w:val="uk-UA"/>
        </w:rPr>
        <w:t xml:space="preserve"> не передбача</w:t>
      </w:r>
      <w:r w:rsidR="002C6C59" w:rsidRPr="005C381A">
        <w:rPr>
          <w:sz w:val="28"/>
          <w:szCs w:val="28"/>
          <w:lang w:val="uk-UA"/>
        </w:rPr>
        <w:t>ю</w:t>
      </w:r>
      <w:r w:rsidR="00B05699" w:rsidRPr="005C381A">
        <w:rPr>
          <w:sz w:val="28"/>
          <w:szCs w:val="28"/>
          <w:lang w:val="uk-UA"/>
        </w:rPr>
        <w:t>ться.</w:t>
      </w:r>
    </w:p>
    <w:p w:rsidR="00742580" w:rsidRPr="005C381A" w:rsidRDefault="00742580" w:rsidP="00742580">
      <w:pPr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4. Кошти і час, що витрачатимуться суб'єктами господарювання, пов'язаними з виконанням вимог </w:t>
      </w:r>
      <w:proofErr w:type="spellStart"/>
      <w:r w:rsidRPr="005C381A">
        <w:rPr>
          <w:sz w:val="28"/>
          <w:szCs w:val="28"/>
          <w:lang w:val="uk-UA"/>
        </w:rPr>
        <w:t>акта</w:t>
      </w:r>
      <w:proofErr w:type="spellEnd"/>
      <w:r w:rsidR="002C6C59" w:rsidRPr="005C381A">
        <w:rPr>
          <w:sz w:val="28"/>
          <w:szCs w:val="28"/>
          <w:lang w:val="uk-UA"/>
        </w:rPr>
        <w:t>,</w:t>
      </w:r>
      <w:r w:rsidRPr="005C381A">
        <w:rPr>
          <w:sz w:val="28"/>
          <w:szCs w:val="28"/>
          <w:lang w:val="uk-UA"/>
        </w:rPr>
        <w:t xml:space="preserve"> не передбача</w:t>
      </w:r>
      <w:r w:rsidR="002C6C59" w:rsidRPr="005C381A">
        <w:rPr>
          <w:sz w:val="28"/>
          <w:szCs w:val="28"/>
          <w:lang w:val="uk-UA"/>
        </w:rPr>
        <w:t>ю</w:t>
      </w:r>
      <w:r w:rsidRPr="005C381A">
        <w:rPr>
          <w:sz w:val="28"/>
          <w:szCs w:val="28"/>
          <w:lang w:val="uk-UA"/>
        </w:rPr>
        <w:t>ться.</w:t>
      </w:r>
    </w:p>
    <w:p w:rsidR="00742580" w:rsidRPr="005C381A" w:rsidRDefault="00742580" w:rsidP="00742580">
      <w:pPr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5. Рівень поінформованості суб’єктів господарювання оцінюється як високий. Проект </w:t>
      </w:r>
      <w:proofErr w:type="spellStart"/>
      <w:r w:rsidRPr="005C381A">
        <w:rPr>
          <w:sz w:val="28"/>
          <w:szCs w:val="28"/>
          <w:lang w:val="uk-UA"/>
        </w:rPr>
        <w:t>акта</w:t>
      </w:r>
      <w:proofErr w:type="spellEnd"/>
      <w:r w:rsidRPr="005C381A">
        <w:rPr>
          <w:sz w:val="28"/>
          <w:szCs w:val="28"/>
          <w:lang w:val="uk-UA"/>
        </w:rPr>
        <w:t xml:space="preserve"> розміщено на офіційному веб-порталі М</w:t>
      </w:r>
      <w:r w:rsidR="002C6C59" w:rsidRPr="005C381A">
        <w:rPr>
          <w:sz w:val="28"/>
          <w:szCs w:val="28"/>
          <w:lang w:val="uk-UA"/>
        </w:rPr>
        <w:t>інфіну</w:t>
      </w:r>
      <w:r w:rsidRPr="005C381A">
        <w:rPr>
          <w:sz w:val="28"/>
          <w:szCs w:val="28"/>
          <w:lang w:val="uk-UA"/>
        </w:rPr>
        <w:t xml:space="preserve">. Після прийняття акт буде оприлюднено у засобах масової інформації.  </w:t>
      </w:r>
    </w:p>
    <w:p w:rsidR="00B05699" w:rsidRPr="005C381A" w:rsidRDefault="00B05699" w:rsidP="00641E5B">
      <w:pPr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 xml:space="preserve">Додаткові показники результативності регуляторного </w:t>
      </w:r>
      <w:proofErr w:type="spellStart"/>
      <w:r w:rsidRPr="005C381A">
        <w:rPr>
          <w:sz w:val="28"/>
          <w:szCs w:val="28"/>
          <w:lang w:val="uk-UA"/>
        </w:rPr>
        <w:t>акта</w:t>
      </w:r>
      <w:proofErr w:type="spellEnd"/>
      <w:r w:rsidRPr="005C381A">
        <w:rPr>
          <w:sz w:val="28"/>
          <w:szCs w:val="28"/>
          <w:lang w:val="uk-UA"/>
        </w:rPr>
        <w:t>:</w:t>
      </w:r>
    </w:p>
    <w:p w:rsidR="00742580" w:rsidRPr="005C381A" w:rsidRDefault="00EF285E" w:rsidP="00742580">
      <w:pPr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к</w:t>
      </w:r>
      <w:r w:rsidR="00742580" w:rsidRPr="005C381A">
        <w:rPr>
          <w:sz w:val="28"/>
          <w:szCs w:val="28"/>
          <w:lang w:val="uk-UA"/>
        </w:rPr>
        <w:t xml:space="preserve">ількість зареєстрованих </w:t>
      </w:r>
      <w:r w:rsidR="00431133" w:rsidRPr="005C381A">
        <w:rPr>
          <w:sz w:val="28"/>
          <w:szCs w:val="28"/>
          <w:lang w:val="uk-UA"/>
        </w:rPr>
        <w:t>ПН/РК</w:t>
      </w:r>
      <w:r w:rsidR="00742580" w:rsidRPr="005C381A">
        <w:rPr>
          <w:sz w:val="28"/>
          <w:szCs w:val="28"/>
          <w:lang w:val="uk-UA"/>
        </w:rPr>
        <w:t xml:space="preserve"> в ЄРПН</w:t>
      </w:r>
      <w:r w:rsidRPr="005C381A">
        <w:rPr>
          <w:sz w:val="28"/>
          <w:szCs w:val="28"/>
          <w:lang w:val="uk-UA"/>
        </w:rPr>
        <w:t>;</w:t>
      </w:r>
    </w:p>
    <w:p w:rsidR="001B7598" w:rsidRPr="005C381A" w:rsidRDefault="00EF285E" w:rsidP="00431133">
      <w:pPr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к</w:t>
      </w:r>
      <w:r w:rsidR="00742580" w:rsidRPr="005C381A">
        <w:rPr>
          <w:sz w:val="28"/>
          <w:szCs w:val="28"/>
          <w:lang w:val="uk-UA"/>
        </w:rPr>
        <w:t xml:space="preserve">ількість зупинених </w:t>
      </w:r>
      <w:r w:rsidR="00431133" w:rsidRPr="005C381A">
        <w:rPr>
          <w:sz w:val="28"/>
          <w:szCs w:val="28"/>
          <w:lang w:val="uk-UA"/>
        </w:rPr>
        <w:t xml:space="preserve">ПН/РК </w:t>
      </w:r>
      <w:r w:rsidR="00742580" w:rsidRPr="005C381A">
        <w:rPr>
          <w:sz w:val="28"/>
          <w:szCs w:val="28"/>
          <w:lang w:val="uk-UA"/>
        </w:rPr>
        <w:t>в ЄРПН</w:t>
      </w:r>
      <w:r w:rsidR="00431133" w:rsidRPr="005C381A">
        <w:rPr>
          <w:sz w:val="28"/>
          <w:szCs w:val="28"/>
          <w:lang w:val="uk-UA"/>
        </w:rPr>
        <w:t>.</w:t>
      </w:r>
    </w:p>
    <w:p w:rsidR="00431133" w:rsidRPr="005C381A" w:rsidRDefault="00431133" w:rsidP="00431133">
      <w:pPr>
        <w:ind w:firstLine="720"/>
        <w:jc w:val="both"/>
        <w:rPr>
          <w:sz w:val="28"/>
          <w:szCs w:val="28"/>
          <w:lang w:val="uk-UA"/>
        </w:rPr>
      </w:pPr>
    </w:p>
    <w:p w:rsidR="00641E5B" w:rsidRPr="005C381A" w:rsidRDefault="00641E5B" w:rsidP="00641E5B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5C381A">
        <w:rPr>
          <w:rFonts w:eastAsia="Times New Roman"/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5C381A">
        <w:rPr>
          <w:rFonts w:eastAsia="Times New Roman"/>
          <w:sz w:val="28"/>
          <w:szCs w:val="28"/>
          <w:lang w:val="uk-UA"/>
        </w:rPr>
        <w:t>акта</w:t>
      </w:r>
      <w:proofErr w:type="spellEnd"/>
    </w:p>
    <w:p w:rsidR="00F44DF5" w:rsidRPr="005C381A" w:rsidRDefault="00F44DF5" w:rsidP="0087383B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</w:p>
    <w:p w:rsidR="0087383B" w:rsidRPr="005C381A" w:rsidRDefault="0087383B" w:rsidP="0087383B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Базове відстеження регуляторного </w:t>
      </w:r>
      <w:proofErr w:type="spellStart"/>
      <w:r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>акта</w:t>
      </w:r>
      <w:proofErr w:type="spellEnd"/>
      <w:r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здійснюватиметься </w:t>
      </w:r>
      <w:r w:rsidR="0037099E"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через рік  </w:t>
      </w:r>
      <w:r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>після набрання чинн</w:t>
      </w:r>
      <w:r w:rsidR="0037099E"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ості проекту регуляторного </w:t>
      </w:r>
      <w:proofErr w:type="spellStart"/>
      <w:r w:rsidR="0037099E"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>акта</w:t>
      </w:r>
      <w:proofErr w:type="spellEnd"/>
      <w:r w:rsidRPr="005C381A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87383B" w:rsidRPr="005C381A" w:rsidRDefault="0087383B" w:rsidP="0087383B">
      <w:pPr>
        <w:widowControl w:val="0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5C381A">
        <w:rPr>
          <w:bCs/>
          <w:sz w:val="28"/>
          <w:szCs w:val="28"/>
          <w:lang w:val="uk-UA"/>
        </w:rPr>
        <w:t xml:space="preserve">Повторне відстеження результативності проекту </w:t>
      </w:r>
      <w:proofErr w:type="spellStart"/>
      <w:r w:rsidRPr="005C381A">
        <w:rPr>
          <w:bCs/>
          <w:sz w:val="28"/>
          <w:szCs w:val="28"/>
          <w:lang w:val="uk-UA"/>
        </w:rPr>
        <w:t>акта</w:t>
      </w:r>
      <w:proofErr w:type="spellEnd"/>
      <w:r w:rsidRPr="005C381A">
        <w:rPr>
          <w:bCs/>
          <w:sz w:val="28"/>
          <w:szCs w:val="28"/>
          <w:lang w:val="uk-UA"/>
        </w:rPr>
        <w:t xml:space="preserve"> буде здійснюватися через два роки з дня набрання ним чинності.</w:t>
      </w:r>
    </w:p>
    <w:p w:rsidR="00B839F2" w:rsidRPr="005C381A" w:rsidRDefault="0087383B" w:rsidP="0087383B">
      <w:pPr>
        <w:widowControl w:val="0"/>
        <w:ind w:firstLine="709"/>
        <w:contextualSpacing/>
        <w:jc w:val="both"/>
        <w:rPr>
          <w:sz w:val="28"/>
          <w:szCs w:val="28"/>
          <w:lang w:val="uk-UA"/>
        </w:rPr>
      </w:pPr>
      <w:r w:rsidRPr="005C381A">
        <w:rPr>
          <w:bCs/>
          <w:sz w:val="28"/>
          <w:szCs w:val="28"/>
          <w:lang w:val="uk-UA"/>
        </w:rPr>
        <w:t xml:space="preserve">Періодичні відстеження результативності проекту </w:t>
      </w:r>
      <w:proofErr w:type="spellStart"/>
      <w:r w:rsidRPr="005C381A">
        <w:rPr>
          <w:bCs/>
          <w:sz w:val="28"/>
          <w:szCs w:val="28"/>
          <w:lang w:val="uk-UA"/>
        </w:rPr>
        <w:t>акта</w:t>
      </w:r>
      <w:proofErr w:type="spellEnd"/>
      <w:r w:rsidRPr="005C381A">
        <w:rPr>
          <w:bCs/>
          <w:sz w:val="28"/>
          <w:szCs w:val="28"/>
          <w:lang w:val="uk-UA"/>
        </w:rPr>
        <w:t xml:space="preserve"> будуть здійснюватися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5C381A">
        <w:rPr>
          <w:bCs/>
          <w:sz w:val="28"/>
          <w:szCs w:val="28"/>
          <w:lang w:val="uk-UA"/>
        </w:rPr>
        <w:t>акта</w:t>
      </w:r>
      <w:proofErr w:type="spellEnd"/>
      <w:r w:rsidRPr="005C381A">
        <w:rPr>
          <w:bCs/>
          <w:sz w:val="28"/>
          <w:szCs w:val="28"/>
          <w:lang w:val="uk-UA"/>
        </w:rPr>
        <w:t>.</w:t>
      </w:r>
      <w:bookmarkStart w:id="1" w:name="n173"/>
      <w:bookmarkEnd w:id="1"/>
    </w:p>
    <w:p w:rsidR="0087383B" w:rsidRPr="005C381A" w:rsidRDefault="0087383B" w:rsidP="0087383B">
      <w:pPr>
        <w:widowControl w:val="0"/>
        <w:ind w:firstLine="709"/>
        <w:contextualSpacing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Проведення відстеження результативності буде здійснюватися за допомогою статистичного методу та проводитись за допомогою</w:t>
      </w:r>
      <w:r w:rsidR="00BD741E" w:rsidRPr="005C381A">
        <w:rPr>
          <w:sz w:val="28"/>
          <w:szCs w:val="28"/>
          <w:lang w:val="uk-UA"/>
        </w:rPr>
        <w:t xml:space="preserve"> аналізу</w:t>
      </w:r>
      <w:r w:rsidRPr="005C381A">
        <w:rPr>
          <w:sz w:val="28"/>
          <w:szCs w:val="28"/>
          <w:lang w:val="uk-UA"/>
        </w:rPr>
        <w:t xml:space="preserve"> статистичних даних з інформаційних програм ДФС.</w:t>
      </w:r>
      <w:bookmarkStart w:id="2" w:name="n175"/>
      <w:bookmarkEnd w:id="2"/>
    </w:p>
    <w:p w:rsidR="0087383B" w:rsidRPr="005C381A" w:rsidRDefault="0037099E" w:rsidP="0037099E">
      <w:pPr>
        <w:ind w:firstLine="720"/>
        <w:jc w:val="both"/>
        <w:rPr>
          <w:sz w:val="28"/>
          <w:szCs w:val="28"/>
          <w:lang w:val="uk-UA"/>
        </w:rPr>
      </w:pPr>
      <w:r w:rsidRPr="005C381A">
        <w:rPr>
          <w:sz w:val="28"/>
          <w:szCs w:val="28"/>
          <w:lang w:val="uk-UA"/>
        </w:rPr>
        <w:t>Виконав</w:t>
      </w:r>
      <w:r w:rsidR="00E03DE9" w:rsidRPr="005C381A">
        <w:rPr>
          <w:sz w:val="28"/>
          <w:szCs w:val="28"/>
          <w:lang w:val="uk-UA"/>
        </w:rPr>
        <w:t>ці</w:t>
      </w:r>
      <w:r w:rsidRPr="005C381A">
        <w:rPr>
          <w:sz w:val="28"/>
          <w:szCs w:val="28"/>
          <w:lang w:val="uk-UA"/>
        </w:rPr>
        <w:t xml:space="preserve"> заходів із відстеження – Міністерство фінансів України та Державна фіскальна служба України.</w:t>
      </w:r>
    </w:p>
    <w:p w:rsidR="00EF285E" w:rsidRPr="005C381A" w:rsidRDefault="00EF285E" w:rsidP="0087383B">
      <w:pPr>
        <w:ind w:firstLine="720"/>
        <w:rPr>
          <w:sz w:val="28"/>
          <w:szCs w:val="28"/>
          <w:lang w:val="uk-UA"/>
        </w:rPr>
      </w:pPr>
    </w:p>
    <w:p w:rsidR="00CA7E14" w:rsidRPr="002E6EDE" w:rsidRDefault="00CA7E14" w:rsidP="00641E5B">
      <w:pPr>
        <w:rPr>
          <w:sz w:val="28"/>
          <w:szCs w:val="28"/>
          <w:highlight w:val="yellow"/>
          <w:lang w:val="uk-UA"/>
        </w:rPr>
      </w:pPr>
    </w:p>
    <w:tbl>
      <w:tblPr>
        <w:tblStyle w:val="ae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C5296" w:rsidRPr="00D360AD" w:rsidTr="00CC5296">
        <w:tc>
          <w:tcPr>
            <w:tcW w:w="10065" w:type="dxa"/>
          </w:tcPr>
          <w:p w:rsidR="00CC5296" w:rsidRPr="0027517C" w:rsidRDefault="00CC5296" w:rsidP="005A50FF">
            <w:pPr>
              <w:pStyle w:val="tj1"/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27517C">
              <w:rPr>
                <w:b/>
                <w:sz w:val="28"/>
                <w:szCs w:val="28"/>
              </w:rPr>
              <w:t xml:space="preserve">Державний секретар </w:t>
            </w:r>
          </w:p>
          <w:p w:rsidR="00CC5296" w:rsidRPr="004770C8" w:rsidRDefault="00CC5296" w:rsidP="001B7598">
            <w:pPr>
              <w:pStyle w:val="tj1"/>
              <w:shd w:val="clear" w:color="auto" w:fill="FFFFFF"/>
              <w:spacing w:line="240" w:lineRule="auto"/>
              <w:ind w:right="176"/>
              <w:rPr>
                <w:b/>
                <w:sz w:val="28"/>
                <w:szCs w:val="28"/>
              </w:rPr>
            </w:pPr>
            <w:r w:rsidRPr="0027517C">
              <w:rPr>
                <w:b/>
                <w:sz w:val="28"/>
                <w:szCs w:val="28"/>
              </w:rPr>
              <w:t>Міністерства фінансів України                                                           Є. КАПІНУС</w:t>
            </w:r>
          </w:p>
        </w:tc>
      </w:tr>
    </w:tbl>
    <w:p w:rsidR="00406245" w:rsidRDefault="00406245" w:rsidP="00812AF5">
      <w:pPr>
        <w:pStyle w:val="a4"/>
        <w:spacing w:after="0"/>
        <w:rPr>
          <w:b/>
          <w:bCs/>
          <w:sz w:val="28"/>
          <w:szCs w:val="28"/>
          <w:lang w:val="uk-UA"/>
        </w:rPr>
      </w:pPr>
    </w:p>
    <w:sectPr w:rsidR="00406245" w:rsidSect="0099107E">
      <w:headerReference w:type="default" r:id="rId8"/>
      <w:pgSz w:w="12240" w:h="15840"/>
      <w:pgMar w:top="851" w:right="567" w:bottom="993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DB" w:rsidRDefault="00F139DB" w:rsidP="00854480">
      <w:r>
        <w:separator/>
      </w:r>
    </w:p>
  </w:endnote>
  <w:endnote w:type="continuationSeparator" w:id="0">
    <w:p w:rsidR="00F139DB" w:rsidRDefault="00F139DB" w:rsidP="008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DB" w:rsidRDefault="00F139DB" w:rsidP="00854480">
      <w:r>
        <w:separator/>
      </w:r>
    </w:p>
  </w:footnote>
  <w:footnote w:type="continuationSeparator" w:id="0">
    <w:p w:rsidR="00F139DB" w:rsidRDefault="00F139DB" w:rsidP="008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E9" w:rsidRDefault="00E03DE9" w:rsidP="0099107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5F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EBE"/>
    <w:multiLevelType w:val="hybridMultilevel"/>
    <w:tmpl w:val="076044B0"/>
    <w:lvl w:ilvl="0" w:tplc="D4DA3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B6F36"/>
    <w:multiLevelType w:val="hybridMultilevel"/>
    <w:tmpl w:val="E5EE71D2"/>
    <w:lvl w:ilvl="0" w:tplc="156644F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62C56"/>
    <w:multiLevelType w:val="multilevel"/>
    <w:tmpl w:val="3D0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247B9"/>
    <w:multiLevelType w:val="hybridMultilevel"/>
    <w:tmpl w:val="5D4ED294"/>
    <w:lvl w:ilvl="0" w:tplc="D8BC56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5B"/>
    <w:rsid w:val="0001496E"/>
    <w:rsid w:val="00015C00"/>
    <w:rsid w:val="0003372B"/>
    <w:rsid w:val="000343CC"/>
    <w:rsid w:val="0004165A"/>
    <w:rsid w:val="0005283C"/>
    <w:rsid w:val="00054756"/>
    <w:rsid w:val="000744D6"/>
    <w:rsid w:val="000854FE"/>
    <w:rsid w:val="00090F88"/>
    <w:rsid w:val="00094773"/>
    <w:rsid w:val="000D037B"/>
    <w:rsid w:val="000D77A6"/>
    <w:rsid w:val="000E2E17"/>
    <w:rsid w:val="00102348"/>
    <w:rsid w:val="00106ED6"/>
    <w:rsid w:val="0010784F"/>
    <w:rsid w:val="001235CD"/>
    <w:rsid w:val="001304A2"/>
    <w:rsid w:val="001377E9"/>
    <w:rsid w:val="00137AEE"/>
    <w:rsid w:val="00145703"/>
    <w:rsid w:val="00152829"/>
    <w:rsid w:val="00165238"/>
    <w:rsid w:val="001654B7"/>
    <w:rsid w:val="00182659"/>
    <w:rsid w:val="001955E0"/>
    <w:rsid w:val="001A214E"/>
    <w:rsid w:val="001A5999"/>
    <w:rsid w:val="001A78C1"/>
    <w:rsid w:val="001B08B5"/>
    <w:rsid w:val="001B4408"/>
    <w:rsid w:val="001B7598"/>
    <w:rsid w:val="001F29EC"/>
    <w:rsid w:val="001F4778"/>
    <w:rsid w:val="001F5A76"/>
    <w:rsid w:val="00221028"/>
    <w:rsid w:val="00222C82"/>
    <w:rsid w:val="00223B59"/>
    <w:rsid w:val="00237282"/>
    <w:rsid w:val="002402FE"/>
    <w:rsid w:val="002437A6"/>
    <w:rsid w:val="0025058F"/>
    <w:rsid w:val="0025450C"/>
    <w:rsid w:val="0025784F"/>
    <w:rsid w:val="002601E7"/>
    <w:rsid w:val="00271E21"/>
    <w:rsid w:val="0027517C"/>
    <w:rsid w:val="0028308C"/>
    <w:rsid w:val="00283799"/>
    <w:rsid w:val="002A0416"/>
    <w:rsid w:val="002A452A"/>
    <w:rsid w:val="002B245C"/>
    <w:rsid w:val="002B36F9"/>
    <w:rsid w:val="002B5FBA"/>
    <w:rsid w:val="002C101A"/>
    <w:rsid w:val="002C2F86"/>
    <w:rsid w:val="002C6C59"/>
    <w:rsid w:val="002D0CA0"/>
    <w:rsid w:val="002E100C"/>
    <w:rsid w:val="002E6EDE"/>
    <w:rsid w:val="002F064C"/>
    <w:rsid w:val="002F42F7"/>
    <w:rsid w:val="002F6D33"/>
    <w:rsid w:val="00304405"/>
    <w:rsid w:val="003044E4"/>
    <w:rsid w:val="00304ECC"/>
    <w:rsid w:val="003055C8"/>
    <w:rsid w:val="00312D19"/>
    <w:rsid w:val="00313ED8"/>
    <w:rsid w:val="00322366"/>
    <w:rsid w:val="00352CB5"/>
    <w:rsid w:val="00363C6D"/>
    <w:rsid w:val="00367AF3"/>
    <w:rsid w:val="0037099E"/>
    <w:rsid w:val="003761B8"/>
    <w:rsid w:val="00392212"/>
    <w:rsid w:val="003A0E2E"/>
    <w:rsid w:val="003A2169"/>
    <w:rsid w:val="003A24DD"/>
    <w:rsid w:val="003B03A9"/>
    <w:rsid w:val="003B4254"/>
    <w:rsid w:val="003B765D"/>
    <w:rsid w:val="003C02F0"/>
    <w:rsid w:val="003C7B39"/>
    <w:rsid w:val="003D0900"/>
    <w:rsid w:val="003E0940"/>
    <w:rsid w:val="003E336E"/>
    <w:rsid w:val="003E5CA6"/>
    <w:rsid w:val="003F015E"/>
    <w:rsid w:val="003F1FEF"/>
    <w:rsid w:val="003F2D63"/>
    <w:rsid w:val="00406245"/>
    <w:rsid w:val="0040686D"/>
    <w:rsid w:val="004115F0"/>
    <w:rsid w:val="004138C3"/>
    <w:rsid w:val="004163B4"/>
    <w:rsid w:val="0041660D"/>
    <w:rsid w:val="00417961"/>
    <w:rsid w:val="00430572"/>
    <w:rsid w:val="00431133"/>
    <w:rsid w:val="004401D6"/>
    <w:rsid w:val="00442200"/>
    <w:rsid w:val="0044603F"/>
    <w:rsid w:val="004476B5"/>
    <w:rsid w:val="00450266"/>
    <w:rsid w:val="00465152"/>
    <w:rsid w:val="0048021F"/>
    <w:rsid w:val="00483200"/>
    <w:rsid w:val="004B3527"/>
    <w:rsid w:val="004B56F3"/>
    <w:rsid w:val="004D16E0"/>
    <w:rsid w:val="004D6EF6"/>
    <w:rsid w:val="004E5BBB"/>
    <w:rsid w:val="00506A01"/>
    <w:rsid w:val="00516E93"/>
    <w:rsid w:val="00517F51"/>
    <w:rsid w:val="00530E2B"/>
    <w:rsid w:val="0054004F"/>
    <w:rsid w:val="00546CD6"/>
    <w:rsid w:val="00552EEE"/>
    <w:rsid w:val="00577FE1"/>
    <w:rsid w:val="00581B86"/>
    <w:rsid w:val="0058299D"/>
    <w:rsid w:val="005A50FF"/>
    <w:rsid w:val="005B4F5C"/>
    <w:rsid w:val="005C381A"/>
    <w:rsid w:val="005C7DBA"/>
    <w:rsid w:val="005D0EC4"/>
    <w:rsid w:val="005D69C2"/>
    <w:rsid w:val="005E0B77"/>
    <w:rsid w:val="00620693"/>
    <w:rsid w:val="0063527C"/>
    <w:rsid w:val="00640B99"/>
    <w:rsid w:val="00641E5B"/>
    <w:rsid w:val="0064387C"/>
    <w:rsid w:val="00643BA5"/>
    <w:rsid w:val="00647509"/>
    <w:rsid w:val="00662146"/>
    <w:rsid w:val="00663C16"/>
    <w:rsid w:val="00671645"/>
    <w:rsid w:val="00675E4D"/>
    <w:rsid w:val="006765F3"/>
    <w:rsid w:val="00677061"/>
    <w:rsid w:val="006B18A5"/>
    <w:rsid w:val="006B30F0"/>
    <w:rsid w:val="006B6EF4"/>
    <w:rsid w:val="006C0459"/>
    <w:rsid w:val="006D76F1"/>
    <w:rsid w:val="006E1781"/>
    <w:rsid w:val="006E1EE8"/>
    <w:rsid w:val="006E3B67"/>
    <w:rsid w:val="006E580D"/>
    <w:rsid w:val="00717131"/>
    <w:rsid w:val="0072457F"/>
    <w:rsid w:val="00740F43"/>
    <w:rsid w:val="00742580"/>
    <w:rsid w:val="00746808"/>
    <w:rsid w:val="00751913"/>
    <w:rsid w:val="00752A79"/>
    <w:rsid w:val="007543F9"/>
    <w:rsid w:val="00772495"/>
    <w:rsid w:val="00776AC2"/>
    <w:rsid w:val="007806FE"/>
    <w:rsid w:val="00783418"/>
    <w:rsid w:val="0078721E"/>
    <w:rsid w:val="007957C0"/>
    <w:rsid w:val="007A7652"/>
    <w:rsid w:val="007C59B4"/>
    <w:rsid w:val="007C78D0"/>
    <w:rsid w:val="007D4E9D"/>
    <w:rsid w:val="007D7A1E"/>
    <w:rsid w:val="007E3877"/>
    <w:rsid w:val="007E50FB"/>
    <w:rsid w:val="007E5988"/>
    <w:rsid w:val="008051E4"/>
    <w:rsid w:val="00812AF5"/>
    <w:rsid w:val="0081790C"/>
    <w:rsid w:val="00825750"/>
    <w:rsid w:val="0082732B"/>
    <w:rsid w:val="0083050F"/>
    <w:rsid w:val="00830D04"/>
    <w:rsid w:val="008317E5"/>
    <w:rsid w:val="00846E31"/>
    <w:rsid w:val="00854480"/>
    <w:rsid w:val="00860B49"/>
    <w:rsid w:val="008676AE"/>
    <w:rsid w:val="00870252"/>
    <w:rsid w:val="0087383B"/>
    <w:rsid w:val="00880DB5"/>
    <w:rsid w:val="0088435E"/>
    <w:rsid w:val="008A0281"/>
    <w:rsid w:val="008A4624"/>
    <w:rsid w:val="008A5001"/>
    <w:rsid w:val="008C222F"/>
    <w:rsid w:val="008C7FE2"/>
    <w:rsid w:val="008D1D43"/>
    <w:rsid w:val="008D2968"/>
    <w:rsid w:val="008D32FC"/>
    <w:rsid w:val="008D7D71"/>
    <w:rsid w:val="008E461F"/>
    <w:rsid w:val="008F0A62"/>
    <w:rsid w:val="008F6F61"/>
    <w:rsid w:val="009025A2"/>
    <w:rsid w:val="009042FE"/>
    <w:rsid w:val="00943A6E"/>
    <w:rsid w:val="009468AA"/>
    <w:rsid w:val="0095012A"/>
    <w:rsid w:val="009707C7"/>
    <w:rsid w:val="00977532"/>
    <w:rsid w:val="00977907"/>
    <w:rsid w:val="0099107E"/>
    <w:rsid w:val="00997C17"/>
    <w:rsid w:val="009C110C"/>
    <w:rsid w:val="009C5A2A"/>
    <w:rsid w:val="009D628B"/>
    <w:rsid w:val="009E307B"/>
    <w:rsid w:val="009F00F0"/>
    <w:rsid w:val="009F1AF9"/>
    <w:rsid w:val="009F31B5"/>
    <w:rsid w:val="00A21C7C"/>
    <w:rsid w:val="00A25AFB"/>
    <w:rsid w:val="00A40646"/>
    <w:rsid w:val="00A50087"/>
    <w:rsid w:val="00A60405"/>
    <w:rsid w:val="00A61BCB"/>
    <w:rsid w:val="00A623DF"/>
    <w:rsid w:val="00A77B2F"/>
    <w:rsid w:val="00AC4A22"/>
    <w:rsid w:val="00AD33B7"/>
    <w:rsid w:val="00AE1604"/>
    <w:rsid w:val="00B05699"/>
    <w:rsid w:val="00B3292B"/>
    <w:rsid w:val="00B4010A"/>
    <w:rsid w:val="00B409F5"/>
    <w:rsid w:val="00B434F6"/>
    <w:rsid w:val="00B46162"/>
    <w:rsid w:val="00B658C8"/>
    <w:rsid w:val="00B7061F"/>
    <w:rsid w:val="00B7078F"/>
    <w:rsid w:val="00B77223"/>
    <w:rsid w:val="00B80EF5"/>
    <w:rsid w:val="00B82B89"/>
    <w:rsid w:val="00B839F2"/>
    <w:rsid w:val="00B83E26"/>
    <w:rsid w:val="00B918E2"/>
    <w:rsid w:val="00BA6DAC"/>
    <w:rsid w:val="00BB00E3"/>
    <w:rsid w:val="00BB1F3E"/>
    <w:rsid w:val="00BB6D06"/>
    <w:rsid w:val="00BD741E"/>
    <w:rsid w:val="00C04931"/>
    <w:rsid w:val="00C053FC"/>
    <w:rsid w:val="00C163BF"/>
    <w:rsid w:val="00C16579"/>
    <w:rsid w:val="00C21C2C"/>
    <w:rsid w:val="00C220CE"/>
    <w:rsid w:val="00C27D0F"/>
    <w:rsid w:val="00C30049"/>
    <w:rsid w:val="00C52368"/>
    <w:rsid w:val="00C611EF"/>
    <w:rsid w:val="00C61BBE"/>
    <w:rsid w:val="00C62042"/>
    <w:rsid w:val="00C626FB"/>
    <w:rsid w:val="00C659B9"/>
    <w:rsid w:val="00C81D8A"/>
    <w:rsid w:val="00C82EB0"/>
    <w:rsid w:val="00CA7E14"/>
    <w:rsid w:val="00CB2ECD"/>
    <w:rsid w:val="00CB7D08"/>
    <w:rsid w:val="00CC236D"/>
    <w:rsid w:val="00CC29B1"/>
    <w:rsid w:val="00CC5296"/>
    <w:rsid w:val="00CD30C1"/>
    <w:rsid w:val="00CD7FB5"/>
    <w:rsid w:val="00CE2E18"/>
    <w:rsid w:val="00CE3844"/>
    <w:rsid w:val="00CE58AF"/>
    <w:rsid w:val="00CE71D8"/>
    <w:rsid w:val="00D10C68"/>
    <w:rsid w:val="00D11B81"/>
    <w:rsid w:val="00D12861"/>
    <w:rsid w:val="00D1416D"/>
    <w:rsid w:val="00D26B60"/>
    <w:rsid w:val="00D360AD"/>
    <w:rsid w:val="00D457AC"/>
    <w:rsid w:val="00D5222A"/>
    <w:rsid w:val="00D61D88"/>
    <w:rsid w:val="00D64E1C"/>
    <w:rsid w:val="00D727F0"/>
    <w:rsid w:val="00D75B33"/>
    <w:rsid w:val="00D75BA5"/>
    <w:rsid w:val="00D81DA2"/>
    <w:rsid w:val="00D828DA"/>
    <w:rsid w:val="00D85A41"/>
    <w:rsid w:val="00D8712E"/>
    <w:rsid w:val="00D91F4D"/>
    <w:rsid w:val="00D9239A"/>
    <w:rsid w:val="00DA27C9"/>
    <w:rsid w:val="00DA51C0"/>
    <w:rsid w:val="00DC431A"/>
    <w:rsid w:val="00DE154B"/>
    <w:rsid w:val="00DE415C"/>
    <w:rsid w:val="00DE6FC6"/>
    <w:rsid w:val="00DE7024"/>
    <w:rsid w:val="00E03DE9"/>
    <w:rsid w:val="00E07697"/>
    <w:rsid w:val="00E10927"/>
    <w:rsid w:val="00E142D9"/>
    <w:rsid w:val="00E15B2E"/>
    <w:rsid w:val="00E227D3"/>
    <w:rsid w:val="00E22B41"/>
    <w:rsid w:val="00E271DA"/>
    <w:rsid w:val="00E34D76"/>
    <w:rsid w:val="00E350A4"/>
    <w:rsid w:val="00E44536"/>
    <w:rsid w:val="00E5124F"/>
    <w:rsid w:val="00E5285C"/>
    <w:rsid w:val="00E719C5"/>
    <w:rsid w:val="00E72BC6"/>
    <w:rsid w:val="00E74AA7"/>
    <w:rsid w:val="00E836B2"/>
    <w:rsid w:val="00E91AEA"/>
    <w:rsid w:val="00EB6BC2"/>
    <w:rsid w:val="00EB7CFF"/>
    <w:rsid w:val="00EC1FFC"/>
    <w:rsid w:val="00EC37A0"/>
    <w:rsid w:val="00EC748C"/>
    <w:rsid w:val="00ED2D80"/>
    <w:rsid w:val="00EF285E"/>
    <w:rsid w:val="00EF48CE"/>
    <w:rsid w:val="00F02991"/>
    <w:rsid w:val="00F10433"/>
    <w:rsid w:val="00F139DB"/>
    <w:rsid w:val="00F2141A"/>
    <w:rsid w:val="00F30135"/>
    <w:rsid w:val="00F331D4"/>
    <w:rsid w:val="00F44DF5"/>
    <w:rsid w:val="00F4605B"/>
    <w:rsid w:val="00F47CDA"/>
    <w:rsid w:val="00F5017D"/>
    <w:rsid w:val="00F54C88"/>
    <w:rsid w:val="00F54D4A"/>
    <w:rsid w:val="00F55A85"/>
    <w:rsid w:val="00F564DC"/>
    <w:rsid w:val="00F64EA4"/>
    <w:rsid w:val="00F675A8"/>
    <w:rsid w:val="00F72757"/>
    <w:rsid w:val="00F80207"/>
    <w:rsid w:val="00F8653F"/>
    <w:rsid w:val="00F9212D"/>
    <w:rsid w:val="00FA26E3"/>
    <w:rsid w:val="00FB2019"/>
    <w:rsid w:val="00FB5B77"/>
    <w:rsid w:val="00FE2CEF"/>
    <w:rsid w:val="00FF402C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74B5-3DB8-4B2C-8199-3B1B4CF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5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1">
    <w:name w:val="tj1"/>
    <w:basedOn w:val="a"/>
    <w:rsid w:val="00CA7E14"/>
    <w:pPr>
      <w:spacing w:line="360" w:lineRule="atLeast"/>
      <w:jc w:val="both"/>
    </w:pPr>
    <w:rPr>
      <w:rFonts w:eastAsiaTheme="minorEastAsia"/>
      <w:lang w:val="uk-UA" w:eastAsia="uk-UA"/>
    </w:rPr>
  </w:style>
  <w:style w:type="character" w:customStyle="1" w:styleId="rvts23">
    <w:name w:val="rvts23"/>
    <w:rsid w:val="00D727F0"/>
  </w:style>
  <w:style w:type="paragraph" w:customStyle="1" w:styleId="rvps2">
    <w:name w:val="rvps2"/>
    <w:basedOn w:val="a"/>
    <w:rsid w:val="000854FE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DF52E74-9FFA-43E2-8E4E-4D2407E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7275</Words>
  <Characters>4148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d15-ctv</dc:creator>
  <cp:keywords/>
  <dc:description/>
  <cp:lastModifiedBy>Шарпак Наталія Юріївна</cp:lastModifiedBy>
  <cp:revision>7</cp:revision>
  <cp:lastPrinted>2018-06-13T12:09:00Z</cp:lastPrinted>
  <dcterms:created xsi:type="dcterms:W3CDTF">2018-06-12T08:28:00Z</dcterms:created>
  <dcterms:modified xsi:type="dcterms:W3CDTF">2018-06-13T13:16:00Z</dcterms:modified>
</cp:coreProperties>
</file>