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0D" w:rsidRDefault="00B3770D" w:rsidP="004B1927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B3770D" w:rsidRDefault="00B3770D" w:rsidP="004B1927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641E5B" w:rsidRPr="0090157D" w:rsidRDefault="00641E5B" w:rsidP="004B1927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АНАЛІЗ РЕГУЛЯТОРНОГО ВПЛИВУ</w:t>
      </w:r>
    </w:p>
    <w:p w:rsidR="00A3784E" w:rsidRDefault="00E44536" w:rsidP="0090157D">
      <w:pPr>
        <w:tabs>
          <w:tab w:val="left" w:pos="1134"/>
          <w:tab w:val="left" w:pos="2205"/>
        </w:tabs>
        <w:autoSpaceDE w:val="0"/>
        <w:autoSpaceDN w:val="0"/>
        <w:jc w:val="center"/>
        <w:outlineLvl w:val="0"/>
        <w:rPr>
          <w:b/>
          <w:bCs/>
          <w:color w:val="000000" w:themeColor="text1"/>
          <w:sz w:val="28"/>
          <w:szCs w:val="28"/>
          <w:lang w:val="uk-UA"/>
        </w:rPr>
      </w:pPr>
      <w:r w:rsidRPr="0090157D">
        <w:rPr>
          <w:b/>
          <w:bCs/>
          <w:color w:val="000000" w:themeColor="text1"/>
          <w:sz w:val="28"/>
          <w:szCs w:val="28"/>
          <w:lang w:val="uk-UA"/>
        </w:rPr>
        <w:t>до проекту наказу</w:t>
      </w:r>
      <w:r w:rsidR="00CB2ECD" w:rsidRPr="0090157D">
        <w:rPr>
          <w:b/>
          <w:bCs/>
          <w:color w:val="000000" w:themeColor="text1"/>
          <w:sz w:val="28"/>
          <w:szCs w:val="28"/>
          <w:lang w:val="uk-UA"/>
        </w:rPr>
        <w:t xml:space="preserve"> Міністерства фінансів України </w:t>
      </w:r>
    </w:p>
    <w:p w:rsidR="00E44536" w:rsidRPr="0090157D" w:rsidRDefault="004B1927" w:rsidP="0090157D">
      <w:pPr>
        <w:tabs>
          <w:tab w:val="left" w:pos="1134"/>
          <w:tab w:val="left" w:pos="2205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8"/>
          <w:lang w:val="uk-UA"/>
        </w:rPr>
      </w:pPr>
      <w:r w:rsidRPr="0090157D">
        <w:rPr>
          <w:b/>
          <w:bCs/>
          <w:color w:val="000000" w:themeColor="text1"/>
          <w:sz w:val="28"/>
          <w:szCs w:val="28"/>
          <w:lang w:val="uk-UA"/>
        </w:rPr>
        <w:t>«</w:t>
      </w:r>
      <w:r w:rsidRPr="0090157D">
        <w:rPr>
          <w:rStyle w:val="rvts23"/>
          <w:b/>
          <w:color w:val="000000" w:themeColor="text1"/>
          <w:sz w:val="28"/>
          <w:szCs w:val="28"/>
          <w:lang w:val="uk-UA"/>
        </w:rPr>
        <w:t xml:space="preserve">Про </w:t>
      </w:r>
      <w:r w:rsidR="00A3784E">
        <w:rPr>
          <w:rStyle w:val="rvts23"/>
          <w:b/>
          <w:color w:val="000000" w:themeColor="text1"/>
          <w:sz w:val="28"/>
          <w:szCs w:val="28"/>
          <w:lang w:val="uk-UA"/>
        </w:rPr>
        <w:t>затвердження Змін до Критеріїв оцінки ступеня ризиків, достатніх для зупинення реєстрації податкової накладної/розрахунку коригування в Єдиному реєстрі податкових накладних»</w:t>
      </w:r>
    </w:p>
    <w:p w:rsidR="003C02F0" w:rsidRPr="0090157D" w:rsidRDefault="007E5988" w:rsidP="0085706D">
      <w:pPr>
        <w:pStyle w:val="3"/>
        <w:tabs>
          <w:tab w:val="left" w:pos="3735"/>
        </w:tabs>
        <w:spacing w:before="0" w:beforeAutospacing="0" w:after="0" w:afterAutospacing="0" w:line="360" w:lineRule="auto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ab/>
      </w:r>
      <w:r w:rsidR="00641E5B" w:rsidRPr="0090157D">
        <w:rPr>
          <w:rFonts w:eastAsia="Times New Roman"/>
          <w:color w:val="000000" w:themeColor="text1"/>
          <w:sz w:val="28"/>
          <w:szCs w:val="28"/>
          <w:lang w:val="uk-UA"/>
        </w:rPr>
        <w:t>Визначення проблеми</w:t>
      </w:r>
    </w:p>
    <w:p w:rsidR="00630DD7" w:rsidRPr="0085706D" w:rsidRDefault="00630DD7" w:rsidP="00B3770D">
      <w:pPr>
        <w:widowControl w:val="0"/>
        <w:autoSpaceDE w:val="0"/>
        <w:autoSpaceDN w:val="0"/>
        <w:spacing w:line="276" w:lineRule="auto"/>
        <w:ind w:left="-426" w:firstLine="710"/>
        <w:jc w:val="both"/>
        <w:rPr>
          <w:rStyle w:val="rvts23"/>
          <w:color w:val="000000" w:themeColor="text1"/>
          <w:sz w:val="27"/>
          <w:szCs w:val="27"/>
          <w:lang w:val="uk-UA"/>
        </w:rPr>
      </w:pPr>
      <w:r w:rsidRPr="0085706D">
        <w:rPr>
          <w:rStyle w:val="rvts23"/>
          <w:color w:val="000000" w:themeColor="text1"/>
          <w:sz w:val="27"/>
          <w:szCs w:val="27"/>
          <w:lang w:val="uk-UA"/>
        </w:rPr>
        <w:t xml:space="preserve">З 01 липня 2017 року </w:t>
      </w:r>
      <w:r w:rsidR="009539DC" w:rsidRPr="0085706D">
        <w:rPr>
          <w:rStyle w:val="rvts23"/>
          <w:color w:val="000000" w:themeColor="text1"/>
          <w:sz w:val="27"/>
          <w:szCs w:val="27"/>
          <w:lang w:val="uk-UA"/>
        </w:rPr>
        <w:t>введен</w:t>
      </w:r>
      <w:r w:rsidRPr="0085706D">
        <w:rPr>
          <w:rStyle w:val="rvts23"/>
          <w:color w:val="000000" w:themeColor="text1"/>
          <w:sz w:val="27"/>
          <w:szCs w:val="27"/>
          <w:lang w:val="uk-UA"/>
        </w:rPr>
        <w:t xml:space="preserve">о </w:t>
      </w:r>
      <w:r w:rsidR="009539DC" w:rsidRPr="0085706D">
        <w:rPr>
          <w:rStyle w:val="rvts23"/>
          <w:color w:val="000000" w:themeColor="text1"/>
          <w:sz w:val="27"/>
          <w:szCs w:val="27"/>
          <w:lang w:val="uk-UA"/>
        </w:rPr>
        <w:t xml:space="preserve">в дію </w:t>
      </w:r>
      <w:r w:rsidR="00241597" w:rsidRPr="0085706D">
        <w:rPr>
          <w:rStyle w:val="rvts23"/>
          <w:color w:val="000000" w:themeColor="text1"/>
          <w:sz w:val="27"/>
          <w:szCs w:val="27"/>
          <w:lang w:val="uk-UA"/>
        </w:rPr>
        <w:t>систем</w:t>
      </w:r>
      <w:r w:rsidRPr="0085706D">
        <w:rPr>
          <w:rStyle w:val="rvts23"/>
          <w:color w:val="000000" w:themeColor="text1"/>
          <w:sz w:val="27"/>
          <w:szCs w:val="27"/>
          <w:lang w:val="uk-UA"/>
        </w:rPr>
        <w:t>у</w:t>
      </w:r>
      <w:r w:rsidR="00241597" w:rsidRPr="0085706D">
        <w:rPr>
          <w:rStyle w:val="rvts23"/>
          <w:color w:val="000000" w:themeColor="text1"/>
          <w:sz w:val="27"/>
          <w:szCs w:val="27"/>
          <w:lang w:val="uk-UA"/>
        </w:rPr>
        <w:t xml:space="preserve"> автоматизованого моніторингу відповідності податкових накладних/розрахунків коригування </w:t>
      </w:r>
      <w:r w:rsidR="00241597" w:rsidRPr="0085706D">
        <w:rPr>
          <w:rStyle w:val="rvts23"/>
          <w:sz w:val="27"/>
          <w:szCs w:val="27"/>
          <w:lang w:val="uk-UA"/>
        </w:rPr>
        <w:t xml:space="preserve">критеріям оцінки </w:t>
      </w:r>
      <w:r w:rsidR="00241597" w:rsidRPr="0085706D">
        <w:rPr>
          <w:rStyle w:val="rvts23"/>
          <w:color w:val="000000" w:themeColor="text1"/>
          <w:sz w:val="27"/>
          <w:szCs w:val="27"/>
          <w:lang w:val="uk-UA"/>
        </w:rPr>
        <w:t>ступеня ризиків, достатніх для зупинення їх реєстрації в Єдиному реєстрі податкових накладних</w:t>
      </w:r>
      <w:r w:rsidRPr="0085706D">
        <w:rPr>
          <w:rStyle w:val="rvts23"/>
          <w:color w:val="000000" w:themeColor="text1"/>
          <w:sz w:val="27"/>
          <w:szCs w:val="27"/>
          <w:lang w:val="uk-UA"/>
        </w:rPr>
        <w:t xml:space="preserve"> (далі – Система).</w:t>
      </w:r>
      <w:r w:rsidR="00241597" w:rsidRPr="0085706D">
        <w:rPr>
          <w:rStyle w:val="rvts23"/>
          <w:color w:val="000000" w:themeColor="text1"/>
          <w:sz w:val="27"/>
          <w:szCs w:val="27"/>
          <w:lang w:val="uk-UA"/>
        </w:rPr>
        <w:t xml:space="preserve"> </w:t>
      </w:r>
    </w:p>
    <w:p w:rsidR="00A3784E" w:rsidRPr="0085706D" w:rsidRDefault="00A3784E" w:rsidP="00B3770D">
      <w:pPr>
        <w:widowControl w:val="0"/>
        <w:autoSpaceDE w:val="0"/>
        <w:autoSpaceDN w:val="0"/>
        <w:spacing w:line="276" w:lineRule="auto"/>
        <w:ind w:left="-426" w:firstLine="710"/>
        <w:jc w:val="both"/>
        <w:rPr>
          <w:rStyle w:val="rvts23"/>
          <w:color w:val="000000" w:themeColor="text1"/>
          <w:sz w:val="27"/>
          <w:szCs w:val="27"/>
          <w:lang w:val="uk-UA"/>
        </w:rPr>
      </w:pPr>
      <w:r w:rsidRPr="0085706D">
        <w:rPr>
          <w:rStyle w:val="rvts23"/>
          <w:sz w:val="27"/>
          <w:szCs w:val="27"/>
          <w:lang w:val="uk-UA"/>
        </w:rPr>
        <w:t xml:space="preserve">Відповідно пункту 4 </w:t>
      </w:r>
      <w:r w:rsidR="00630DD7" w:rsidRPr="0085706D">
        <w:rPr>
          <w:rStyle w:val="rvts23"/>
          <w:sz w:val="27"/>
          <w:szCs w:val="27"/>
          <w:lang w:val="uk-UA"/>
        </w:rPr>
        <w:t xml:space="preserve">наказу Міністерства фінансів України </w:t>
      </w:r>
      <w:r w:rsidR="00630DD7" w:rsidRPr="0085706D">
        <w:rPr>
          <w:rStyle w:val="rvts23"/>
          <w:color w:val="000000" w:themeColor="text1"/>
          <w:sz w:val="27"/>
          <w:szCs w:val="27"/>
          <w:lang w:val="uk-UA"/>
        </w:rPr>
        <w:t xml:space="preserve">«Про затвердження Критеріїв оцінки ступеня ризиків, достатніх для зупинення реєстрації податкової накладної/розрахунку коригування в Єдиному реєстрі податкових накладних та Вичерпного переліку документів, достатніх для прийняття рішення про реєстрацію податкової накладної/розрахунку коригування в Єдиному реєстрі податкових накладних» </w:t>
      </w:r>
      <w:r w:rsidR="00630DD7" w:rsidRPr="0085706D">
        <w:rPr>
          <w:rStyle w:val="rvts23"/>
          <w:sz w:val="27"/>
          <w:szCs w:val="27"/>
          <w:lang w:val="uk-UA"/>
        </w:rPr>
        <w:t xml:space="preserve">від </w:t>
      </w:r>
      <w:r w:rsidR="00630DD7" w:rsidRPr="0085706D">
        <w:rPr>
          <w:rStyle w:val="rvts23"/>
          <w:color w:val="000000" w:themeColor="text1"/>
          <w:sz w:val="27"/>
          <w:szCs w:val="27"/>
          <w:lang w:val="uk-UA"/>
        </w:rPr>
        <w:t>13 червня 2017 року №</w:t>
      </w:r>
      <w:r w:rsidR="00630DD7" w:rsidRPr="0085706D">
        <w:rPr>
          <w:rStyle w:val="rvts23"/>
          <w:color w:val="000000" w:themeColor="text1"/>
          <w:sz w:val="27"/>
          <w:szCs w:val="27"/>
        </w:rPr>
        <w:t> </w:t>
      </w:r>
      <w:r w:rsidR="00630DD7" w:rsidRPr="0085706D">
        <w:rPr>
          <w:rStyle w:val="rvts23"/>
          <w:color w:val="000000" w:themeColor="text1"/>
          <w:sz w:val="27"/>
          <w:szCs w:val="27"/>
          <w:lang w:val="uk-UA"/>
        </w:rPr>
        <w:t xml:space="preserve">567, який </w:t>
      </w:r>
      <w:r w:rsidR="00630DD7" w:rsidRPr="0085706D">
        <w:rPr>
          <w:rStyle w:val="rvts23"/>
          <w:sz w:val="27"/>
          <w:szCs w:val="27"/>
          <w:lang w:val="uk-UA"/>
        </w:rPr>
        <w:t>зареєстрований у Міністерстві юстиції України 16 червня 2017 року за №</w:t>
      </w:r>
      <w:r w:rsidR="00630DD7" w:rsidRPr="0085706D">
        <w:rPr>
          <w:rStyle w:val="rvts23"/>
          <w:sz w:val="27"/>
          <w:szCs w:val="27"/>
        </w:rPr>
        <w:t> </w:t>
      </w:r>
      <w:r w:rsidR="00630DD7" w:rsidRPr="0085706D">
        <w:rPr>
          <w:rStyle w:val="rvts23"/>
          <w:sz w:val="27"/>
          <w:szCs w:val="27"/>
          <w:lang w:val="uk-UA"/>
        </w:rPr>
        <w:t xml:space="preserve">753/30621 (зі змінами та доповненнями) </w:t>
      </w:r>
      <w:r w:rsidR="00630DD7" w:rsidRPr="0085706D">
        <w:rPr>
          <w:rStyle w:val="rvts23"/>
          <w:color w:val="000000" w:themeColor="text1"/>
          <w:sz w:val="27"/>
          <w:szCs w:val="27"/>
          <w:lang w:val="uk-UA"/>
        </w:rPr>
        <w:t>(далі – наказ),</w:t>
      </w:r>
      <w:r w:rsidRPr="0085706D">
        <w:rPr>
          <w:rStyle w:val="rvts23"/>
          <w:sz w:val="27"/>
          <w:szCs w:val="27"/>
          <w:lang w:val="uk-UA"/>
        </w:rPr>
        <w:t xml:space="preserve"> Державна фіскальна служба України</w:t>
      </w:r>
      <w:r w:rsidRPr="0085706D">
        <w:rPr>
          <w:rStyle w:val="rvts23"/>
          <w:color w:val="000000" w:themeColor="text1"/>
          <w:sz w:val="27"/>
          <w:szCs w:val="27"/>
          <w:lang w:val="uk-UA"/>
        </w:rPr>
        <w:t xml:space="preserve"> з метою </w:t>
      </w:r>
      <w:r w:rsidR="00630DD7" w:rsidRPr="0085706D">
        <w:rPr>
          <w:rStyle w:val="rvts23"/>
          <w:color w:val="000000" w:themeColor="text1"/>
          <w:sz w:val="27"/>
          <w:szCs w:val="27"/>
          <w:lang w:val="uk-UA"/>
        </w:rPr>
        <w:t>усунення проблемних питань та недоліків роботи Системи постійно</w:t>
      </w:r>
      <w:r w:rsidR="00630DD7" w:rsidRPr="0085706D">
        <w:rPr>
          <w:rStyle w:val="rvts23"/>
          <w:sz w:val="27"/>
          <w:szCs w:val="27"/>
          <w:lang w:val="uk-UA"/>
        </w:rPr>
        <w:t xml:space="preserve"> </w:t>
      </w:r>
      <w:r w:rsidRPr="0085706D">
        <w:rPr>
          <w:rStyle w:val="rvts23"/>
          <w:sz w:val="27"/>
          <w:szCs w:val="27"/>
          <w:lang w:val="uk-UA"/>
        </w:rPr>
        <w:t xml:space="preserve">здійснює аналіз ефективності застосування Критеріїв оцінки </w:t>
      </w:r>
      <w:r w:rsidRPr="0085706D">
        <w:rPr>
          <w:rStyle w:val="rvts23"/>
          <w:color w:val="000000" w:themeColor="text1"/>
          <w:sz w:val="27"/>
          <w:szCs w:val="27"/>
          <w:lang w:val="uk-UA"/>
        </w:rPr>
        <w:t>ступеня ризиків, достатніх для зупинення реєстрації податкової накладної/розрахунку коригування в Єдиному реєстрі податкових накладних</w:t>
      </w:r>
      <w:r w:rsidR="00630DD7" w:rsidRPr="0085706D">
        <w:rPr>
          <w:rStyle w:val="rvts23"/>
          <w:color w:val="000000" w:themeColor="text1"/>
          <w:sz w:val="27"/>
          <w:szCs w:val="27"/>
          <w:lang w:val="uk-UA"/>
        </w:rPr>
        <w:t xml:space="preserve"> (далі </w:t>
      </w:r>
      <w:r w:rsidRPr="0085706D">
        <w:rPr>
          <w:rStyle w:val="rvts23"/>
          <w:color w:val="000000" w:themeColor="text1"/>
          <w:sz w:val="27"/>
          <w:szCs w:val="27"/>
          <w:lang w:val="uk-UA"/>
        </w:rPr>
        <w:t>–</w:t>
      </w:r>
      <w:r w:rsidR="00630DD7" w:rsidRPr="0085706D">
        <w:rPr>
          <w:rStyle w:val="rvts23"/>
          <w:color w:val="000000" w:themeColor="text1"/>
          <w:sz w:val="27"/>
          <w:szCs w:val="27"/>
          <w:lang w:val="uk-UA"/>
        </w:rPr>
        <w:t> </w:t>
      </w:r>
      <w:r w:rsidRPr="0085706D">
        <w:rPr>
          <w:rStyle w:val="rvts23"/>
          <w:color w:val="000000" w:themeColor="text1"/>
          <w:sz w:val="27"/>
          <w:szCs w:val="27"/>
          <w:lang w:val="uk-UA"/>
        </w:rPr>
        <w:t>Критеріїв)</w:t>
      </w:r>
      <w:r w:rsidR="00630DD7" w:rsidRPr="0085706D">
        <w:rPr>
          <w:rStyle w:val="rvts23"/>
          <w:color w:val="000000" w:themeColor="text1"/>
          <w:sz w:val="27"/>
          <w:szCs w:val="27"/>
          <w:lang w:val="uk-UA"/>
        </w:rPr>
        <w:t xml:space="preserve"> та </w:t>
      </w:r>
      <w:r w:rsidR="00E50C55" w:rsidRPr="0085706D">
        <w:rPr>
          <w:rStyle w:val="rvts23"/>
          <w:color w:val="000000" w:themeColor="text1"/>
          <w:sz w:val="27"/>
          <w:szCs w:val="27"/>
          <w:lang w:val="uk-UA"/>
        </w:rPr>
        <w:t>за результатами такого аналізу надає пропозиції щодо внесення змін</w:t>
      </w:r>
      <w:r w:rsidRPr="0085706D">
        <w:rPr>
          <w:rStyle w:val="rvts23"/>
          <w:color w:val="000000" w:themeColor="text1"/>
          <w:sz w:val="27"/>
          <w:szCs w:val="27"/>
          <w:lang w:val="uk-UA"/>
        </w:rPr>
        <w:t>.</w:t>
      </w:r>
      <w:r w:rsidR="00E50C55" w:rsidRPr="0085706D">
        <w:rPr>
          <w:rStyle w:val="rvts23"/>
          <w:color w:val="000000" w:themeColor="text1"/>
          <w:sz w:val="27"/>
          <w:szCs w:val="27"/>
          <w:lang w:val="uk-UA"/>
        </w:rPr>
        <w:t xml:space="preserve"> Таким чином доповнює її та вдосконалює.</w:t>
      </w:r>
      <w:r w:rsidRPr="0085706D">
        <w:rPr>
          <w:rStyle w:val="rvts23"/>
          <w:color w:val="000000" w:themeColor="text1"/>
          <w:sz w:val="27"/>
          <w:szCs w:val="27"/>
          <w:lang w:val="uk-UA"/>
        </w:rPr>
        <w:t xml:space="preserve"> </w:t>
      </w:r>
    </w:p>
    <w:p w:rsidR="00D27371" w:rsidRPr="0085706D" w:rsidRDefault="00E50C55" w:rsidP="00B3770D">
      <w:pPr>
        <w:widowControl w:val="0"/>
        <w:autoSpaceDE w:val="0"/>
        <w:autoSpaceDN w:val="0"/>
        <w:spacing w:line="276" w:lineRule="auto"/>
        <w:ind w:left="-426" w:firstLine="710"/>
        <w:jc w:val="both"/>
        <w:rPr>
          <w:rStyle w:val="rvts23"/>
          <w:sz w:val="27"/>
          <w:szCs w:val="27"/>
          <w:lang w:val="uk-UA"/>
        </w:rPr>
      </w:pPr>
      <w:r w:rsidRPr="0085706D">
        <w:rPr>
          <w:rStyle w:val="rvts23"/>
          <w:color w:val="000000" w:themeColor="text1"/>
          <w:sz w:val="27"/>
          <w:szCs w:val="27"/>
          <w:lang w:val="uk-UA"/>
        </w:rPr>
        <w:t>Відповідно до діючої редакції наказу, п</w:t>
      </w:r>
      <w:r w:rsidR="00A3784E" w:rsidRPr="0085706D">
        <w:rPr>
          <w:rStyle w:val="rvts23"/>
          <w:color w:val="000000" w:themeColor="text1"/>
          <w:sz w:val="27"/>
          <w:szCs w:val="27"/>
          <w:lang w:val="uk-UA"/>
        </w:rPr>
        <w:t>одання Таблиці даних</w:t>
      </w:r>
      <w:r w:rsidR="00AF2C3F" w:rsidRPr="0085706D">
        <w:rPr>
          <w:rStyle w:val="rvts23"/>
          <w:color w:val="000000" w:themeColor="text1"/>
          <w:sz w:val="27"/>
          <w:szCs w:val="27"/>
          <w:lang w:val="uk-UA"/>
        </w:rPr>
        <w:t xml:space="preserve"> </w:t>
      </w:r>
      <w:r w:rsidR="00A3784E" w:rsidRPr="0085706D">
        <w:rPr>
          <w:rStyle w:val="rvts23"/>
          <w:color w:val="000000" w:themeColor="text1"/>
          <w:sz w:val="27"/>
          <w:szCs w:val="27"/>
          <w:lang w:val="uk-UA"/>
        </w:rPr>
        <w:t xml:space="preserve">платника податку </w:t>
      </w:r>
      <w:r w:rsidRPr="0085706D">
        <w:rPr>
          <w:rStyle w:val="rvts23"/>
          <w:color w:val="000000" w:themeColor="text1"/>
          <w:sz w:val="27"/>
          <w:szCs w:val="27"/>
          <w:lang w:val="uk-UA"/>
        </w:rPr>
        <w:t xml:space="preserve">відповідно до пункту 3 Критеріїв </w:t>
      </w:r>
      <w:r w:rsidR="00A3784E" w:rsidRPr="0085706D">
        <w:rPr>
          <w:rStyle w:val="rvts23"/>
          <w:color w:val="000000" w:themeColor="text1"/>
          <w:sz w:val="27"/>
          <w:szCs w:val="27"/>
          <w:lang w:val="uk-UA"/>
        </w:rPr>
        <w:t>дозволяє</w:t>
      </w:r>
      <w:r w:rsidRPr="0085706D">
        <w:rPr>
          <w:rStyle w:val="rvts23"/>
          <w:color w:val="000000" w:themeColor="text1"/>
          <w:sz w:val="27"/>
          <w:szCs w:val="27"/>
          <w:lang w:val="uk-UA"/>
        </w:rPr>
        <w:t xml:space="preserve"> </w:t>
      </w:r>
      <w:r w:rsidR="00AF2C3F" w:rsidRPr="0085706D">
        <w:rPr>
          <w:rStyle w:val="rvts23"/>
          <w:color w:val="000000" w:themeColor="text1"/>
          <w:sz w:val="27"/>
          <w:szCs w:val="27"/>
          <w:lang w:val="uk-UA"/>
        </w:rPr>
        <w:t xml:space="preserve">сумлінному </w:t>
      </w:r>
      <w:r w:rsidRPr="0085706D">
        <w:rPr>
          <w:rStyle w:val="rvts23"/>
          <w:color w:val="000000" w:themeColor="text1"/>
          <w:sz w:val="27"/>
          <w:szCs w:val="27"/>
          <w:lang w:val="uk-UA"/>
        </w:rPr>
        <w:t>платнику податку</w:t>
      </w:r>
      <w:r w:rsidR="00A3784E" w:rsidRPr="0085706D">
        <w:rPr>
          <w:rStyle w:val="rvts23"/>
          <w:color w:val="000000" w:themeColor="text1"/>
          <w:sz w:val="27"/>
          <w:szCs w:val="27"/>
          <w:lang w:val="uk-UA"/>
        </w:rPr>
        <w:t xml:space="preserve"> в подальшому суттєво </w:t>
      </w:r>
      <w:r w:rsidR="00657756" w:rsidRPr="0085706D">
        <w:rPr>
          <w:rStyle w:val="rvts23"/>
          <w:color w:val="000000" w:themeColor="text1"/>
          <w:sz w:val="27"/>
          <w:szCs w:val="27"/>
          <w:lang w:val="uk-UA"/>
        </w:rPr>
        <w:t xml:space="preserve">зменшити кількість тих податкових накладних, які будуть заблоковані. </w:t>
      </w:r>
    </w:p>
    <w:p w:rsidR="00D87E7F" w:rsidRPr="0085706D" w:rsidRDefault="00C24C38" w:rsidP="00B3770D">
      <w:pPr>
        <w:widowControl w:val="0"/>
        <w:autoSpaceDE w:val="0"/>
        <w:autoSpaceDN w:val="0"/>
        <w:spacing w:line="276" w:lineRule="auto"/>
        <w:ind w:left="-426" w:firstLine="710"/>
        <w:jc w:val="both"/>
        <w:rPr>
          <w:rStyle w:val="rvts23"/>
          <w:sz w:val="27"/>
          <w:szCs w:val="27"/>
          <w:lang w:val="uk-UA"/>
        </w:rPr>
      </w:pPr>
      <w:r w:rsidRPr="0085706D">
        <w:rPr>
          <w:rStyle w:val="rvts23"/>
          <w:sz w:val="27"/>
          <w:szCs w:val="27"/>
          <w:lang w:val="uk-UA"/>
        </w:rPr>
        <w:t xml:space="preserve">Також не залишаються без уваги </w:t>
      </w:r>
      <w:r w:rsidR="00C0666D" w:rsidRPr="0085706D">
        <w:rPr>
          <w:rStyle w:val="rvts23"/>
          <w:sz w:val="27"/>
          <w:szCs w:val="27"/>
          <w:lang w:val="uk-UA"/>
        </w:rPr>
        <w:t xml:space="preserve">сумлінні </w:t>
      </w:r>
      <w:r w:rsidR="00D27371" w:rsidRPr="0085706D">
        <w:rPr>
          <w:rStyle w:val="rvts23"/>
          <w:sz w:val="27"/>
          <w:szCs w:val="27"/>
          <w:lang w:val="uk-UA"/>
        </w:rPr>
        <w:t>платник</w:t>
      </w:r>
      <w:r w:rsidR="00C0666D" w:rsidRPr="0085706D">
        <w:rPr>
          <w:rStyle w:val="rvts23"/>
          <w:sz w:val="27"/>
          <w:szCs w:val="27"/>
          <w:lang w:val="uk-UA"/>
        </w:rPr>
        <w:t>и</w:t>
      </w:r>
      <w:r w:rsidR="00D27371" w:rsidRPr="0085706D">
        <w:rPr>
          <w:rStyle w:val="rvts23"/>
          <w:sz w:val="27"/>
          <w:szCs w:val="27"/>
          <w:lang w:val="uk-UA"/>
        </w:rPr>
        <w:t xml:space="preserve"> податк</w:t>
      </w:r>
      <w:r w:rsidR="00AF2C3F" w:rsidRPr="0085706D">
        <w:rPr>
          <w:rStyle w:val="rvts23"/>
          <w:sz w:val="27"/>
          <w:szCs w:val="27"/>
          <w:lang w:val="uk-UA"/>
        </w:rPr>
        <w:t>ів</w:t>
      </w:r>
      <w:r w:rsidR="00D27371" w:rsidRPr="0085706D">
        <w:rPr>
          <w:rStyle w:val="rvts23"/>
          <w:sz w:val="27"/>
          <w:szCs w:val="27"/>
          <w:lang w:val="uk-UA"/>
        </w:rPr>
        <w:t xml:space="preserve">, які </w:t>
      </w:r>
      <w:r w:rsidRPr="0085706D">
        <w:rPr>
          <w:rStyle w:val="rvts23"/>
          <w:sz w:val="27"/>
          <w:szCs w:val="27"/>
          <w:lang w:val="uk-UA"/>
        </w:rPr>
        <w:t xml:space="preserve">у зв’язку із специфікою своєї діяльності </w:t>
      </w:r>
      <w:r w:rsidR="00D27371" w:rsidRPr="0085706D">
        <w:rPr>
          <w:rStyle w:val="rvts23"/>
          <w:sz w:val="27"/>
          <w:szCs w:val="27"/>
          <w:lang w:val="uk-UA"/>
        </w:rPr>
        <w:t>за</w:t>
      </w:r>
      <w:r w:rsidRPr="0085706D">
        <w:rPr>
          <w:rStyle w:val="rvts23"/>
          <w:sz w:val="27"/>
          <w:szCs w:val="27"/>
          <w:lang w:val="uk-UA"/>
        </w:rPr>
        <w:t>в</w:t>
      </w:r>
      <w:r w:rsidR="00D27371" w:rsidRPr="0085706D">
        <w:rPr>
          <w:rStyle w:val="rvts23"/>
          <w:sz w:val="27"/>
          <w:szCs w:val="27"/>
          <w:lang w:val="uk-UA"/>
        </w:rPr>
        <w:t xml:space="preserve">жди </w:t>
      </w:r>
      <w:r w:rsidRPr="0085706D">
        <w:rPr>
          <w:rStyle w:val="rvts23"/>
          <w:sz w:val="27"/>
          <w:szCs w:val="27"/>
          <w:lang w:val="uk-UA"/>
        </w:rPr>
        <w:t>будуть</w:t>
      </w:r>
      <w:r w:rsidR="00D27371" w:rsidRPr="0085706D">
        <w:rPr>
          <w:rStyle w:val="rvts23"/>
          <w:sz w:val="27"/>
          <w:szCs w:val="27"/>
          <w:lang w:val="uk-UA"/>
        </w:rPr>
        <w:t xml:space="preserve"> об’єктом Систем</w:t>
      </w:r>
      <w:r w:rsidRPr="0085706D">
        <w:rPr>
          <w:rStyle w:val="rvts23"/>
          <w:sz w:val="27"/>
          <w:szCs w:val="27"/>
          <w:lang w:val="uk-UA"/>
        </w:rPr>
        <w:t>и</w:t>
      </w:r>
      <w:r w:rsidR="00C0666D" w:rsidRPr="0085706D">
        <w:rPr>
          <w:rStyle w:val="rvts23"/>
          <w:sz w:val="27"/>
          <w:szCs w:val="27"/>
          <w:lang w:val="uk-UA"/>
        </w:rPr>
        <w:t>, а р</w:t>
      </w:r>
      <w:r w:rsidRPr="0085706D">
        <w:rPr>
          <w:rStyle w:val="rvts23"/>
          <w:sz w:val="27"/>
          <w:szCs w:val="27"/>
          <w:lang w:val="uk-UA"/>
        </w:rPr>
        <w:t>еєстрація податкових накладних на реалізацію товарів/послуг з урахуванням наявності відсотку придбаного ризикового товару, в більшості випадків буде зупинена.</w:t>
      </w:r>
    </w:p>
    <w:p w:rsidR="00C0666D" w:rsidRPr="0085706D" w:rsidRDefault="00C0666D" w:rsidP="00B3770D">
      <w:pPr>
        <w:widowControl w:val="0"/>
        <w:autoSpaceDE w:val="0"/>
        <w:autoSpaceDN w:val="0"/>
        <w:spacing w:line="276" w:lineRule="auto"/>
        <w:ind w:left="-426" w:firstLine="710"/>
        <w:jc w:val="both"/>
        <w:rPr>
          <w:rStyle w:val="rvts23"/>
          <w:sz w:val="27"/>
          <w:szCs w:val="27"/>
          <w:lang w:val="uk-UA"/>
        </w:rPr>
      </w:pPr>
      <w:r w:rsidRPr="0085706D">
        <w:rPr>
          <w:rStyle w:val="rvts23"/>
          <w:sz w:val="27"/>
          <w:szCs w:val="27"/>
          <w:lang w:val="uk-UA"/>
        </w:rPr>
        <w:t xml:space="preserve">Тому для вирішення проблеми проектом наказу передбачаються зміни, які дозволять автоматично враховувати ДФС </w:t>
      </w:r>
      <w:r w:rsidR="009906B6" w:rsidRPr="0085706D">
        <w:rPr>
          <w:rStyle w:val="rvts23"/>
          <w:sz w:val="27"/>
          <w:szCs w:val="27"/>
          <w:lang w:val="uk-UA"/>
        </w:rPr>
        <w:t xml:space="preserve">таблиці </w:t>
      </w:r>
      <w:r w:rsidRPr="0085706D">
        <w:rPr>
          <w:rStyle w:val="rvts23"/>
          <w:sz w:val="27"/>
          <w:szCs w:val="27"/>
          <w:lang w:val="uk-UA"/>
        </w:rPr>
        <w:t xml:space="preserve">подані </w:t>
      </w:r>
      <w:r w:rsidR="009906B6" w:rsidRPr="0085706D">
        <w:rPr>
          <w:rStyle w:val="rvts23"/>
          <w:sz w:val="27"/>
          <w:szCs w:val="27"/>
          <w:lang w:val="uk-UA"/>
        </w:rPr>
        <w:t xml:space="preserve">сумлінними </w:t>
      </w:r>
      <w:r w:rsidRPr="0085706D">
        <w:rPr>
          <w:rStyle w:val="rvts23"/>
          <w:sz w:val="27"/>
          <w:szCs w:val="27"/>
          <w:lang w:val="uk-UA"/>
        </w:rPr>
        <w:t>платниками</w:t>
      </w:r>
      <w:r w:rsidR="009906B6" w:rsidRPr="0085706D">
        <w:rPr>
          <w:rStyle w:val="rvts23"/>
          <w:sz w:val="27"/>
          <w:szCs w:val="27"/>
          <w:lang w:val="uk-UA"/>
        </w:rPr>
        <w:t xml:space="preserve"> податків та уникнути фактів зупинення реєстрації податкових накладних такими платниками. </w:t>
      </w:r>
    </w:p>
    <w:p w:rsidR="001E4A7D" w:rsidRPr="0085706D" w:rsidRDefault="005C4B49" w:rsidP="00B3770D">
      <w:pPr>
        <w:widowControl w:val="0"/>
        <w:autoSpaceDE w:val="0"/>
        <w:autoSpaceDN w:val="0"/>
        <w:spacing w:line="276" w:lineRule="auto"/>
        <w:ind w:left="-426" w:firstLine="710"/>
        <w:jc w:val="both"/>
        <w:rPr>
          <w:rStyle w:val="rvts23"/>
          <w:sz w:val="27"/>
          <w:szCs w:val="27"/>
          <w:lang w:val="uk-UA"/>
        </w:rPr>
      </w:pPr>
      <w:r w:rsidRPr="0085706D">
        <w:rPr>
          <w:rStyle w:val="rvts23"/>
          <w:sz w:val="27"/>
          <w:szCs w:val="27"/>
          <w:lang w:val="ru-RU"/>
        </w:rPr>
        <w:t xml:space="preserve">Одним </w:t>
      </w:r>
      <w:proofErr w:type="spellStart"/>
      <w:r w:rsidRPr="0085706D">
        <w:rPr>
          <w:rStyle w:val="rvts23"/>
          <w:sz w:val="27"/>
          <w:szCs w:val="27"/>
          <w:lang w:val="ru-RU"/>
        </w:rPr>
        <w:t>із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важливих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інтрументів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Критеріїв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є </w:t>
      </w:r>
      <w:proofErr w:type="spellStart"/>
      <w:r w:rsidRPr="0085706D">
        <w:rPr>
          <w:rStyle w:val="rvts23"/>
          <w:sz w:val="27"/>
          <w:szCs w:val="27"/>
          <w:lang w:val="ru-RU"/>
        </w:rPr>
        <w:t>відсоток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ризикового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товару. </w:t>
      </w:r>
      <w:proofErr w:type="spellStart"/>
      <w:r w:rsidR="009C3B78" w:rsidRPr="0085706D">
        <w:rPr>
          <w:rStyle w:val="rvts23"/>
          <w:sz w:val="27"/>
          <w:szCs w:val="27"/>
          <w:lang w:val="ru-RU"/>
        </w:rPr>
        <w:t>Пропонується</w:t>
      </w:r>
      <w:proofErr w:type="spellEnd"/>
      <w:r w:rsidR="009C3B78" w:rsidRPr="0085706D">
        <w:rPr>
          <w:rStyle w:val="rvts23"/>
          <w:sz w:val="27"/>
          <w:szCs w:val="27"/>
          <w:lang w:val="ru-RU"/>
        </w:rPr>
        <w:t xml:space="preserve"> в</w:t>
      </w:r>
      <w:r w:rsidR="00F94ECA" w:rsidRPr="0085706D">
        <w:rPr>
          <w:rStyle w:val="rvts23"/>
          <w:sz w:val="27"/>
          <w:szCs w:val="27"/>
          <w:lang w:val="uk-UA"/>
        </w:rPr>
        <w:t xml:space="preserve">становити взаємозв’язок допустимого значення частки ризикових груп товарів платника відповідно до </w:t>
      </w:r>
      <w:r w:rsidR="009C3B78" w:rsidRPr="0085706D">
        <w:rPr>
          <w:rStyle w:val="rvts23"/>
          <w:sz w:val="27"/>
          <w:szCs w:val="27"/>
          <w:lang w:val="uk-UA"/>
        </w:rPr>
        <w:t>податкового навантаження</w:t>
      </w:r>
      <w:r w:rsidRPr="0085706D">
        <w:rPr>
          <w:rStyle w:val="rvts23"/>
          <w:sz w:val="27"/>
          <w:szCs w:val="27"/>
          <w:lang w:val="uk-UA"/>
        </w:rPr>
        <w:t xml:space="preserve">. </w:t>
      </w:r>
    </w:p>
    <w:p w:rsidR="00FB78FC" w:rsidRPr="0085706D" w:rsidRDefault="00FB78FC" w:rsidP="00B3770D">
      <w:pPr>
        <w:widowControl w:val="0"/>
        <w:autoSpaceDE w:val="0"/>
        <w:autoSpaceDN w:val="0"/>
        <w:spacing w:line="276" w:lineRule="auto"/>
        <w:ind w:left="-426" w:firstLine="710"/>
        <w:jc w:val="both"/>
        <w:rPr>
          <w:rStyle w:val="rvts23"/>
          <w:sz w:val="27"/>
          <w:szCs w:val="27"/>
          <w:lang w:val="uk-UA"/>
        </w:rPr>
      </w:pPr>
      <w:r w:rsidRPr="0085706D">
        <w:rPr>
          <w:rStyle w:val="rvts23"/>
          <w:sz w:val="27"/>
          <w:szCs w:val="27"/>
          <w:lang w:val="uk-UA"/>
        </w:rPr>
        <w:t xml:space="preserve">Так, за результатом проведеного аналізу </w:t>
      </w:r>
      <w:r w:rsidR="009C3B78" w:rsidRPr="0085706D">
        <w:rPr>
          <w:rStyle w:val="rvts23"/>
          <w:sz w:val="27"/>
          <w:szCs w:val="27"/>
          <w:lang w:val="uk-UA"/>
        </w:rPr>
        <w:t>податкового навантаження</w:t>
      </w:r>
      <w:r w:rsidR="00B0206E" w:rsidRPr="0085706D">
        <w:rPr>
          <w:rStyle w:val="rvts23"/>
          <w:sz w:val="27"/>
          <w:szCs w:val="27"/>
          <w:lang w:val="uk-UA"/>
        </w:rPr>
        <w:t xml:space="preserve"> платників податків та </w:t>
      </w:r>
      <w:r w:rsidRPr="0085706D">
        <w:rPr>
          <w:rStyle w:val="rvts23"/>
          <w:sz w:val="27"/>
          <w:szCs w:val="27"/>
          <w:lang w:val="uk-UA"/>
        </w:rPr>
        <w:t xml:space="preserve">відсотку ризикового товару </w:t>
      </w:r>
      <w:r w:rsidR="00B0206E" w:rsidRPr="0085706D">
        <w:rPr>
          <w:rStyle w:val="rvts23"/>
          <w:sz w:val="27"/>
          <w:szCs w:val="27"/>
          <w:lang w:val="uk-UA"/>
        </w:rPr>
        <w:t xml:space="preserve">на складі </w:t>
      </w:r>
      <w:r w:rsidR="009924B7" w:rsidRPr="0085706D">
        <w:rPr>
          <w:rStyle w:val="rvts23"/>
          <w:sz w:val="27"/>
          <w:szCs w:val="27"/>
          <w:lang w:val="uk-UA"/>
        </w:rPr>
        <w:t>визначено</w:t>
      </w:r>
      <w:r w:rsidR="009C3B78" w:rsidRPr="0085706D">
        <w:rPr>
          <w:rStyle w:val="rvts23"/>
          <w:sz w:val="27"/>
          <w:szCs w:val="27"/>
          <w:lang w:val="uk-UA"/>
        </w:rPr>
        <w:t>,</w:t>
      </w:r>
      <w:r w:rsidR="009924B7" w:rsidRPr="0085706D">
        <w:rPr>
          <w:rStyle w:val="rvts23"/>
          <w:sz w:val="27"/>
          <w:szCs w:val="27"/>
          <w:lang w:val="uk-UA"/>
        </w:rPr>
        <w:t xml:space="preserve"> що у платників податків при податковому навантаженні більше 3 </w:t>
      </w:r>
      <w:proofErr w:type="spellStart"/>
      <w:r w:rsidR="009924B7" w:rsidRPr="0085706D">
        <w:rPr>
          <w:rStyle w:val="rvts23"/>
          <w:sz w:val="27"/>
          <w:szCs w:val="27"/>
          <w:lang w:val="uk-UA"/>
        </w:rPr>
        <w:t>відст</w:t>
      </w:r>
      <w:proofErr w:type="spellEnd"/>
      <w:r w:rsidR="009924B7" w:rsidRPr="0085706D">
        <w:rPr>
          <w:rStyle w:val="rvts23"/>
          <w:sz w:val="27"/>
          <w:szCs w:val="27"/>
          <w:lang w:val="uk-UA"/>
        </w:rPr>
        <w:t xml:space="preserve">. та від 0 до 0,5 </w:t>
      </w:r>
      <w:proofErr w:type="spellStart"/>
      <w:r w:rsidR="009924B7" w:rsidRPr="0085706D">
        <w:rPr>
          <w:rStyle w:val="rvts23"/>
          <w:sz w:val="27"/>
          <w:szCs w:val="27"/>
          <w:lang w:val="uk-UA"/>
        </w:rPr>
        <w:t>відст</w:t>
      </w:r>
      <w:proofErr w:type="spellEnd"/>
      <w:r w:rsidR="009924B7" w:rsidRPr="0085706D">
        <w:rPr>
          <w:rStyle w:val="rvts23"/>
          <w:sz w:val="27"/>
          <w:szCs w:val="27"/>
          <w:lang w:val="uk-UA"/>
        </w:rPr>
        <w:t>., у зв’язку з фіксованим відсотком ризикового товару, кількість призупинених податкових накладних приблизно однакова.</w:t>
      </w:r>
    </w:p>
    <w:p w:rsidR="009924B7" w:rsidRPr="00EF4C40" w:rsidRDefault="001E4A7D" w:rsidP="001E4A7D">
      <w:pPr>
        <w:widowControl w:val="0"/>
        <w:autoSpaceDE w:val="0"/>
        <w:autoSpaceDN w:val="0"/>
        <w:spacing w:line="276" w:lineRule="auto"/>
        <w:ind w:firstLine="709"/>
        <w:jc w:val="right"/>
        <w:rPr>
          <w:rStyle w:val="rvts23"/>
          <w:lang w:val="uk-UA"/>
        </w:rPr>
      </w:pPr>
      <w:r w:rsidRPr="00EF4C40">
        <w:rPr>
          <w:rStyle w:val="rvts23"/>
          <w:lang w:val="uk-UA"/>
        </w:rPr>
        <w:lastRenderedPageBreak/>
        <w:t xml:space="preserve">станом на 05.10.2017 </w:t>
      </w:r>
    </w:p>
    <w:tbl>
      <w:tblPr>
        <w:tblW w:w="9986" w:type="dxa"/>
        <w:jc w:val="center"/>
        <w:tblLook w:val="04A0" w:firstRow="1" w:lastRow="0" w:firstColumn="1" w:lastColumn="0" w:noHBand="0" w:noVBand="1"/>
      </w:tblPr>
      <w:tblGrid>
        <w:gridCol w:w="4805"/>
        <w:gridCol w:w="5181"/>
      </w:tblGrid>
      <w:tr w:rsidR="0085706D" w:rsidRPr="009924B7" w:rsidTr="0085706D">
        <w:trPr>
          <w:trHeight w:val="291"/>
          <w:jc w:val="center"/>
        </w:trPr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06D" w:rsidRDefault="0085706D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>Податкове навантаження</w:t>
            </w:r>
          </w:p>
          <w:p w:rsidR="0085706D" w:rsidRPr="0085706D" w:rsidRDefault="0085706D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rStyle w:val="rvts23"/>
                <w:sz w:val="22"/>
                <w:szCs w:val="22"/>
                <w:lang w:val="uk-UA"/>
              </w:rPr>
            </w:pPr>
          </w:p>
        </w:tc>
        <w:tc>
          <w:tcPr>
            <w:tcW w:w="51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06D" w:rsidRDefault="0085706D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>Призупинено ПН (к-сть)</w:t>
            </w:r>
          </w:p>
          <w:p w:rsidR="0085706D" w:rsidRPr="0085706D" w:rsidRDefault="0085706D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rStyle w:val="rvts23"/>
                <w:sz w:val="22"/>
                <w:szCs w:val="22"/>
                <w:lang w:val="uk-UA"/>
              </w:rPr>
            </w:pPr>
          </w:p>
        </w:tc>
      </w:tr>
      <w:tr w:rsidR="009924B7" w:rsidRPr="009924B7" w:rsidTr="001E4A7D">
        <w:trPr>
          <w:trHeight w:val="198"/>
          <w:jc w:val="center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>більше 3 %</w:t>
            </w:r>
          </w:p>
        </w:tc>
        <w:tc>
          <w:tcPr>
            <w:tcW w:w="5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>66 236</w:t>
            </w:r>
          </w:p>
        </w:tc>
      </w:tr>
      <w:tr w:rsidR="009924B7" w:rsidRPr="009924B7" w:rsidTr="001E4A7D">
        <w:trPr>
          <w:trHeight w:val="198"/>
          <w:jc w:val="center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 xml:space="preserve">від 2 до 3 % </w:t>
            </w:r>
          </w:p>
        </w:tc>
        <w:tc>
          <w:tcPr>
            <w:tcW w:w="5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>58 699</w:t>
            </w:r>
          </w:p>
        </w:tc>
      </w:tr>
      <w:tr w:rsidR="009924B7" w:rsidRPr="009924B7" w:rsidTr="001E4A7D">
        <w:trPr>
          <w:trHeight w:val="198"/>
          <w:jc w:val="center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 xml:space="preserve">від 1,5 до 2 % </w:t>
            </w:r>
          </w:p>
        </w:tc>
        <w:tc>
          <w:tcPr>
            <w:tcW w:w="5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>41 165</w:t>
            </w:r>
          </w:p>
        </w:tc>
      </w:tr>
      <w:tr w:rsidR="009924B7" w:rsidRPr="009924B7" w:rsidTr="001E4A7D">
        <w:trPr>
          <w:trHeight w:val="198"/>
          <w:jc w:val="center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 xml:space="preserve">від 1 до 1,5 % </w:t>
            </w:r>
          </w:p>
        </w:tc>
        <w:tc>
          <w:tcPr>
            <w:tcW w:w="5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>42 787</w:t>
            </w:r>
          </w:p>
        </w:tc>
      </w:tr>
      <w:tr w:rsidR="009924B7" w:rsidRPr="009924B7" w:rsidTr="001E4A7D">
        <w:trPr>
          <w:trHeight w:val="198"/>
          <w:jc w:val="center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 xml:space="preserve">від 0,5 до 1 % </w:t>
            </w:r>
          </w:p>
        </w:tc>
        <w:tc>
          <w:tcPr>
            <w:tcW w:w="5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>50 991</w:t>
            </w:r>
          </w:p>
        </w:tc>
      </w:tr>
      <w:tr w:rsidR="009924B7" w:rsidRPr="009924B7" w:rsidTr="001E4A7D">
        <w:trPr>
          <w:trHeight w:val="198"/>
          <w:jc w:val="center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 xml:space="preserve">від 0 до 0,5 % </w:t>
            </w:r>
          </w:p>
        </w:tc>
        <w:tc>
          <w:tcPr>
            <w:tcW w:w="5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>67 669</w:t>
            </w:r>
          </w:p>
        </w:tc>
      </w:tr>
      <w:tr w:rsidR="009924B7" w:rsidRPr="009924B7" w:rsidTr="001E4A7D">
        <w:trPr>
          <w:trHeight w:val="198"/>
          <w:jc w:val="center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>0 %</w:t>
            </w:r>
          </w:p>
        </w:tc>
        <w:tc>
          <w:tcPr>
            <w:tcW w:w="5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>31 090</w:t>
            </w:r>
          </w:p>
        </w:tc>
      </w:tr>
      <w:tr w:rsidR="009924B7" w:rsidRPr="009924B7" w:rsidTr="001E4A7D">
        <w:trPr>
          <w:trHeight w:val="187"/>
          <w:jc w:val="center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5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4B7" w:rsidRPr="0085706D" w:rsidRDefault="009924B7" w:rsidP="009924B7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rStyle w:val="rvts23"/>
                <w:sz w:val="22"/>
                <w:szCs w:val="22"/>
                <w:lang w:val="uk-UA"/>
              </w:rPr>
            </w:pPr>
            <w:r w:rsidRPr="0085706D">
              <w:rPr>
                <w:rStyle w:val="rvts23"/>
                <w:sz w:val="22"/>
                <w:szCs w:val="22"/>
                <w:lang w:val="uk-UA"/>
              </w:rPr>
              <w:t>358 637</w:t>
            </w:r>
          </w:p>
        </w:tc>
      </w:tr>
    </w:tbl>
    <w:p w:rsidR="009C3B78" w:rsidRPr="0085706D" w:rsidRDefault="001E4A7D" w:rsidP="00B3770D">
      <w:pPr>
        <w:widowControl w:val="0"/>
        <w:autoSpaceDE w:val="0"/>
        <w:autoSpaceDN w:val="0"/>
        <w:spacing w:line="276" w:lineRule="auto"/>
        <w:ind w:left="-284" w:firstLine="709"/>
        <w:jc w:val="both"/>
        <w:rPr>
          <w:rStyle w:val="rvts23"/>
          <w:sz w:val="27"/>
          <w:szCs w:val="27"/>
          <w:lang w:val="uk-UA"/>
        </w:rPr>
      </w:pPr>
      <w:r w:rsidRPr="0085706D">
        <w:rPr>
          <w:rStyle w:val="rvts23"/>
          <w:sz w:val="27"/>
          <w:szCs w:val="27"/>
          <w:lang w:val="uk-UA"/>
        </w:rPr>
        <w:t>Тому, запроваджен</w:t>
      </w:r>
      <w:r w:rsidR="009C3B78" w:rsidRPr="0085706D">
        <w:rPr>
          <w:rStyle w:val="rvts23"/>
          <w:sz w:val="27"/>
          <w:szCs w:val="27"/>
          <w:lang w:val="uk-UA"/>
        </w:rPr>
        <w:t>ня змін</w:t>
      </w:r>
      <w:r w:rsidRPr="0085706D">
        <w:rPr>
          <w:rStyle w:val="rvts23"/>
          <w:sz w:val="27"/>
          <w:szCs w:val="27"/>
          <w:lang w:val="uk-UA"/>
        </w:rPr>
        <w:t xml:space="preserve"> </w:t>
      </w:r>
      <w:r w:rsidR="009C3B78" w:rsidRPr="0085706D">
        <w:rPr>
          <w:rStyle w:val="rvts23"/>
          <w:sz w:val="27"/>
          <w:szCs w:val="27"/>
          <w:lang w:val="uk-UA"/>
        </w:rPr>
        <w:t xml:space="preserve">з однієї сторони призведе до зменшення кількості зупинених ризикових податкових накладних для тих хто має високе податкове навантаження, а з іншої сторони </w:t>
      </w:r>
      <w:r w:rsidR="00EF4C40" w:rsidRPr="0085706D">
        <w:rPr>
          <w:rStyle w:val="rvts23"/>
          <w:sz w:val="27"/>
          <w:szCs w:val="27"/>
          <w:lang w:val="uk-UA"/>
        </w:rPr>
        <w:t xml:space="preserve">кількість зупинених податкових накладних </w:t>
      </w:r>
      <w:r w:rsidR="009C3B78" w:rsidRPr="0085706D">
        <w:rPr>
          <w:rStyle w:val="rvts23"/>
          <w:sz w:val="27"/>
          <w:szCs w:val="27"/>
          <w:lang w:val="uk-UA"/>
        </w:rPr>
        <w:t>збільшить</w:t>
      </w:r>
      <w:r w:rsidR="00EF4C40" w:rsidRPr="0085706D">
        <w:rPr>
          <w:rStyle w:val="rvts23"/>
          <w:sz w:val="27"/>
          <w:szCs w:val="27"/>
          <w:lang w:val="uk-UA"/>
        </w:rPr>
        <w:t>ся</w:t>
      </w:r>
      <w:r w:rsidR="009C3B78" w:rsidRPr="0085706D">
        <w:rPr>
          <w:rStyle w:val="rvts23"/>
          <w:sz w:val="27"/>
          <w:szCs w:val="27"/>
          <w:lang w:val="uk-UA"/>
        </w:rPr>
        <w:t xml:space="preserve"> у тих хто має низьке податкове навантаження.</w:t>
      </w:r>
    </w:p>
    <w:p w:rsidR="009906B6" w:rsidRPr="0085706D" w:rsidRDefault="009906B6" w:rsidP="00B3770D">
      <w:pPr>
        <w:spacing w:line="276" w:lineRule="auto"/>
        <w:ind w:left="-284" w:firstLine="709"/>
        <w:jc w:val="both"/>
        <w:rPr>
          <w:rStyle w:val="rvts23"/>
          <w:sz w:val="27"/>
          <w:szCs w:val="27"/>
          <w:lang w:val="ru-RU"/>
        </w:rPr>
      </w:pPr>
      <w:proofErr w:type="spellStart"/>
      <w:r w:rsidRPr="0085706D">
        <w:rPr>
          <w:rStyle w:val="rvts23"/>
          <w:sz w:val="27"/>
          <w:szCs w:val="27"/>
          <w:lang w:val="ru-RU"/>
        </w:rPr>
        <w:t>Крім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того, </w:t>
      </w:r>
      <w:proofErr w:type="spellStart"/>
      <w:r w:rsidRPr="0085706D">
        <w:rPr>
          <w:rStyle w:val="rvts23"/>
          <w:sz w:val="27"/>
          <w:szCs w:val="27"/>
          <w:lang w:val="ru-RU"/>
        </w:rPr>
        <w:t>даним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проектом </w:t>
      </w:r>
      <w:proofErr w:type="spellStart"/>
      <w:r w:rsidR="006B1F1C" w:rsidRPr="0085706D">
        <w:rPr>
          <w:rStyle w:val="rvts23"/>
          <w:sz w:val="27"/>
          <w:szCs w:val="27"/>
          <w:lang w:val="ru-RU"/>
        </w:rPr>
        <w:t>передбачено</w:t>
      </w:r>
      <w:proofErr w:type="spellEnd"/>
      <w:r w:rsidR="006B1F1C"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обрахунок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r w:rsidR="006B1F1C" w:rsidRPr="0085706D">
        <w:rPr>
          <w:rStyle w:val="rvts23"/>
          <w:sz w:val="27"/>
          <w:szCs w:val="27"/>
          <w:lang w:val="ru-RU"/>
        </w:rPr>
        <w:t xml:space="preserve">ДФС </w:t>
      </w:r>
      <w:proofErr w:type="spellStart"/>
      <w:r w:rsidRPr="0085706D">
        <w:rPr>
          <w:rStyle w:val="rvts23"/>
          <w:sz w:val="27"/>
          <w:szCs w:val="27"/>
          <w:lang w:val="ru-RU"/>
        </w:rPr>
        <w:t>значень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показників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(</w:t>
      </w:r>
      <w:r w:rsidRPr="0085706D">
        <w:rPr>
          <w:rStyle w:val="rvts23"/>
          <w:sz w:val="27"/>
          <w:szCs w:val="27"/>
          <w:lang w:val="uk-UA"/>
        </w:rPr>
        <w:t>D</w:t>
      </w:r>
      <w:r w:rsidRPr="0085706D">
        <w:rPr>
          <w:rStyle w:val="rvts23"/>
          <w:sz w:val="27"/>
          <w:szCs w:val="27"/>
          <w:lang w:val="ru-RU"/>
        </w:rPr>
        <w:t xml:space="preserve">, </w:t>
      </w:r>
      <w:r w:rsidRPr="0085706D">
        <w:rPr>
          <w:rStyle w:val="rvts23"/>
          <w:sz w:val="27"/>
          <w:szCs w:val="27"/>
          <w:lang w:val="uk-UA"/>
        </w:rPr>
        <w:t>P</w:t>
      </w:r>
      <w:r w:rsidRPr="0085706D">
        <w:rPr>
          <w:rStyle w:val="rvts23"/>
          <w:sz w:val="27"/>
          <w:szCs w:val="27"/>
          <w:lang w:val="ru-RU"/>
        </w:rPr>
        <w:t xml:space="preserve">) та </w:t>
      </w:r>
      <w:proofErr w:type="spellStart"/>
      <w:r w:rsidRPr="0085706D">
        <w:rPr>
          <w:rStyle w:val="rvts23"/>
          <w:sz w:val="27"/>
          <w:szCs w:val="27"/>
          <w:lang w:val="ru-RU"/>
        </w:rPr>
        <w:t>їх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оприлюднення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. </w:t>
      </w:r>
      <w:proofErr w:type="spellStart"/>
      <w:r w:rsidRPr="0085706D">
        <w:rPr>
          <w:rStyle w:val="rvts23"/>
          <w:sz w:val="27"/>
          <w:szCs w:val="27"/>
          <w:lang w:val="ru-RU"/>
        </w:rPr>
        <w:t>Це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дасть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змогу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збільшити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рівень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довіри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між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платником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податків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та </w:t>
      </w:r>
      <w:proofErr w:type="spellStart"/>
      <w:r w:rsidRPr="0085706D">
        <w:rPr>
          <w:rStyle w:val="rvts23"/>
          <w:sz w:val="27"/>
          <w:szCs w:val="27"/>
          <w:lang w:val="ru-RU"/>
        </w:rPr>
        <w:t>контролюючим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органом</w:t>
      </w:r>
      <w:r w:rsidR="006B1F1C" w:rsidRPr="0085706D">
        <w:rPr>
          <w:rStyle w:val="rvts23"/>
          <w:sz w:val="27"/>
          <w:szCs w:val="27"/>
          <w:lang w:val="ru-RU"/>
        </w:rPr>
        <w:t xml:space="preserve">. </w:t>
      </w:r>
      <w:proofErr w:type="spellStart"/>
      <w:r w:rsidR="006B1F1C" w:rsidRPr="0085706D">
        <w:rPr>
          <w:rStyle w:val="rvts23"/>
          <w:sz w:val="27"/>
          <w:szCs w:val="27"/>
          <w:lang w:val="ru-RU"/>
        </w:rPr>
        <w:t>Наявність</w:t>
      </w:r>
      <w:proofErr w:type="spellEnd"/>
      <w:r w:rsidR="006B1F1C"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="006B1F1C" w:rsidRPr="0085706D">
        <w:rPr>
          <w:rStyle w:val="rvts23"/>
          <w:sz w:val="27"/>
          <w:szCs w:val="27"/>
          <w:lang w:val="ru-RU"/>
        </w:rPr>
        <w:t>відповідної</w:t>
      </w:r>
      <w:proofErr w:type="spellEnd"/>
      <w:r w:rsidR="006B1F1C"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="006B1F1C" w:rsidRPr="0085706D">
        <w:rPr>
          <w:rStyle w:val="rvts23"/>
          <w:sz w:val="27"/>
          <w:szCs w:val="27"/>
          <w:lang w:val="ru-RU"/>
        </w:rPr>
        <w:t>інформації</w:t>
      </w:r>
      <w:proofErr w:type="spellEnd"/>
      <w:r w:rsidR="006B1F1C"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матиме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об’єктивний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та </w:t>
      </w:r>
      <w:proofErr w:type="spellStart"/>
      <w:r w:rsidRPr="0085706D">
        <w:rPr>
          <w:rStyle w:val="rvts23"/>
          <w:sz w:val="27"/>
          <w:szCs w:val="27"/>
          <w:lang w:val="ru-RU"/>
        </w:rPr>
        <w:t>неупереджений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економічний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характер для кожного </w:t>
      </w:r>
      <w:proofErr w:type="spellStart"/>
      <w:r w:rsidRPr="0085706D">
        <w:rPr>
          <w:rStyle w:val="rvts23"/>
          <w:sz w:val="27"/>
          <w:szCs w:val="27"/>
          <w:lang w:val="ru-RU"/>
        </w:rPr>
        <w:t>із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суб’єктів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Pr="0085706D">
        <w:rPr>
          <w:rStyle w:val="rvts23"/>
          <w:sz w:val="27"/>
          <w:szCs w:val="27"/>
          <w:lang w:val="ru-RU"/>
        </w:rPr>
        <w:t>господарювання</w:t>
      </w:r>
      <w:proofErr w:type="spellEnd"/>
      <w:r w:rsidR="006B1F1C"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="006B1F1C" w:rsidRPr="0085706D">
        <w:rPr>
          <w:rStyle w:val="rvts23"/>
          <w:sz w:val="27"/>
          <w:szCs w:val="27"/>
          <w:lang w:val="ru-RU"/>
        </w:rPr>
        <w:t>щодо</w:t>
      </w:r>
      <w:proofErr w:type="spellEnd"/>
      <w:r w:rsidR="006B1F1C"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="006B1F1C" w:rsidRPr="0085706D">
        <w:rPr>
          <w:rStyle w:val="rvts23"/>
          <w:sz w:val="27"/>
          <w:szCs w:val="27"/>
          <w:lang w:val="ru-RU"/>
        </w:rPr>
        <w:t>здійснення</w:t>
      </w:r>
      <w:proofErr w:type="spellEnd"/>
      <w:r w:rsidR="006B1F1C"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="006B1F1C" w:rsidRPr="0085706D">
        <w:rPr>
          <w:rStyle w:val="rvts23"/>
          <w:sz w:val="27"/>
          <w:szCs w:val="27"/>
          <w:lang w:val="ru-RU"/>
        </w:rPr>
        <w:t>його</w:t>
      </w:r>
      <w:proofErr w:type="spellEnd"/>
      <w:r w:rsidR="006B1F1C" w:rsidRPr="0085706D">
        <w:rPr>
          <w:rStyle w:val="rvts23"/>
          <w:sz w:val="27"/>
          <w:szCs w:val="27"/>
          <w:lang w:val="ru-RU"/>
        </w:rPr>
        <w:t xml:space="preserve"> </w:t>
      </w:r>
      <w:proofErr w:type="spellStart"/>
      <w:r w:rsidR="006B1F1C" w:rsidRPr="0085706D">
        <w:rPr>
          <w:rStyle w:val="rvts23"/>
          <w:sz w:val="27"/>
          <w:szCs w:val="27"/>
          <w:lang w:val="ru-RU"/>
        </w:rPr>
        <w:t>діяльності</w:t>
      </w:r>
      <w:proofErr w:type="spellEnd"/>
      <w:r w:rsidRPr="0085706D">
        <w:rPr>
          <w:rStyle w:val="rvts23"/>
          <w:sz w:val="27"/>
          <w:szCs w:val="27"/>
          <w:lang w:val="ru-RU"/>
        </w:rPr>
        <w:t xml:space="preserve">. </w:t>
      </w:r>
    </w:p>
    <w:p w:rsidR="009906B6" w:rsidRPr="0085706D" w:rsidRDefault="00FB78FC" w:rsidP="00B3770D">
      <w:pPr>
        <w:spacing w:line="276" w:lineRule="auto"/>
        <w:ind w:left="-284" w:firstLine="709"/>
        <w:jc w:val="both"/>
        <w:rPr>
          <w:rStyle w:val="apple-converted-space"/>
          <w:sz w:val="27"/>
          <w:szCs w:val="27"/>
          <w:shd w:val="clear" w:color="auto" w:fill="FFFFFF"/>
          <w:lang w:val="uk-UA"/>
        </w:rPr>
      </w:pPr>
      <w:r w:rsidRPr="0085706D">
        <w:rPr>
          <w:rStyle w:val="apple-converted-space"/>
          <w:sz w:val="27"/>
          <w:szCs w:val="27"/>
          <w:shd w:val="clear" w:color="auto" w:fill="FFFFFF"/>
          <w:lang w:val="uk-UA"/>
        </w:rPr>
        <w:t>Отже, удосконалення алгоритму системи призупинення реєстрації податкових накладних/розрахунків коригування в ЄРПН</w:t>
      </w:r>
      <w:r w:rsidRPr="0085706D">
        <w:rPr>
          <w:sz w:val="27"/>
          <w:szCs w:val="27"/>
          <w:lang w:val="uk-UA"/>
        </w:rPr>
        <w:t xml:space="preserve"> за рахунок впровадження зазначених в проекті наказу пропозицій дасть змогу </w:t>
      </w:r>
      <w:r w:rsidRPr="0085706D">
        <w:rPr>
          <w:rStyle w:val="apple-converted-space"/>
          <w:sz w:val="27"/>
          <w:szCs w:val="27"/>
          <w:shd w:val="clear" w:color="auto" w:fill="FFFFFF"/>
          <w:lang w:val="uk-UA"/>
        </w:rPr>
        <w:t>забезпечити додержання прав та рівних умов платників податків у разі зупинення реєстрації податкової та накладної / розрахунку коригування в Єдиному реєстрі податкових накладних (далі – ЄРПН).</w:t>
      </w:r>
    </w:p>
    <w:p w:rsidR="00641E5B" w:rsidRPr="0085706D" w:rsidRDefault="00641E5B" w:rsidP="00B3770D">
      <w:pPr>
        <w:ind w:left="-284" w:firstLine="709"/>
        <w:jc w:val="center"/>
        <w:rPr>
          <w:color w:val="000000" w:themeColor="text1"/>
          <w:sz w:val="27"/>
          <w:szCs w:val="27"/>
          <w:lang w:val="uk-UA"/>
        </w:rPr>
      </w:pPr>
      <w:r w:rsidRPr="0085706D">
        <w:rPr>
          <w:color w:val="000000" w:themeColor="text1"/>
          <w:sz w:val="27"/>
          <w:szCs w:val="27"/>
          <w:lang w:val="uk-UA"/>
        </w:rPr>
        <w:t>Основні групи (підгрупи), на які проблема має вплив:</w:t>
      </w:r>
    </w:p>
    <w:tbl>
      <w:tblPr>
        <w:tblW w:w="4298" w:type="pct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1276"/>
        <w:gridCol w:w="1221"/>
      </w:tblGrid>
      <w:tr w:rsidR="0090157D" w:rsidRPr="0090157D" w:rsidTr="00EC0ED2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Групи (підгрупи)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Ні</w:t>
            </w:r>
          </w:p>
        </w:tc>
      </w:tr>
      <w:tr w:rsidR="0090157D" w:rsidRPr="0090157D" w:rsidTr="00EC0ED2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Громадяни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85706D" w:rsidRDefault="00CD7FB5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+</w:t>
            </w:r>
          </w:p>
        </w:tc>
      </w:tr>
      <w:tr w:rsidR="0090157D" w:rsidRPr="0090157D" w:rsidTr="00EC0ED2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Держава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CD7FB5" w:rsidP="00CD7FB5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</w:tr>
      <w:tr w:rsidR="0090157D" w:rsidRPr="0090157D" w:rsidTr="00EC0ED2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Суб’єкти господарювання,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85706D" w:rsidRDefault="00C16579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CD7FB5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</w:tr>
      <w:tr w:rsidR="0090157D" w:rsidRPr="0090157D" w:rsidTr="00EC0ED2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85706D" w:rsidRDefault="00BB6D06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BB6D06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</w:tr>
    </w:tbl>
    <w:p w:rsidR="00641E5B" w:rsidRPr="0085706D" w:rsidRDefault="00641E5B" w:rsidP="00B3770D">
      <w:pPr>
        <w:pStyle w:val="a3"/>
        <w:spacing w:before="0" w:beforeAutospacing="0" w:after="0" w:afterAutospacing="0"/>
        <w:ind w:left="-426" w:firstLine="720"/>
        <w:jc w:val="both"/>
        <w:rPr>
          <w:color w:val="000000" w:themeColor="text1"/>
          <w:sz w:val="27"/>
          <w:szCs w:val="27"/>
          <w:lang w:val="uk-UA"/>
        </w:rPr>
      </w:pPr>
      <w:r w:rsidRPr="0085706D">
        <w:rPr>
          <w:color w:val="000000" w:themeColor="text1"/>
          <w:sz w:val="27"/>
          <w:szCs w:val="27"/>
          <w:lang w:val="uk-UA"/>
        </w:rPr>
        <w:t>Врегулювання зазначених проблемних питань не може бути здійснено за допомогою:</w:t>
      </w:r>
    </w:p>
    <w:p w:rsidR="00641E5B" w:rsidRPr="0085706D" w:rsidRDefault="00641E5B" w:rsidP="00B3770D">
      <w:pPr>
        <w:pStyle w:val="a3"/>
        <w:spacing w:before="0" w:beforeAutospacing="0" w:after="0" w:afterAutospacing="0"/>
        <w:ind w:left="-426" w:firstLine="720"/>
        <w:jc w:val="both"/>
        <w:rPr>
          <w:color w:val="000000" w:themeColor="text1"/>
          <w:sz w:val="27"/>
          <w:szCs w:val="27"/>
          <w:lang w:val="uk-UA"/>
        </w:rPr>
      </w:pPr>
      <w:r w:rsidRPr="0085706D">
        <w:rPr>
          <w:color w:val="000000" w:themeColor="text1"/>
          <w:sz w:val="27"/>
          <w:szCs w:val="27"/>
          <w:lang w:val="uk-UA"/>
        </w:rPr>
        <w:t>ринкових механізмів, оскільки такі питання регулюються виключно нормативно-правовими актами;</w:t>
      </w:r>
    </w:p>
    <w:p w:rsidR="00641E5B" w:rsidRPr="0085706D" w:rsidRDefault="00641E5B" w:rsidP="00B3770D">
      <w:pPr>
        <w:pStyle w:val="a3"/>
        <w:spacing w:before="0" w:beforeAutospacing="0" w:after="0" w:afterAutospacing="0"/>
        <w:ind w:left="-426" w:firstLine="720"/>
        <w:jc w:val="both"/>
        <w:rPr>
          <w:color w:val="000000" w:themeColor="text1"/>
          <w:sz w:val="27"/>
          <w:szCs w:val="27"/>
          <w:lang w:val="uk-UA"/>
        </w:rPr>
      </w:pPr>
      <w:r w:rsidRPr="0085706D">
        <w:rPr>
          <w:color w:val="000000" w:themeColor="text1"/>
          <w:sz w:val="27"/>
          <w:szCs w:val="27"/>
          <w:lang w:val="uk-UA"/>
        </w:rPr>
        <w:t>діючих регуляторних актів, оскільки такі регуляторні акти відсутні.</w:t>
      </w:r>
    </w:p>
    <w:p w:rsidR="00997C17" w:rsidRPr="0085706D" w:rsidRDefault="00641E5B" w:rsidP="00B3770D">
      <w:pPr>
        <w:pStyle w:val="3"/>
        <w:spacing w:before="240" w:beforeAutospacing="0" w:after="0" w:afterAutospacing="0"/>
        <w:ind w:left="-426"/>
        <w:jc w:val="center"/>
        <w:rPr>
          <w:rFonts w:eastAsia="Times New Roman"/>
          <w:color w:val="000000" w:themeColor="text1"/>
          <w:lang w:val="uk-UA"/>
        </w:rPr>
      </w:pPr>
      <w:r w:rsidRPr="0085706D">
        <w:rPr>
          <w:rFonts w:eastAsia="Times New Roman"/>
          <w:color w:val="000000" w:themeColor="text1"/>
          <w:lang w:val="uk-UA"/>
        </w:rPr>
        <w:t>II. Цілі державного регулювання</w:t>
      </w:r>
    </w:p>
    <w:p w:rsidR="00EB63AD" w:rsidRPr="0085706D" w:rsidRDefault="00C659B9" w:rsidP="00B3770D">
      <w:pPr>
        <w:pStyle w:val="a30"/>
        <w:ind w:left="-426" w:firstLine="720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>Ціл</w:t>
      </w:r>
      <w:r w:rsidR="000343CC"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>ями</w:t>
      </w:r>
      <w:r w:rsidR="00641E5B"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ви</w:t>
      </w:r>
      <w:r w:rsidR="00FF5716"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>дання зазначеного проекту</w:t>
      </w:r>
      <w:r w:rsidR="00304405"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наказу</w:t>
      </w:r>
      <w:r w:rsidR="00913A05"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r w:rsidR="00751913"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є </w:t>
      </w:r>
      <w:r w:rsidR="00F27AC7"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стабільність та довіра платників податків до контролюючого органу, </w:t>
      </w:r>
      <w:r w:rsidR="000E0F17"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>удосконалення Критеріїв</w:t>
      </w:r>
      <w:r w:rsidR="00913A05"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, </w:t>
      </w:r>
      <w:r w:rsidR="00DD6468"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>порядку</w:t>
      </w:r>
      <w:r w:rsidR="000E0F17"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розгляду </w:t>
      </w:r>
      <w:r w:rsidR="00913A05"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та врахування </w:t>
      </w:r>
      <w:r w:rsidR="000E0F17" w:rsidRPr="0085706D">
        <w:rPr>
          <w:rFonts w:ascii="Times New Roman" w:hAnsi="Times New Roman"/>
          <w:color w:val="000000" w:themeColor="text1"/>
          <w:sz w:val="27"/>
          <w:szCs w:val="27"/>
          <w:lang w:val="uk-UA"/>
        </w:rPr>
        <w:t>Таблиць.</w:t>
      </w:r>
    </w:p>
    <w:p w:rsidR="00997C17" w:rsidRPr="0085706D" w:rsidRDefault="00641E5B" w:rsidP="00B3770D">
      <w:pPr>
        <w:pStyle w:val="3"/>
        <w:spacing w:before="240" w:beforeAutospacing="0" w:after="0" w:afterAutospacing="0"/>
        <w:ind w:left="-426"/>
        <w:jc w:val="center"/>
        <w:rPr>
          <w:rFonts w:eastAsia="Times New Roman"/>
          <w:color w:val="000000" w:themeColor="text1"/>
          <w:lang w:val="uk-UA"/>
        </w:rPr>
      </w:pPr>
      <w:r w:rsidRPr="0085706D">
        <w:rPr>
          <w:rFonts w:eastAsia="Times New Roman"/>
          <w:color w:val="000000" w:themeColor="text1"/>
          <w:lang w:val="uk-UA"/>
        </w:rPr>
        <w:t>III. Визначення та оцінка альтернативних способів досягнення цілей</w:t>
      </w:r>
    </w:p>
    <w:p w:rsidR="00F54D4A" w:rsidRPr="0085706D" w:rsidRDefault="009E307B" w:rsidP="00B3770D">
      <w:pPr>
        <w:ind w:left="-426" w:firstLine="720"/>
        <w:jc w:val="both"/>
        <w:rPr>
          <w:color w:val="000000" w:themeColor="text1"/>
          <w:sz w:val="27"/>
          <w:szCs w:val="27"/>
          <w:lang w:val="uk-UA"/>
        </w:rPr>
      </w:pPr>
      <w:r w:rsidRPr="0085706D">
        <w:rPr>
          <w:bCs/>
          <w:color w:val="000000" w:themeColor="text1"/>
          <w:sz w:val="27"/>
          <w:szCs w:val="27"/>
          <w:lang w:val="uk-UA"/>
        </w:rPr>
        <w:lastRenderedPageBreak/>
        <w:t>Першою альтернати</w:t>
      </w:r>
      <w:r w:rsidR="00F54D4A" w:rsidRPr="0085706D">
        <w:rPr>
          <w:bCs/>
          <w:color w:val="000000" w:themeColor="text1"/>
          <w:sz w:val="27"/>
          <w:szCs w:val="27"/>
          <w:lang w:val="uk-UA"/>
        </w:rPr>
        <w:t>вою є внесення змін</w:t>
      </w:r>
      <w:r w:rsidR="00DD6468" w:rsidRPr="0085706D">
        <w:rPr>
          <w:bCs/>
          <w:color w:val="000000" w:themeColor="text1"/>
          <w:sz w:val="27"/>
          <w:szCs w:val="27"/>
          <w:lang w:val="uk-UA"/>
        </w:rPr>
        <w:t xml:space="preserve"> до н</w:t>
      </w:r>
      <w:r w:rsidR="00006756" w:rsidRPr="0085706D">
        <w:rPr>
          <w:bCs/>
          <w:color w:val="000000" w:themeColor="text1"/>
          <w:sz w:val="27"/>
          <w:szCs w:val="27"/>
          <w:lang w:val="uk-UA"/>
        </w:rPr>
        <w:t>аказу</w:t>
      </w:r>
      <w:r w:rsidR="00783418" w:rsidRPr="0085706D">
        <w:rPr>
          <w:bCs/>
          <w:color w:val="000000" w:themeColor="text1"/>
          <w:sz w:val="27"/>
          <w:szCs w:val="27"/>
          <w:lang w:val="uk-UA"/>
        </w:rPr>
        <w:t>,</w:t>
      </w:r>
      <w:r w:rsidR="000E0F17" w:rsidRPr="0085706D">
        <w:rPr>
          <w:bCs/>
          <w:color w:val="000000" w:themeColor="text1"/>
          <w:sz w:val="27"/>
          <w:szCs w:val="27"/>
          <w:lang w:val="uk-UA"/>
        </w:rPr>
        <w:t xml:space="preserve"> </w:t>
      </w:r>
      <w:r w:rsidR="00010B07" w:rsidRPr="0085706D">
        <w:rPr>
          <w:bCs/>
          <w:color w:val="000000" w:themeColor="text1"/>
          <w:sz w:val="27"/>
          <w:szCs w:val="27"/>
          <w:lang w:val="uk-UA"/>
        </w:rPr>
        <w:t xml:space="preserve">а саме визначення альтернатив вирішення питань щодо </w:t>
      </w:r>
      <w:r w:rsidR="000E0F17" w:rsidRPr="0085706D">
        <w:rPr>
          <w:bCs/>
          <w:color w:val="000000" w:themeColor="text1"/>
          <w:sz w:val="27"/>
          <w:szCs w:val="27"/>
          <w:lang w:val="uk-UA"/>
        </w:rPr>
        <w:t>удосконалення</w:t>
      </w:r>
      <w:r w:rsidR="00010B07" w:rsidRPr="0085706D">
        <w:rPr>
          <w:bCs/>
          <w:color w:val="000000" w:themeColor="text1"/>
          <w:sz w:val="27"/>
          <w:szCs w:val="27"/>
          <w:lang w:val="uk-UA"/>
        </w:rPr>
        <w:t xml:space="preserve"> Критеріїв, </w:t>
      </w:r>
      <w:r w:rsidR="00913A05" w:rsidRPr="0085706D">
        <w:rPr>
          <w:color w:val="000000" w:themeColor="text1"/>
          <w:sz w:val="27"/>
          <w:szCs w:val="27"/>
          <w:lang w:val="uk-UA"/>
        </w:rPr>
        <w:t>встановлення взаємозв’язку допустимого значення частки ризикових груп товарів платника відповідно до суми сплачених ним податків,</w:t>
      </w:r>
      <w:r w:rsidR="00913A05" w:rsidRPr="0085706D">
        <w:rPr>
          <w:bCs/>
          <w:color w:val="000000" w:themeColor="text1"/>
          <w:sz w:val="27"/>
          <w:szCs w:val="27"/>
          <w:lang w:val="uk-UA"/>
        </w:rPr>
        <w:t xml:space="preserve"> </w:t>
      </w:r>
      <w:r w:rsidR="00010B07" w:rsidRPr="0085706D">
        <w:rPr>
          <w:bCs/>
          <w:color w:val="000000" w:themeColor="text1"/>
          <w:sz w:val="27"/>
          <w:szCs w:val="27"/>
          <w:lang w:val="uk-UA"/>
        </w:rPr>
        <w:t>та</w:t>
      </w:r>
      <w:r w:rsidR="00E77425" w:rsidRPr="0085706D">
        <w:rPr>
          <w:color w:val="000000" w:themeColor="text1"/>
          <w:sz w:val="27"/>
          <w:szCs w:val="27"/>
          <w:lang w:val="uk-UA"/>
        </w:rPr>
        <w:t xml:space="preserve"> порядку </w:t>
      </w:r>
      <w:r w:rsidR="00913A05" w:rsidRPr="0085706D">
        <w:rPr>
          <w:color w:val="000000" w:themeColor="text1"/>
          <w:sz w:val="27"/>
          <w:szCs w:val="27"/>
          <w:lang w:val="uk-UA"/>
        </w:rPr>
        <w:t>розгляду та врахування Таблиць</w:t>
      </w:r>
      <w:r w:rsidR="00E77425" w:rsidRPr="0085706D">
        <w:rPr>
          <w:color w:val="000000" w:themeColor="text1"/>
          <w:sz w:val="27"/>
          <w:szCs w:val="27"/>
          <w:lang w:val="uk-UA"/>
        </w:rPr>
        <w:t>.</w:t>
      </w:r>
    </w:p>
    <w:p w:rsidR="00442200" w:rsidRPr="0085706D" w:rsidRDefault="00442200" w:rsidP="00B3770D">
      <w:pPr>
        <w:ind w:left="-426" w:firstLine="720"/>
        <w:jc w:val="both"/>
        <w:rPr>
          <w:color w:val="000000" w:themeColor="text1"/>
          <w:sz w:val="27"/>
          <w:szCs w:val="27"/>
          <w:lang w:val="uk-UA"/>
        </w:rPr>
      </w:pPr>
      <w:r w:rsidRPr="0085706D">
        <w:rPr>
          <w:color w:val="000000" w:themeColor="text1"/>
          <w:sz w:val="27"/>
          <w:szCs w:val="27"/>
          <w:lang w:val="uk-UA"/>
        </w:rPr>
        <w:t xml:space="preserve">Другою альтернативою є залишення </w:t>
      </w:r>
      <w:r w:rsidR="00DD6468" w:rsidRPr="0085706D">
        <w:rPr>
          <w:color w:val="000000" w:themeColor="text1"/>
          <w:sz w:val="27"/>
          <w:szCs w:val="27"/>
          <w:lang w:val="uk-UA"/>
        </w:rPr>
        <w:t>н</w:t>
      </w:r>
      <w:r w:rsidR="00006756" w:rsidRPr="0085706D">
        <w:rPr>
          <w:color w:val="000000" w:themeColor="text1"/>
          <w:sz w:val="27"/>
          <w:szCs w:val="27"/>
          <w:lang w:val="uk-UA"/>
        </w:rPr>
        <w:t>аказу</w:t>
      </w:r>
      <w:r w:rsidRPr="0085706D">
        <w:rPr>
          <w:color w:val="000000" w:themeColor="text1"/>
          <w:sz w:val="27"/>
          <w:szCs w:val="27"/>
          <w:lang w:val="uk-UA"/>
        </w:rPr>
        <w:t xml:space="preserve"> без змін. </w:t>
      </w:r>
    </w:p>
    <w:p w:rsidR="00641E5B" w:rsidRPr="0085706D" w:rsidRDefault="00641E5B" w:rsidP="00B3770D">
      <w:pPr>
        <w:pStyle w:val="a3"/>
        <w:spacing w:before="120" w:beforeAutospacing="0" w:after="0" w:afterAutospacing="0"/>
        <w:ind w:left="-426" w:firstLine="720"/>
        <w:jc w:val="both"/>
        <w:rPr>
          <w:color w:val="000000" w:themeColor="text1"/>
          <w:sz w:val="27"/>
          <w:szCs w:val="27"/>
          <w:lang w:val="uk-UA"/>
        </w:rPr>
      </w:pPr>
      <w:r w:rsidRPr="0085706D">
        <w:rPr>
          <w:color w:val="000000" w:themeColor="text1"/>
          <w:sz w:val="27"/>
          <w:szCs w:val="27"/>
          <w:lang w:val="uk-UA"/>
        </w:rPr>
        <w:t>1. Альтернативні способи досягнення цілей державного регулювання:</w:t>
      </w: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988"/>
      </w:tblGrid>
      <w:tr w:rsidR="0090157D" w:rsidRPr="0090157D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Вид альтернативи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Опис альтернативи</w:t>
            </w:r>
          </w:p>
        </w:tc>
      </w:tr>
      <w:tr w:rsidR="0090157D" w:rsidRPr="0090157D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ind w:right="-68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Альтернатива 1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A0F10" w:rsidP="0074227E">
            <w:pPr>
              <w:ind w:firstLine="29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Внести</w:t>
            </w:r>
            <w:proofErr w:type="spellEnd"/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 зміни до </w:t>
            </w:r>
            <w:r w:rsidR="00DD6468" w:rsidRPr="0085706D">
              <w:rPr>
                <w:color w:val="000000" w:themeColor="text1"/>
                <w:sz w:val="22"/>
                <w:szCs w:val="22"/>
                <w:lang w:val="uk-UA"/>
              </w:rPr>
              <w:t>н</w:t>
            </w: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аказу</w:t>
            </w:r>
          </w:p>
        </w:tc>
      </w:tr>
      <w:tr w:rsidR="0090157D" w:rsidRPr="0090157D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ind w:right="-67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Альтернатива 2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 w:rsidP="006A0F10">
            <w:pPr>
              <w:pStyle w:val="a3"/>
              <w:spacing w:before="0" w:beforeAutospacing="0" w:after="0" w:afterAutospacing="0"/>
              <w:ind w:firstLine="29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Залишити </w:t>
            </w:r>
            <w:r w:rsidR="00DD6468" w:rsidRPr="0085706D">
              <w:rPr>
                <w:color w:val="000000" w:themeColor="text1"/>
                <w:sz w:val="22"/>
                <w:szCs w:val="22"/>
                <w:lang w:val="uk-UA"/>
              </w:rPr>
              <w:t>н</w:t>
            </w:r>
            <w:r w:rsidR="00006756" w:rsidRPr="0085706D">
              <w:rPr>
                <w:color w:val="000000" w:themeColor="text1"/>
                <w:sz w:val="22"/>
                <w:szCs w:val="22"/>
                <w:lang w:val="uk-UA"/>
              </w:rPr>
              <w:t>аказ</w:t>
            </w: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 без змін</w:t>
            </w:r>
          </w:p>
        </w:tc>
      </w:tr>
    </w:tbl>
    <w:p w:rsidR="00641E5B" w:rsidRPr="0090157D" w:rsidRDefault="00641E5B" w:rsidP="00641E5B">
      <w:pPr>
        <w:pStyle w:val="a3"/>
        <w:spacing w:before="240" w:beforeAutospacing="0" w:after="6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2. Оцінка впливу на сферу інтересів держави</w:t>
      </w: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4643"/>
        <w:gridCol w:w="3367"/>
      </w:tblGrid>
      <w:tr w:rsidR="0090157D" w:rsidRPr="0090157D" w:rsidTr="002F30C0">
        <w:trPr>
          <w:tblCellSpacing w:w="30" w:type="dxa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Вид альтернативи</w:t>
            </w:r>
          </w:p>
        </w:tc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Вигоди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Витрати</w:t>
            </w:r>
          </w:p>
        </w:tc>
      </w:tr>
      <w:tr w:rsidR="0090157D" w:rsidRPr="00156CA8" w:rsidTr="002F30C0">
        <w:trPr>
          <w:tblCellSpacing w:w="30" w:type="dxa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Альтернатива 1</w:t>
            </w:r>
          </w:p>
        </w:tc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1E8" w:rsidRPr="0085706D" w:rsidRDefault="00913A05" w:rsidP="0074227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Удосконалення </w:t>
            </w:r>
            <w:r w:rsidR="00476AD4" w:rsidRPr="0085706D">
              <w:rPr>
                <w:color w:val="000000" w:themeColor="text1"/>
                <w:sz w:val="22"/>
                <w:szCs w:val="22"/>
                <w:lang w:val="uk-UA"/>
              </w:rPr>
              <w:t>К</w:t>
            </w:r>
            <w:r w:rsidR="0074227E" w:rsidRPr="0085706D">
              <w:rPr>
                <w:color w:val="000000" w:themeColor="text1"/>
                <w:sz w:val="22"/>
                <w:szCs w:val="22"/>
                <w:lang w:val="uk-UA"/>
              </w:rPr>
              <w:t>ритеріїв,</w:t>
            </w:r>
            <w:r w:rsidR="00476AD4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 що </w:t>
            </w:r>
            <w:r w:rsidR="00E671E8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в свою чергу стане запорукою довіри платників податків до контролюючого органу </w:t>
            </w:r>
          </w:p>
          <w:p w:rsidR="0074227E" w:rsidRPr="0085706D" w:rsidRDefault="00E671E8" w:rsidP="00C63C3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Уникнення непорозумінь з боку платників податків та контролюючого органу щодо </w:t>
            </w:r>
            <w:r w:rsidR="00913A05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порядку розгляду та врахування Таблиць, що </w:t>
            </w:r>
            <w:r w:rsidR="00476AD4" w:rsidRPr="0085706D">
              <w:rPr>
                <w:color w:val="000000" w:themeColor="text1"/>
                <w:sz w:val="22"/>
                <w:szCs w:val="22"/>
                <w:lang w:val="uk-UA"/>
              </w:rPr>
              <w:t>призведе до зменш</w:t>
            </w:r>
            <w:r w:rsidR="0074227E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ення часу </w:t>
            </w:r>
            <w:r w:rsidR="00476AD4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щодо </w:t>
            </w:r>
            <w:r w:rsidR="00C63C3E" w:rsidRPr="0085706D">
              <w:rPr>
                <w:color w:val="000000" w:themeColor="text1"/>
                <w:sz w:val="22"/>
                <w:szCs w:val="22"/>
                <w:lang w:val="uk-UA"/>
              </w:rPr>
              <w:t>врахування</w:t>
            </w:r>
            <w:r w:rsidR="00913A05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 поданих карт</w:t>
            </w:r>
            <w:r w:rsidR="00C63C3E" w:rsidRPr="0085706D">
              <w:rPr>
                <w:color w:val="000000" w:themeColor="text1"/>
                <w:sz w:val="22"/>
                <w:szCs w:val="22"/>
                <w:lang w:val="uk-UA"/>
              </w:rPr>
              <w:t>о</w:t>
            </w:r>
            <w:r w:rsidR="00913A05" w:rsidRPr="0085706D">
              <w:rPr>
                <w:color w:val="000000" w:themeColor="text1"/>
                <w:sz w:val="22"/>
                <w:szCs w:val="22"/>
                <w:lang w:val="uk-UA"/>
              </w:rPr>
              <w:t>к</w:t>
            </w: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2D63" w:rsidRPr="0085706D" w:rsidRDefault="00641E5B" w:rsidP="00D16097">
            <w:pPr>
              <w:spacing w:before="100" w:beforeAutospacing="1" w:after="100" w:afterAutospacing="1"/>
              <w:ind w:hanging="7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Витрати відсутні</w:t>
            </w:r>
            <w:r w:rsidR="003F2D63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. </w:t>
            </w:r>
          </w:p>
        </w:tc>
      </w:tr>
      <w:tr w:rsidR="0090157D" w:rsidRPr="00D27371" w:rsidTr="002F30C0">
        <w:trPr>
          <w:tblCellSpacing w:w="30" w:type="dxa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Альтернатива 2</w:t>
            </w:r>
          </w:p>
        </w:tc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C611EF" w:rsidP="00E07697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Відсутні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C3E" w:rsidRPr="0085706D" w:rsidRDefault="00C63C3E" w:rsidP="00C63C3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Фіксований відсоток ризикового товару </w:t>
            </w:r>
            <w:r w:rsidR="00476AD4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збільшить </w:t>
            </w: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випадки маніпуляції даним показником несумлінними платниками податку при реєстрації </w:t>
            </w:r>
          </w:p>
          <w:p w:rsidR="00C63C3E" w:rsidRPr="0085706D" w:rsidRDefault="00C63C3E" w:rsidP="00C63C3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ризикових податкових накладних платників податків.</w:t>
            </w:r>
          </w:p>
          <w:p w:rsidR="00476AD4" w:rsidRPr="0085706D" w:rsidRDefault="00C63C3E" w:rsidP="00C63C3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Всі Таблиці даних платника податків розглядатимуться Комісією ДФС</w:t>
            </w:r>
          </w:p>
        </w:tc>
      </w:tr>
    </w:tbl>
    <w:p w:rsidR="0072457F" w:rsidRPr="0085706D" w:rsidRDefault="00641E5B" w:rsidP="00B3770D">
      <w:pPr>
        <w:pStyle w:val="a3"/>
        <w:spacing w:before="120" w:beforeAutospacing="0" w:after="60" w:afterAutospacing="0"/>
        <w:ind w:left="-142" w:firstLine="862"/>
        <w:jc w:val="both"/>
        <w:rPr>
          <w:color w:val="000000" w:themeColor="text1"/>
          <w:sz w:val="27"/>
          <w:szCs w:val="27"/>
          <w:lang w:val="uk-UA"/>
        </w:rPr>
      </w:pPr>
      <w:r w:rsidRPr="0085706D">
        <w:rPr>
          <w:color w:val="000000" w:themeColor="text1"/>
          <w:sz w:val="27"/>
          <w:szCs w:val="27"/>
          <w:lang w:val="uk-UA"/>
        </w:rPr>
        <w:t xml:space="preserve">3. </w:t>
      </w:r>
      <w:r w:rsidR="000E2E17" w:rsidRPr="0085706D">
        <w:rPr>
          <w:color w:val="000000" w:themeColor="text1"/>
          <w:sz w:val="27"/>
          <w:szCs w:val="27"/>
          <w:lang w:val="uk-UA"/>
        </w:rPr>
        <w:t xml:space="preserve">Проект не впливає на </w:t>
      </w:r>
      <w:r w:rsidRPr="0085706D">
        <w:rPr>
          <w:color w:val="000000" w:themeColor="text1"/>
          <w:sz w:val="27"/>
          <w:szCs w:val="27"/>
          <w:lang w:val="uk-UA"/>
        </w:rPr>
        <w:t>сферу інтересів громадян</w:t>
      </w:r>
      <w:r w:rsidR="0072457F" w:rsidRPr="0085706D">
        <w:rPr>
          <w:color w:val="000000" w:themeColor="text1"/>
          <w:sz w:val="27"/>
          <w:szCs w:val="27"/>
          <w:lang w:val="uk-UA"/>
        </w:rPr>
        <w:t>.</w:t>
      </w:r>
    </w:p>
    <w:p w:rsidR="0072457F" w:rsidRPr="0085706D" w:rsidRDefault="0072457F" w:rsidP="00B3770D">
      <w:pPr>
        <w:pStyle w:val="a3"/>
        <w:spacing w:before="120" w:beforeAutospacing="0" w:after="60" w:afterAutospacing="0"/>
        <w:ind w:left="-142" w:firstLine="862"/>
        <w:jc w:val="both"/>
        <w:rPr>
          <w:color w:val="000000" w:themeColor="text1"/>
          <w:sz w:val="27"/>
          <w:szCs w:val="27"/>
          <w:lang w:val="uk-UA"/>
        </w:rPr>
      </w:pPr>
      <w:r w:rsidRPr="0085706D">
        <w:rPr>
          <w:color w:val="000000" w:themeColor="text1"/>
          <w:sz w:val="27"/>
          <w:szCs w:val="27"/>
          <w:lang w:val="uk-UA"/>
        </w:rPr>
        <w:t>4. Оцінка впливу на сферу інтересів суб’єктів господарювання</w:t>
      </w:r>
    </w:p>
    <w:p w:rsidR="00B4010A" w:rsidRPr="0090157D" w:rsidRDefault="00FC095F" w:rsidP="00B4010A">
      <w:pPr>
        <w:pStyle w:val="a3"/>
        <w:ind w:left="7920"/>
        <w:jc w:val="both"/>
        <w:rPr>
          <w:b/>
          <w:color w:val="000000" w:themeColor="text1"/>
          <w:sz w:val="20"/>
          <w:szCs w:val="20"/>
          <w:lang w:val="uk-UA"/>
        </w:rPr>
      </w:pPr>
      <w:r w:rsidRPr="0090157D">
        <w:rPr>
          <w:b/>
          <w:color w:val="000000" w:themeColor="text1"/>
          <w:sz w:val="20"/>
          <w:szCs w:val="20"/>
          <w:lang w:val="uk-UA"/>
        </w:rPr>
        <w:t>Станом на</w:t>
      </w:r>
      <w:r w:rsidR="00826694">
        <w:rPr>
          <w:b/>
          <w:color w:val="000000" w:themeColor="text1"/>
          <w:sz w:val="20"/>
          <w:szCs w:val="20"/>
          <w:lang w:val="uk-UA"/>
        </w:rPr>
        <w:t xml:space="preserve"> 26</w:t>
      </w:r>
      <w:r w:rsidRPr="0090157D">
        <w:rPr>
          <w:b/>
          <w:color w:val="000000" w:themeColor="text1"/>
          <w:sz w:val="20"/>
          <w:szCs w:val="20"/>
          <w:lang w:val="uk-UA"/>
        </w:rPr>
        <w:t>.</w:t>
      </w:r>
      <w:r w:rsidR="00826694">
        <w:rPr>
          <w:b/>
          <w:color w:val="000000" w:themeColor="text1"/>
          <w:sz w:val="20"/>
          <w:szCs w:val="20"/>
          <w:lang w:val="uk-UA"/>
        </w:rPr>
        <w:t>10</w:t>
      </w:r>
      <w:r w:rsidR="00B4010A" w:rsidRPr="0090157D">
        <w:rPr>
          <w:b/>
          <w:color w:val="000000" w:themeColor="text1"/>
          <w:sz w:val="20"/>
          <w:szCs w:val="20"/>
          <w:lang w:val="uk-UA"/>
        </w:rPr>
        <w:t>.2017</w:t>
      </w:r>
    </w:p>
    <w:tbl>
      <w:tblPr>
        <w:tblW w:w="1030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7"/>
        <w:gridCol w:w="2293"/>
        <w:gridCol w:w="1843"/>
        <w:gridCol w:w="2818"/>
      </w:tblGrid>
      <w:tr w:rsidR="0090157D" w:rsidRPr="0090157D" w:rsidTr="0085706D">
        <w:trPr>
          <w:trHeight w:val="359"/>
          <w:tblCellSpacing w:w="20" w:type="dxa"/>
          <w:jc w:val="center"/>
        </w:trPr>
        <w:tc>
          <w:tcPr>
            <w:tcW w:w="3287" w:type="dxa"/>
            <w:shd w:val="clear" w:color="auto" w:fill="auto"/>
          </w:tcPr>
          <w:p w:rsidR="00E836B2" w:rsidRPr="0085706D" w:rsidRDefault="00E836B2" w:rsidP="0010784F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Показник</w:t>
            </w:r>
          </w:p>
        </w:tc>
        <w:tc>
          <w:tcPr>
            <w:tcW w:w="2253" w:type="dxa"/>
          </w:tcPr>
          <w:p w:rsidR="00E836B2" w:rsidRPr="0085706D" w:rsidRDefault="00E836B2" w:rsidP="0010784F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Юридичні особи</w:t>
            </w:r>
          </w:p>
        </w:tc>
        <w:tc>
          <w:tcPr>
            <w:tcW w:w="1803" w:type="dxa"/>
            <w:shd w:val="clear" w:color="auto" w:fill="auto"/>
          </w:tcPr>
          <w:p w:rsidR="00E836B2" w:rsidRPr="0085706D" w:rsidRDefault="00E836B2" w:rsidP="0010784F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Фізичні особи </w:t>
            </w:r>
          </w:p>
        </w:tc>
        <w:tc>
          <w:tcPr>
            <w:tcW w:w="2758" w:type="dxa"/>
            <w:shd w:val="clear" w:color="auto" w:fill="auto"/>
          </w:tcPr>
          <w:p w:rsidR="00E836B2" w:rsidRPr="0085706D" w:rsidRDefault="00E836B2" w:rsidP="0010784F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Разом</w:t>
            </w:r>
          </w:p>
        </w:tc>
      </w:tr>
      <w:tr w:rsidR="0090157D" w:rsidRPr="0090157D" w:rsidTr="0085706D">
        <w:trPr>
          <w:trHeight w:val="816"/>
          <w:tblCellSpacing w:w="20" w:type="dxa"/>
          <w:jc w:val="center"/>
        </w:trPr>
        <w:tc>
          <w:tcPr>
            <w:tcW w:w="3287" w:type="dxa"/>
            <w:shd w:val="clear" w:color="auto" w:fill="auto"/>
          </w:tcPr>
          <w:p w:rsidR="00E836B2" w:rsidRPr="0085706D" w:rsidRDefault="00E836B2" w:rsidP="000343CC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суб</w:t>
            </w:r>
            <w:r w:rsidR="000343CC" w:rsidRPr="0085706D">
              <w:rPr>
                <w:color w:val="000000" w:themeColor="text1"/>
                <w:sz w:val="22"/>
                <w:szCs w:val="22"/>
                <w:lang w:val="uk-UA"/>
              </w:rPr>
              <w:t>ʼ</w:t>
            </w: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єктів</w:t>
            </w:r>
            <w:proofErr w:type="spellEnd"/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 господарювання, що підпадають під дію регулювання, одиниць</w:t>
            </w:r>
          </w:p>
        </w:tc>
        <w:tc>
          <w:tcPr>
            <w:tcW w:w="2253" w:type="dxa"/>
          </w:tcPr>
          <w:p w:rsidR="00E836B2" w:rsidRPr="0085706D" w:rsidRDefault="00E836B2" w:rsidP="00F675A8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E836B2" w:rsidRPr="0085706D" w:rsidRDefault="007619AF" w:rsidP="0040686D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229 181</w:t>
            </w:r>
          </w:p>
        </w:tc>
        <w:tc>
          <w:tcPr>
            <w:tcW w:w="1803" w:type="dxa"/>
            <w:shd w:val="clear" w:color="auto" w:fill="auto"/>
          </w:tcPr>
          <w:p w:rsidR="00E836B2" w:rsidRPr="0085706D" w:rsidRDefault="00E836B2" w:rsidP="00F675A8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E836B2" w:rsidRPr="0085706D" w:rsidRDefault="007619AF" w:rsidP="0040686D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19 335</w:t>
            </w:r>
          </w:p>
        </w:tc>
        <w:tc>
          <w:tcPr>
            <w:tcW w:w="2758" w:type="dxa"/>
            <w:shd w:val="clear" w:color="auto" w:fill="auto"/>
          </w:tcPr>
          <w:p w:rsidR="00E836B2" w:rsidRPr="0085706D" w:rsidRDefault="00E836B2" w:rsidP="00F675A8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E836B2" w:rsidRPr="0085706D" w:rsidRDefault="007619AF" w:rsidP="0040686D">
            <w:pPr>
              <w:pStyle w:val="a3"/>
              <w:jc w:val="center"/>
              <w:rPr>
                <w:color w:val="000000" w:themeColor="text1"/>
                <w:sz w:val="22"/>
                <w:szCs w:val="22"/>
                <w:vertAlign w:val="superscript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248 516</w:t>
            </w:r>
          </w:p>
        </w:tc>
      </w:tr>
      <w:tr w:rsidR="0090157D" w:rsidRPr="0090157D" w:rsidTr="0085706D">
        <w:trPr>
          <w:trHeight w:val="432"/>
          <w:tblCellSpacing w:w="20" w:type="dxa"/>
          <w:jc w:val="center"/>
        </w:trPr>
        <w:tc>
          <w:tcPr>
            <w:tcW w:w="3287" w:type="dxa"/>
            <w:shd w:val="clear" w:color="auto" w:fill="auto"/>
          </w:tcPr>
          <w:p w:rsidR="00E836B2" w:rsidRPr="0085706D" w:rsidRDefault="00E836B2" w:rsidP="00F675A8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2253" w:type="dxa"/>
          </w:tcPr>
          <w:p w:rsidR="0090157D" w:rsidRPr="0085706D" w:rsidRDefault="0090157D" w:rsidP="0090157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E836B2" w:rsidRPr="0085706D" w:rsidRDefault="00E836B2" w:rsidP="0090157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92</w:t>
            </w:r>
          </w:p>
        </w:tc>
        <w:tc>
          <w:tcPr>
            <w:tcW w:w="1803" w:type="dxa"/>
            <w:shd w:val="clear" w:color="auto" w:fill="auto"/>
          </w:tcPr>
          <w:p w:rsidR="00E836B2" w:rsidRPr="0085706D" w:rsidRDefault="00E836B2" w:rsidP="0090157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E836B2" w:rsidRPr="0085706D" w:rsidRDefault="00E836B2" w:rsidP="0090157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758" w:type="dxa"/>
            <w:shd w:val="clear" w:color="auto" w:fill="auto"/>
          </w:tcPr>
          <w:p w:rsidR="00E836B2" w:rsidRPr="0085706D" w:rsidRDefault="00E836B2" w:rsidP="0090157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E836B2" w:rsidRPr="0085706D" w:rsidRDefault="00E836B2" w:rsidP="0090157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Х</w:t>
            </w:r>
          </w:p>
        </w:tc>
      </w:tr>
    </w:tbl>
    <w:p w:rsidR="00C82EB0" w:rsidRPr="00010B07" w:rsidRDefault="00010B07" w:rsidP="002A452A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2"/>
          <w:lang w:val="uk-UA"/>
        </w:rPr>
      </w:pPr>
      <w:r w:rsidRPr="00010B07">
        <w:rPr>
          <w:color w:val="000000" w:themeColor="text1"/>
          <w:sz w:val="22"/>
          <w:lang w:val="uk-UA"/>
        </w:rPr>
        <w:t>*</w:t>
      </w:r>
      <w:r w:rsidR="00E671E8" w:rsidRPr="00010B07">
        <w:rPr>
          <w:color w:val="000000" w:themeColor="text1"/>
          <w:sz w:val="22"/>
          <w:lang w:val="uk-UA"/>
        </w:rPr>
        <w:t>За</w:t>
      </w:r>
      <w:r w:rsidRPr="00010B07">
        <w:rPr>
          <w:color w:val="000000" w:themeColor="text1"/>
          <w:sz w:val="22"/>
          <w:lang w:val="uk-UA"/>
        </w:rPr>
        <w:t xml:space="preserve"> даними ДФС загальна кількість СГ, які можуть зареєструвати податкові накладні/розрахунки коригування в Єдиному реєстрі податкових накладних та подати документи в електронному вигляді.  </w:t>
      </w:r>
    </w:p>
    <w:tbl>
      <w:tblPr>
        <w:tblW w:w="10184" w:type="dxa"/>
        <w:tblCellSpacing w:w="20" w:type="dxa"/>
        <w:tblInd w:w="-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3"/>
        <w:gridCol w:w="4285"/>
        <w:gridCol w:w="3996"/>
      </w:tblGrid>
      <w:tr w:rsidR="0090157D" w:rsidRPr="00010B07" w:rsidTr="0085706D">
        <w:trPr>
          <w:tblCellSpacing w:w="20" w:type="dxa"/>
        </w:trPr>
        <w:tc>
          <w:tcPr>
            <w:tcW w:w="1843" w:type="dxa"/>
            <w:shd w:val="clear" w:color="auto" w:fill="auto"/>
          </w:tcPr>
          <w:p w:rsidR="0072457F" w:rsidRPr="0085706D" w:rsidRDefault="0072457F" w:rsidP="00663C16">
            <w:pPr>
              <w:pStyle w:val="a3"/>
              <w:spacing w:before="0" w:after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Вид альтернативи</w:t>
            </w:r>
          </w:p>
        </w:tc>
        <w:tc>
          <w:tcPr>
            <w:tcW w:w="4245" w:type="dxa"/>
            <w:shd w:val="clear" w:color="auto" w:fill="auto"/>
          </w:tcPr>
          <w:p w:rsidR="0072457F" w:rsidRPr="0085706D" w:rsidRDefault="0072457F" w:rsidP="00663C16">
            <w:pPr>
              <w:pStyle w:val="a3"/>
              <w:spacing w:before="0" w:after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Вигоди</w:t>
            </w:r>
          </w:p>
        </w:tc>
        <w:tc>
          <w:tcPr>
            <w:tcW w:w="3936" w:type="dxa"/>
            <w:shd w:val="clear" w:color="auto" w:fill="auto"/>
          </w:tcPr>
          <w:p w:rsidR="0072457F" w:rsidRPr="0085706D" w:rsidRDefault="0072457F" w:rsidP="00663C16">
            <w:pPr>
              <w:pStyle w:val="a3"/>
              <w:spacing w:before="0" w:after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Витрати</w:t>
            </w:r>
          </w:p>
        </w:tc>
      </w:tr>
      <w:tr w:rsidR="0090157D" w:rsidRPr="000E4BD2" w:rsidTr="0085706D">
        <w:trPr>
          <w:tblCellSpacing w:w="20" w:type="dxa"/>
        </w:trPr>
        <w:tc>
          <w:tcPr>
            <w:tcW w:w="1843" w:type="dxa"/>
            <w:shd w:val="clear" w:color="auto" w:fill="auto"/>
            <w:vAlign w:val="center"/>
          </w:tcPr>
          <w:p w:rsidR="0072457F" w:rsidRPr="0085706D" w:rsidRDefault="0072457F" w:rsidP="00663C16">
            <w:pPr>
              <w:pStyle w:val="a3"/>
              <w:spacing w:before="0" w:after="0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Альтернатива 1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0E4BD2" w:rsidRPr="0085706D" w:rsidRDefault="00F23937" w:rsidP="00E77425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Сумлінний платник податків матиме можливість безперешкодно вести </w:t>
            </w:r>
            <w:r w:rsidRPr="0085706D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 xml:space="preserve">господарську діяльність, </w:t>
            </w:r>
            <w:r w:rsidR="00E77425" w:rsidRPr="0085706D">
              <w:rPr>
                <w:color w:val="000000" w:themeColor="text1"/>
                <w:sz w:val="22"/>
                <w:szCs w:val="22"/>
                <w:lang w:val="uk-UA"/>
              </w:rPr>
              <w:t>що покращить взаєморозуміння між платником та контролюючим органом.</w:t>
            </w:r>
          </w:p>
          <w:p w:rsidR="00F23937" w:rsidRPr="0085706D" w:rsidRDefault="00F23937" w:rsidP="00F23937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Дає можливість платникам податку безперешкодно отримувати інформацію щодо розрахованих показників Системи (Д, Р).</w:t>
            </w:r>
          </w:p>
        </w:tc>
        <w:tc>
          <w:tcPr>
            <w:tcW w:w="3936" w:type="dxa"/>
            <w:shd w:val="clear" w:color="auto" w:fill="auto"/>
          </w:tcPr>
          <w:p w:rsidR="0072457F" w:rsidRPr="0085706D" w:rsidRDefault="0072457F" w:rsidP="002F30C0">
            <w:pPr>
              <w:ind w:firstLine="30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Відсутні</w:t>
            </w:r>
          </w:p>
          <w:p w:rsidR="0082732B" w:rsidRPr="0085706D" w:rsidRDefault="0082732B" w:rsidP="002F30C0">
            <w:pPr>
              <w:ind w:firstLine="30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90157D" w:rsidRPr="003E0566" w:rsidTr="0085706D">
        <w:trPr>
          <w:tblCellSpacing w:w="20" w:type="dxa"/>
        </w:trPr>
        <w:tc>
          <w:tcPr>
            <w:tcW w:w="1843" w:type="dxa"/>
            <w:shd w:val="clear" w:color="auto" w:fill="auto"/>
          </w:tcPr>
          <w:p w:rsidR="0072457F" w:rsidRPr="0085706D" w:rsidRDefault="0072457F" w:rsidP="00663C16">
            <w:pPr>
              <w:pStyle w:val="a3"/>
              <w:spacing w:before="0" w:after="0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Альтернатива 2</w:t>
            </w:r>
          </w:p>
        </w:tc>
        <w:tc>
          <w:tcPr>
            <w:tcW w:w="4245" w:type="dxa"/>
            <w:shd w:val="clear" w:color="auto" w:fill="auto"/>
          </w:tcPr>
          <w:p w:rsidR="0072457F" w:rsidRPr="0085706D" w:rsidRDefault="0072457F" w:rsidP="00C611EF">
            <w:pPr>
              <w:ind w:firstLine="30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Відсутні</w:t>
            </w:r>
          </w:p>
        </w:tc>
        <w:tc>
          <w:tcPr>
            <w:tcW w:w="3936" w:type="dxa"/>
            <w:shd w:val="clear" w:color="auto" w:fill="auto"/>
          </w:tcPr>
          <w:p w:rsidR="0072457F" w:rsidRPr="0085706D" w:rsidRDefault="00F23937" w:rsidP="00172E82">
            <w:pPr>
              <w:ind w:firstLine="30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Фіксований відсоток ризикового товару</w:t>
            </w:r>
            <w:r w:rsidR="00E77425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 призведе до нестабільності господарської діяльності підприємства та його економічного розвитку.</w:t>
            </w:r>
          </w:p>
        </w:tc>
      </w:tr>
    </w:tbl>
    <w:p w:rsidR="00997C17" w:rsidRPr="0085706D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color w:val="000000" w:themeColor="text1"/>
          <w:lang w:val="uk-UA"/>
        </w:rPr>
      </w:pPr>
      <w:r w:rsidRPr="0085706D">
        <w:rPr>
          <w:rFonts w:eastAsia="Times New Roman"/>
          <w:color w:val="000000" w:themeColor="text1"/>
          <w:lang w:val="uk-UA"/>
        </w:rPr>
        <w:t>IV. Вибір найбільш оптимального альтернативного способу досягнення цілей</w:t>
      </w: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2036"/>
        <w:gridCol w:w="5773"/>
      </w:tblGrid>
      <w:tr w:rsidR="0090157D" w:rsidRPr="003E0566" w:rsidTr="00641E5B">
        <w:trPr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85706D" w:rsidRDefault="00641E5B">
            <w:pPr>
              <w:pStyle w:val="a3"/>
              <w:ind w:left="-45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бала</w:t>
            </w:r>
            <w:proofErr w:type="spellEnd"/>
          </w:p>
        </w:tc>
      </w:tr>
      <w:tr w:rsidR="0090157D" w:rsidRPr="003E0566" w:rsidTr="00641E5B">
        <w:trPr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Альтернатива 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3F1FEF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 w:rsidP="00172E82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Альтернатива 1 дає змогу досягнути поставлених цілей державного регулювання  </w:t>
            </w:r>
            <w:r w:rsidR="0055674B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шляхом </w:t>
            </w:r>
            <w:r w:rsidR="00172E82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удосконалення </w:t>
            </w:r>
            <w:r w:rsidR="0055674B" w:rsidRPr="0085706D">
              <w:rPr>
                <w:color w:val="000000" w:themeColor="text1"/>
                <w:sz w:val="22"/>
                <w:szCs w:val="22"/>
                <w:lang w:val="uk-UA"/>
              </w:rPr>
              <w:t>Критеріїв наказу</w:t>
            </w:r>
            <w:r w:rsidR="00E02AA9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 та</w:t>
            </w:r>
            <w:r w:rsidR="00172E82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E02AA9" w:rsidRPr="0085706D">
              <w:rPr>
                <w:color w:val="000000" w:themeColor="text1"/>
                <w:sz w:val="22"/>
                <w:szCs w:val="22"/>
                <w:lang w:val="uk-UA"/>
              </w:rPr>
              <w:t>усунути непорозуміння між платником та контролюючим органом</w:t>
            </w:r>
            <w:r w:rsidR="0055674B" w:rsidRPr="0085706D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</w:tr>
      <w:tr w:rsidR="0090157D" w:rsidRPr="003E0566" w:rsidTr="00F72757">
        <w:trPr>
          <w:trHeight w:val="869"/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Альтернатива 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2B1A09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 w:rsidP="00172E8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Альтернатива 2 </w:t>
            </w:r>
            <w:r w:rsidR="00E02AA9" w:rsidRPr="0085706D">
              <w:rPr>
                <w:color w:val="000000" w:themeColor="text1"/>
                <w:sz w:val="22"/>
                <w:szCs w:val="22"/>
                <w:lang w:val="uk-UA"/>
              </w:rPr>
              <w:t>Залишити ситуацію без змін, що призведе до виникнення до непорозумінь між платником податків та контролюючим органом.</w:t>
            </w:r>
          </w:p>
        </w:tc>
      </w:tr>
    </w:tbl>
    <w:p w:rsidR="00641E5B" w:rsidRPr="0090157D" w:rsidRDefault="00641E5B" w:rsidP="00641E5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16"/>
          <w:szCs w:val="16"/>
          <w:highlight w:val="yellow"/>
          <w:lang w:val="uk-UA"/>
        </w:rPr>
      </w:pPr>
    </w:p>
    <w:tbl>
      <w:tblPr>
        <w:tblW w:w="498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527"/>
        <w:gridCol w:w="2125"/>
        <w:gridCol w:w="3261"/>
      </w:tblGrid>
      <w:tr w:rsidR="0090157D" w:rsidRPr="003E0566" w:rsidTr="0040686D">
        <w:trPr>
          <w:tblCellSpacing w:w="3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Рейтинг результативності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Вигоди (підсумок)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Витрати (підсумок)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90157D" w:rsidRPr="003E0566" w:rsidTr="0040686D">
        <w:trPr>
          <w:tblCellSpacing w:w="3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85706D" w:rsidRDefault="0040686D" w:rsidP="0040686D">
            <w:pPr>
              <w:pStyle w:val="a3"/>
              <w:rPr>
                <w:color w:val="000000" w:themeColor="text1"/>
                <w:sz w:val="22"/>
                <w:szCs w:val="22"/>
                <w:highlight w:val="yellow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Альтернатива 1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2B95" w:rsidRPr="0085706D" w:rsidRDefault="00DC3A57" w:rsidP="008D2B95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Усунення </w:t>
            </w:r>
            <w:r w:rsidR="0040686D" w:rsidRPr="0085706D">
              <w:rPr>
                <w:color w:val="000000" w:themeColor="text1"/>
                <w:sz w:val="22"/>
                <w:szCs w:val="22"/>
                <w:lang w:val="uk-UA"/>
              </w:rPr>
              <w:t>непорозуміння між контролюючими</w:t>
            </w:r>
            <w:r w:rsidR="008D2B95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 органами та платниками податк</w:t>
            </w:r>
            <w:r w:rsidR="0090157D" w:rsidRPr="0085706D">
              <w:rPr>
                <w:color w:val="000000" w:themeColor="text1"/>
                <w:sz w:val="22"/>
                <w:szCs w:val="22"/>
                <w:lang w:val="uk-UA"/>
              </w:rPr>
              <w:t>у</w:t>
            </w:r>
          </w:p>
          <w:p w:rsidR="0040686D" w:rsidRPr="0085706D" w:rsidRDefault="0040686D" w:rsidP="0040686D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85706D" w:rsidRDefault="0040686D" w:rsidP="00E02AA9">
            <w:pPr>
              <w:spacing w:before="100" w:beforeAutospacing="1" w:after="100" w:afterAutospacing="1"/>
              <w:ind w:hanging="7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Витрати відсутні. 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85706D" w:rsidRDefault="0040686D" w:rsidP="000E4BD2">
            <w:pPr>
              <w:pStyle w:val="a3"/>
              <w:rPr>
                <w:color w:val="000000" w:themeColor="text1"/>
                <w:sz w:val="22"/>
                <w:szCs w:val="22"/>
                <w:highlight w:val="yellow"/>
                <w:shd w:val="clear" w:color="auto" w:fill="FFFF00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Є найбільш оптимальною серед запропонованих альтернатив, оскільки дає змогу досягнути поставлених цілей державного регулювання  </w:t>
            </w:r>
            <w:r w:rsidR="008D2B95" w:rsidRPr="0085706D">
              <w:rPr>
                <w:color w:val="000000" w:themeColor="text1"/>
                <w:sz w:val="22"/>
                <w:szCs w:val="22"/>
                <w:lang w:val="uk-UA"/>
              </w:rPr>
              <w:t>ефективніше</w:t>
            </w:r>
            <w:r w:rsidR="000E4BD2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 та</w:t>
            </w:r>
            <w:r w:rsidR="008D2B95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 швидше для платника податку</w:t>
            </w:r>
            <w:r w:rsidR="000E4BD2" w:rsidRPr="0085706D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</w:tr>
      <w:tr w:rsidR="0090157D" w:rsidRPr="0090157D" w:rsidTr="0040686D">
        <w:trPr>
          <w:trHeight w:val="1099"/>
          <w:tblCellSpacing w:w="3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 w:rsidP="00EC748C">
            <w:pPr>
              <w:pStyle w:val="a3"/>
              <w:spacing w:before="120" w:beforeAutospacing="0" w:after="120" w:afterAutospacing="0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Альтернатива 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641E5B" w:rsidP="00EC748C">
            <w:pPr>
              <w:pStyle w:val="a3"/>
              <w:spacing w:before="120" w:beforeAutospacing="0" w:after="120" w:afterAutospacing="0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Відсутні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172E82" w:rsidP="00EC748C">
            <w:pPr>
              <w:pStyle w:val="a3"/>
              <w:spacing w:before="120" w:beforeAutospacing="0" w:after="120" w:afterAutospacing="0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>Фіксований відсоток ризикового товару призведе до нестабільності господарської діяльності підприємства та його економічного розвитку.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5706D" w:rsidRDefault="008D2B95" w:rsidP="00DC3A57">
            <w:pPr>
              <w:pStyle w:val="a3"/>
              <w:spacing w:before="120" w:beforeAutospacing="0" w:after="120" w:afterAutospacing="0"/>
              <w:rPr>
                <w:color w:val="000000" w:themeColor="text1"/>
                <w:sz w:val="22"/>
                <w:szCs w:val="22"/>
                <w:lang w:val="uk-UA"/>
              </w:rPr>
            </w:pPr>
            <w:r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Виявлені </w:t>
            </w:r>
            <w:r w:rsidR="00DC3A57" w:rsidRPr="0085706D">
              <w:rPr>
                <w:color w:val="000000" w:themeColor="text1"/>
                <w:sz w:val="22"/>
                <w:szCs w:val="22"/>
                <w:lang w:val="uk-UA"/>
              </w:rPr>
              <w:t>недоліки</w:t>
            </w:r>
            <w:r w:rsidR="00172E82" w:rsidRPr="0085706D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DC3A57" w:rsidRPr="0085706D">
              <w:rPr>
                <w:color w:val="000000" w:themeColor="text1"/>
                <w:sz w:val="22"/>
                <w:szCs w:val="22"/>
                <w:lang w:val="uk-UA"/>
              </w:rPr>
              <w:t>не усунуто.</w:t>
            </w:r>
          </w:p>
        </w:tc>
      </w:tr>
    </w:tbl>
    <w:p w:rsidR="00641E5B" w:rsidRPr="0085706D" w:rsidRDefault="00641E5B" w:rsidP="00B3770D">
      <w:pPr>
        <w:pStyle w:val="3"/>
        <w:spacing w:before="120" w:beforeAutospacing="0" w:after="120" w:afterAutospacing="0"/>
        <w:ind w:left="-426" w:right="-377" w:firstLine="426"/>
        <w:jc w:val="center"/>
        <w:rPr>
          <w:rFonts w:eastAsia="Times New Roman"/>
          <w:b w:val="0"/>
          <w:bCs w:val="0"/>
          <w:color w:val="000000" w:themeColor="text1"/>
          <w:lang w:val="uk-UA"/>
        </w:rPr>
      </w:pPr>
      <w:r w:rsidRPr="0085706D">
        <w:rPr>
          <w:rFonts w:eastAsia="Times New Roman"/>
          <w:bCs w:val="0"/>
          <w:color w:val="000000" w:themeColor="text1"/>
          <w:lang w:val="uk-UA"/>
        </w:rPr>
        <w:t>V. Механізми та заходи, які забезпечать розв’язання визначеної проблеми</w:t>
      </w:r>
    </w:p>
    <w:p w:rsidR="00E43408" w:rsidRPr="0085706D" w:rsidRDefault="00E43408" w:rsidP="00B3770D">
      <w:pPr>
        <w:suppressAutoHyphens/>
        <w:ind w:left="-426" w:right="-377" w:firstLine="426"/>
        <w:jc w:val="both"/>
        <w:rPr>
          <w:i/>
          <w:sz w:val="27"/>
          <w:szCs w:val="27"/>
          <w:lang w:val="uk-UA"/>
        </w:rPr>
      </w:pPr>
      <w:r w:rsidRPr="0085706D">
        <w:rPr>
          <w:i/>
          <w:sz w:val="27"/>
          <w:szCs w:val="27"/>
          <w:lang w:val="uk-UA"/>
        </w:rPr>
        <w:t xml:space="preserve">1. Механізм дії регуляторного </w:t>
      </w:r>
      <w:proofErr w:type="spellStart"/>
      <w:r w:rsidRPr="0085706D">
        <w:rPr>
          <w:i/>
          <w:sz w:val="27"/>
          <w:szCs w:val="27"/>
          <w:lang w:val="uk-UA"/>
        </w:rPr>
        <w:t>акта</w:t>
      </w:r>
      <w:proofErr w:type="spellEnd"/>
      <w:r w:rsidRPr="0085706D">
        <w:rPr>
          <w:i/>
          <w:sz w:val="27"/>
          <w:szCs w:val="27"/>
          <w:lang w:val="uk-UA"/>
        </w:rPr>
        <w:t>.</w:t>
      </w:r>
    </w:p>
    <w:p w:rsidR="001C1AE6" w:rsidRPr="0085706D" w:rsidRDefault="001C1AE6" w:rsidP="00B3770D">
      <w:pPr>
        <w:suppressAutoHyphens/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 xml:space="preserve">З метою </w:t>
      </w:r>
      <w:r w:rsidRPr="0085706D">
        <w:rPr>
          <w:rStyle w:val="apple-converted-space"/>
          <w:sz w:val="27"/>
          <w:szCs w:val="27"/>
          <w:shd w:val="clear" w:color="auto" w:fill="FFFFFF"/>
          <w:lang w:val="uk-UA"/>
        </w:rPr>
        <w:t>забезпечення додержання прав, законних інтересів та рівних умов платників податків у разі зупинення реєстрації податкової накладної / розрахунку коригування в ЄРПН та удосконалення алгоритму системи призупинення реєстрації податкових накладних / розрахунків коригування в ЄРПН</w:t>
      </w:r>
      <w:r w:rsidRPr="0085706D">
        <w:rPr>
          <w:sz w:val="27"/>
          <w:szCs w:val="27"/>
          <w:lang w:val="uk-UA"/>
        </w:rPr>
        <w:t xml:space="preserve">, на базі Міністерства фінансів України за участю </w:t>
      </w:r>
      <w:r w:rsidRPr="0085706D">
        <w:rPr>
          <w:sz w:val="27"/>
          <w:szCs w:val="27"/>
          <w:lang w:val="uk-UA"/>
        </w:rPr>
        <w:lastRenderedPageBreak/>
        <w:t>співробітників Державної фіскальної служби України та представників ВГО «Український союз промисловців і підприємців», Спілки українських підприємців, ГО «Палата податкових консультантів», Реанімаційного пакета реформ,</w:t>
      </w:r>
      <w:r w:rsidRPr="0085706D">
        <w:rPr>
          <w:sz w:val="27"/>
          <w:szCs w:val="27"/>
        </w:rPr>
        <w:t> </w:t>
      </w:r>
      <w:r w:rsidRPr="0085706D">
        <w:rPr>
          <w:sz w:val="27"/>
          <w:szCs w:val="27"/>
          <w:lang w:val="uk-UA"/>
        </w:rPr>
        <w:t xml:space="preserve"> компанії «</w:t>
      </w:r>
      <w:proofErr w:type="spellStart"/>
      <w:r w:rsidRPr="0085706D">
        <w:rPr>
          <w:sz w:val="27"/>
          <w:szCs w:val="27"/>
          <w:lang w:val="uk-UA"/>
        </w:rPr>
        <w:t>Делойт</w:t>
      </w:r>
      <w:proofErr w:type="spellEnd"/>
      <w:r w:rsidRPr="0085706D">
        <w:rPr>
          <w:sz w:val="27"/>
          <w:szCs w:val="27"/>
          <w:lang w:val="uk-UA"/>
        </w:rPr>
        <w:t>» в Україні, газети "Бухгалтерія", ТОВ «</w:t>
      </w:r>
      <w:proofErr w:type="spellStart"/>
      <w:r w:rsidRPr="0085706D">
        <w:rPr>
          <w:sz w:val="27"/>
          <w:szCs w:val="27"/>
          <w:lang w:val="uk-UA"/>
        </w:rPr>
        <w:t>Кроу</w:t>
      </w:r>
      <w:proofErr w:type="spellEnd"/>
      <w:r w:rsidRPr="0085706D">
        <w:rPr>
          <w:sz w:val="27"/>
          <w:szCs w:val="27"/>
          <w:lang w:val="uk-UA"/>
        </w:rPr>
        <w:t xml:space="preserve"> Хорват </w:t>
      </w:r>
      <w:proofErr w:type="spellStart"/>
      <w:r w:rsidRPr="0085706D">
        <w:rPr>
          <w:sz w:val="27"/>
          <w:szCs w:val="27"/>
          <w:lang w:val="uk-UA"/>
        </w:rPr>
        <w:t>ЕйСі</w:t>
      </w:r>
      <w:proofErr w:type="spellEnd"/>
      <w:r w:rsidRPr="0085706D">
        <w:rPr>
          <w:sz w:val="27"/>
          <w:szCs w:val="27"/>
          <w:lang w:val="uk-UA"/>
        </w:rPr>
        <w:t xml:space="preserve"> Україна»</w:t>
      </w:r>
      <w:r w:rsidRPr="0085706D">
        <w:rPr>
          <w:sz w:val="27"/>
          <w:szCs w:val="27"/>
        </w:rPr>
        <w:t> </w:t>
      </w:r>
      <w:r w:rsidRPr="0085706D">
        <w:rPr>
          <w:sz w:val="27"/>
          <w:szCs w:val="27"/>
          <w:lang w:val="uk-UA"/>
        </w:rPr>
        <w:t xml:space="preserve"> створено робочу групу, яка безпосередньо ініціювала внесення  Змін до Критеріїв оцінки ступеня ризиків, достатніх для зупинення реєстрації податкової накладної / розрахунку коригування в Єдиному реєстрі податкових накладних.</w:t>
      </w:r>
    </w:p>
    <w:p w:rsidR="00E43408" w:rsidRPr="0085706D" w:rsidRDefault="00E43408" w:rsidP="00B3770D">
      <w:pPr>
        <w:suppressAutoHyphens/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>Основним механізмом для розв’язання визначених проблем є прийняття проекту наказу та фактична реалізація його положень.</w:t>
      </w:r>
    </w:p>
    <w:p w:rsidR="00F07D72" w:rsidRPr="0085706D" w:rsidRDefault="00F07D72" w:rsidP="00B3770D">
      <w:pPr>
        <w:suppressAutoHyphens/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>Проектом наказу передбачається доповнити Критерії оцінки ступеня ризиків, достатніх для зупинення реєстрації податкової накладної/розрахунку коригування в Єдиному реєстрі податкових накладних, затверджених наказом Міністерства фінансів України від 13 червня 2017 року № 567, додатковою умовою наступного змісту:</w:t>
      </w:r>
    </w:p>
    <w:p w:rsidR="00F07D72" w:rsidRPr="0085706D" w:rsidRDefault="00F07D72" w:rsidP="00B3770D">
      <w:pPr>
        <w:suppressAutoHyphens/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>«розрахунок коригування, складений постачальником товарів/послуг до податкової накладної, яка складена на отримувача – платника ПДВ, якщо передбачається зміна вартості товару/послуг більше ніж у два рази та/або зміни номенклатури товарів/послуг (для кодів товарів згідно з УКТ ЗЕД, – зміна перших чотирьох цифр коду, а для кодів послуг відповідно до Державного класифікатора продукції та послуг – перших двох цифр кодів).». </w:t>
      </w:r>
    </w:p>
    <w:p w:rsidR="00F07D72" w:rsidRPr="0085706D" w:rsidRDefault="00F07D72" w:rsidP="00B3770D">
      <w:pPr>
        <w:suppressAutoHyphens/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>Запроваджується норма про неврахування інформації Комісії про проведенні Моніторингу.</w:t>
      </w:r>
    </w:p>
    <w:p w:rsidR="00F07D72" w:rsidRPr="0085706D" w:rsidRDefault="00F07D72" w:rsidP="00B3770D">
      <w:pPr>
        <w:suppressAutoHyphens/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>Якщо надійшла податкова інформація, що свідчить про надання платником недостовірної інформації згідно з Таблицею, або інша податкова інформація, що свідчить про ризиковість операції, Комісія ДФС має право прийняти рішення про неврахування інформації.  </w:t>
      </w:r>
    </w:p>
    <w:p w:rsidR="00F07D72" w:rsidRPr="0085706D" w:rsidRDefault="00F07D72" w:rsidP="00B3770D">
      <w:pPr>
        <w:suppressAutoHyphens/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>Також, згідно положень проекту наказу автоматичне врахування Таблиці системою Моніторингу стосуватиметься і платників, у яких:</w:t>
      </w:r>
    </w:p>
    <w:p w:rsidR="00F07D72" w:rsidRPr="0085706D" w:rsidRDefault="00F07D72" w:rsidP="00B3770D">
      <w:pPr>
        <w:suppressAutoHyphens/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 xml:space="preserve">· значення показників D та P, розрахованих у порядку, наведеному у </w:t>
      </w:r>
      <w:proofErr w:type="spellStart"/>
      <w:r w:rsidRPr="0085706D">
        <w:rPr>
          <w:sz w:val="27"/>
          <w:szCs w:val="27"/>
          <w:lang w:val="uk-UA"/>
        </w:rPr>
        <w:t>пп</w:t>
      </w:r>
      <w:proofErr w:type="spellEnd"/>
      <w:r w:rsidRPr="0085706D">
        <w:rPr>
          <w:sz w:val="27"/>
          <w:szCs w:val="27"/>
          <w:lang w:val="uk-UA"/>
        </w:rPr>
        <w:t xml:space="preserve">. 4 п. 5 цих Критеріїв, мають такі розміри: D&gt;0,02, P &lt; </w:t>
      </w:r>
      <w:proofErr w:type="spellStart"/>
      <w:r w:rsidRPr="0085706D">
        <w:rPr>
          <w:sz w:val="27"/>
          <w:szCs w:val="27"/>
          <w:lang w:val="uk-UA"/>
        </w:rPr>
        <w:t>Pм</w:t>
      </w:r>
      <w:proofErr w:type="spellEnd"/>
      <w:r w:rsidRPr="0085706D">
        <w:rPr>
          <w:sz w:val="27"/>
          <w:szCs w:val="27"/>
          <w:lang w:val="uk-UA"/>
        </w:rPr>
        <w:t xml:space="preserve"> * 1,3. Значення показників D та P обраховуються ДФС автоматично кожного 10 числа календарного місяця, наступного за звітним, та стають доступними платнику в Електронному кабінеті;</w:t>
      </w:r>
    </w:p>
    <w:p w:rsidR="00F07D72" w:rsidRPr="0085706D" w:rsidRDefault="00F07D72" w:rsidP="00B3770D">
      <w:pPr>
        <w:suppressAutoHyphens/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>· обсяг постачання товарів/послуг у ПН/РК, складених з 1 січня 2017 року в Реєстрі, зазначених в інформації згідно з додатком до цих Критеріїв, становить понад 25% від загального обсягу постачання за відповідний період.</w:t>
      </w:r>
    </w:p>
    <w:p w:rsidR="00F07D72" w:rsidRPr="0085706D" w:rsidRDefault="00F07D72" w:rsidP="00B3770D">
      <w:pPr>
        <w:suppressAutoHyphens/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>Основним механізмом для розв’язання визначених проблем є прийняття проекту наказу та фактична реалізація його положень.</w:t>
      </w:r>
    </w:p>
    <w:p w:rsidR="00E43408" w:rsidRPr="0085706D" w:rsidRDefault="00E43408" w:rsidP="00B3770D">
      <w:pPr>
        <w:suppressAutoHyphens/>
        <w:ind w:left="-426" w:right="-377" w:firstLine="426"/>
        <w:jc w:val="both"/>
        <w:rPr>
          <w:i/>
          <w:sz w:val="27"/>
          <w:szCs w:val="27"/>
          <w:lang w:val="uk-UA"/>
        </w:rPr>
      </w:pPr>
      <w:r w:rsidRPr="0085706D">
        <w:rPr>
          <w:i/>
          <w:sz w:val="27"/>
          <w:szCs w:val="27"/>
          <w:lang w:val="uk-UA"/>
        </w:rPr>
        <w:t xml:space="preserve">2. Організаційні заходи впровадження регуляторного </w:t>
      </w:r>
      <w:proofErr w:type="spellStart"/>
      <w:r w:rsidRPr="0085706D">
        <w:rPr>
          <w:i/>
          <w:sz w:val="27"/>
          <w:szCs w:val="27"/>
          <w:lang w:val="uk-UA"/>
        </w:rPr>
        <w:t>акта</w:t>
      </w:r>
      <w:proofErr w:type="spellEnd"/>
      <w:r w:rsidRPr="0085706D">
        <w:rPr>
          <w:i/>
          <w:sz w:val="27"/>
          <w:szCs w:val="27"/>
          <w:lang w:val="uk-UA"/>
        </w:rPr>
        <w:t xml:space="preserve"> в дію.</w:t>
      </w:r>
    </w:p>
    <w:p w:rsidR="00E43408" w:rsidRPr="0085706D" w:rsidRDefault="00E43408" w:rsidP="00B3770D">
      <w:pPr>
        <w:suppressAutoHyphens/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 xml:space="preserve">Для впровадження цього регуляторного </w:t>
      </w:r>
      <w:proofErr w:type="spellStart"/>
      <w:r w:rsidRPr="0085706D">
        <w:rPr>
          <w:sz w:val="27"/>
          <w:szCs w:val="27"/>
          <w:lang w:val="uk-UA"/>
        </w:rPr>
        <w:t>акта</w:t>
      </w:r>
      <w:proofErr w:type="spellEnd"/>
      <w:r w:rsidRPr="0085706D">
        <w:rPr>
          <w:sz w:val="27"/>
          <w:szCs w:val="27"/>
          <w:lang w:val="uk-UA"/>
        </w:rPr>
        <w:t xml:space="preserve"> необхідно забезпечити інформування громадськості про вимоги регуляторного </w:t>
      </w:r>
      <w:proofErr w:type="spellStart"/>
      <w:r w:rsidRPr="0085706D">
        <w:rPr>
          <w:sz w:val="27"/>
          <w:szCs w:val="27"/>
          <w:lang w:val="uk-UA"/>
        </w:rPr>
        <w:t>акта</w:t>
      </w:r>
      <w:proofErr w:type="spellEnd"/>
      <w:r w:rsidRPr="0085706D">
        <w:rPr>
          <w:sz w:val="27"/>
          <w:szCs w:val="27"/>
          <w:lang w:val="uk-UA"/>
        </w:rPr>
        <w:t>, шляхом його оприлюднення в засобах масової інформації та на офіційному веб-сайті.</w:t>
      </w:r>
    </w:p>
    <w:p w:rsidR="00E43408" w:rsidRPr="0085706D" w:rsidRDefault="00E43408" w:rsidP="00B3770D">
      <w:pPr>
        <w:ind w:left="-426" w:right="-377" w:firstLine="426"/>
        <w:jc w:val="both"/>
        <w:rPr>
          <w:rStyle w:val="rvts23"/>
          <w:color w:val="000000" w:themeColor="text1"/>
          <w:sz w:val="27"/>
          <w:szCs w:val="27"/>
          <w:lang w:val="uk-UA"/>
        </w:rPr>
      </w:pPr>
      <w:r w:rsidRPr="0085706D">
        <w:rPr>
          <w:bCs/>
          <w:sz w:val="27"/>
          <w:szCs w:val="27"/>
          <w:lang w:val="uk-UA"/>
        </w:rPr>
        <w:t xml:space="preserve">Впровадження проекту наказу дасть можливість </w:t>
      </w:r>
      <w:r w:rsidR="000B398D" w:rsidRPr="0085706D">
        <w:rPr>
          <w:bCs/>
          <w:sz w:val="27"/>
          <w:szCs w:val="27"/>
          <w:lang w:val="uk-UA"/>
        </w:rPr>
        <w:t xml:space="preserve">зменшити тиск на </w:t>
      </w:r>
      <w:r w:rsidR="00172E82" w:rsidRPr="0085706D">
        <w:rPr>
          <w:bCs/>
          <w:sz w:val="27"/>
          <w:szCs w:val="27"/>
          <w:lang w:val="uk-UA"/>
        </w:rPr>
        <w:t>сумлін</w:t>
      </w:r>
      <w:r w:rsidR="000B398D" w:rsidRPr="0085706D">
        <w:rPr>
          <w:bCs/>
          <w:sz w:val="27"/>
          <w:szCs w:val="27"/>
          <w:lang w:val="uk-UA"/>
        </w:rPr>
        <w:t>н</w:t>
      </w:r>
      <w:r w:rsidR="00172E82" w:rsidRPr="0085706D">
        <w:rPr>
          <w:bCs/>
          <w:sz w:val="27"/>
          <w:szCs w:val="27"/>
          <w:lang w:val="uk-UA"/>
        </w:rPr>
        <w:t>и</w:t>
      </w:r>
      <w:r w:rsidR="000B398D" w:rsidRPr="0085706D">
        <w:rPr>
          <w:bCs/>
          <w:sz w:val="27"/>
          <w:szCs w:val="27"/>
          <w:lang w:val="uk-UA"/>
        </w:rPr>
        <w:t>х платників</w:t>
      </w:r>
      <w:r w:rsidR="00172E82" w:rsidRPr="0085706D">
        <w:rPr>
          <w:bCs/>
          <w:sz w:val="27"/>
          <w:szCs w:val="27"/>
          <w:lang w:val="uk-UA"/>
        </w:rPr>
        <w:t xml:space="preserve"> податк</w:t>
      </w:r>
      <w:r w:rsidR="000B398D" w:rsidRPr="0085706D">
        <w:rPr>
          <w:bCs/>
          <w:sz w:val="27"/>
          <w:szCs w:val="27"/>
          <w:lang w:val="uk-UA"/>
        </w:rPr>
        <w:t>ів,</w:t>
      </w:r>
      <w:r w:rsidR="00172E82" w:rsidRPr="0085706D">
        <w:rPr>
          <w:bCs/>
          <w:sz w:val="27"/>
          <w:szCs w:val="27"/>
          <w:lang w:val="uk-UA"/>
        </w:rPr>
        <w:t xml:space="preserve"> безперешкодно реєструвати податкові накладні </w:t>
      </w:r>
      <w:r w:rsidR="000B398D" w:rsidRPr="0085706D">
        <w:rPr>
          <w:bCs/>
          <w:sz w:val="27"/>
          <w:szCs w:val="27"/>
          <w:lang w:val="uk-UA"/>
        </w:rPr>
        <w:t>на здійснення постачання товарів/послуг</w:t>
      </w:r>
      <w:r w:rsidR="000B398D" w:rsidRPr="0085706D">
        <w:rPr>
          <w:rStyle w:val="rvts23"/>
          <w:color w:val="000000" w:themeColor="text1"/>
          <w:sz w:val="27"/>
          <w:szCs w:val="27"/>
          <w:lang w:val="uk-UA"/>
        </w:rPr>
        <w:t xml:space="preserve"> шляхом автоматизованого врахування Таблиць</w:t>
      </w:r>
      <w:r w:rsidRPr="0085706D">
        <w:rPr>
          <w:rStyle w:val="rvts23"/>
          <w:color w:val="000000" w:themeColor="text1"/>
          <w:sz w:val="27"/>
          <w:szCs w:val="27"/>
          <w:lang w:val="uk-UA"/>
        </w:rPr>
        <w:t>.</w:t>
      </w:r>
    </w:p>
    <w:p w:rsidR="00E43408" w:rsidRPr="0085706D" w:rsidRDefault="00E43408" w:rsidP="00B3770D">
      <w:pPr>
        <w:tabs>
          <w:tab w:val="left" w:pos="-180"/>
        </w:tabs>
        <w:ind w:left="-426" w:right="-377" w:firstLine="426"/>
        <w:jc w:val="both"/>
        <w:rPr>
          <w:bCs/>
          <w:sz w:val="27"/>
          <w:szCs w:val="27"/>
          <w:lang w:val="uk-UA"/>
        </w:rPr>
      </w:pPr>
      <w:r w:rsidRPr="0085706D">
        <w:rPr>
          <w:bCs/>
          <w:sz w:val="27"/>
          <w:szCs w:val="27"/>
          <w:lang w:val="uk-UA"/>
        </w:rPr>
        <w:t xml:space="preserve">Ризику впливу зовнішніх факторів на дію регуляторного </w:t>
      </w:r>
      <w:proofErr w:type="spellStart"/>
      <w:r w:rsidRPr="0085706D">
        <w:rPr>
          <w:bCs/>
          <w:sz w:val="27"/>
          <w:szCs w:val="27"/>
          <w:lang w:val="uk-UA"/>
        </w:rPr>
        <w:t>акта</w:t>
      </w:r>
      <w:proofErr w:type="spellEnd"/>
      <w:r w:rsidRPr="0085706D">
        <w:rPr>
          <w:bCs/>
          <w:sz w:val="27"/>
          <w:szCs w:val="27"/>
          <w:lang w:val="uk-UA"/>
        </w:rPr>
        <w:t xml:space="preserve"> немає.</w:t>
      </w:r>
    </w:p>
    <w:p w:rsidR="00E43408" w:rsidRPr="0085706D" w:rsidRDefault="00E43408" w:rsidP="00B3770D">
      <w:pPr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>Досягнення цілей не передбачає додаткових організаційних заходів.</w:t>
      </w:r>
    </w:p>
    <w:p w:rsidR="00E43408" w:rsidRPr="0085706D" w:rsidRDefault="00E43408" w:rsidP="00B3770D">
      <w:pPr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>Прийняття проекту наказу не приведе до неочікуваних результатів і не потребує додаткових витрат з державного бюджету.</w:t>
      </w:r>
    </w:p>
    <w:p w:rsidR="00E43408" w:rsidRPr="0085706D" w:rsidRDefault="00E43408" w:rsidP="00B3770D">
      <w:pPr>
        <w:ind w:left="-426" w:right="-377" w:firstLine="426"/>
        <w:jc w:val="both"/>
        <w:rPr>
          <w:sz w:val="27"/>
          <w:szCs w:val="27"/>
          <w:lang w:val="uk-UA"/>
        </w:rPr>
      </w:pPr>
      <w:r w:rsidRPr="0085706D">
        <w:rPr>
          <w:sz w:val="27"/>
          <w:szCs w:val="27"/>
          <w:lang w:val="uk-UA"/>
        </w:rPr>
        <w:t xml:space="preserve">Можлива шкода у разі очікуваних наслідків дії </w:t>
      </w:r>
      <w:proofErr w:type="spellStart"/>
      <w:r w:rsidRPr="0085706D">
        <w:rPr>
          <w:sz w:val="27"/>
          <w:szCs w:val="27"/>
          <w:lang w:val="uk-UA"/>
        </w:rPr>
        <w:t>акта</w:t>
      </w:r>
      <w:proofErr w:type="spellEnd"/>
      <w:r w:rsidRPr="0085706D">
        <w:rPr>
          <w:sz w:val="27"/>
          <w:szCs w:val="27"/>
          <w:lang w:val="uk-UA"/>
        </w:rPr>
        <w:t xml:space="preserve"> не прогнозується.</w:t>
      </w:r>
    </w:p>
    <w:p w:rsidR="00E43408" w:rsidRPr="0085706D" w:rsidRDefault="00E43408" w:rsidP="00B3770D">
      <w:pPr>
        <w:pStyle w:val="rvps2"/>
        <w:spacing w:before="0" w:beforeAutospacing="0" w:after="0" w:afterAutospacing="0"/>
        <w:ind w:left="-426" w:right="-377" w:firstLine="426"/>
        <w:jc w:val="both"/>
        <w:rPr>
          <w:rStyle w:val="FontStyle44"/>
          <w:sz w:val="27"/>
          <w:szCs w:val="27"/>
        </w:rPr>
      </w:pPr>
      <w:r w:rsidRPr="0085706D">
        <w:rPr>
          <w:rStyle w:val="rvts0"/>
          <w:sz w:val="27"/>
          <w:szCs w:val="27"/>
        </w:rPr>
        <w:lastRenderedPageBreak/>
        <w:t xml:space="preserve">З боку суб’єктів господарювання відсутня необхідність вчинення додаткових дій оскільки проект </w:t>
      </w:r>
      <w:proofErr w:type="spellStart"/>
      <w:r w:rsidRPr="0085706D">
        <w:rPr>
          <w:rStyle w:val="rvts0"/>
          <w:sz w:val="27"/>
          <w:szCs w:val="27"/>
        </w:rPr>
        <w:t>акта</w:t>
      </w:r>
      <w:proofErr w:type="spellEnd"/>
      <w:r w:rsidRPr="0085706D">
        <w:rPr>
          <w:rStyle w:val="rvts0"/>
          <w:sz w:val="27"/>
          <w:szCs w:val="27"/>
        </w:rPr>
        <w:t xml:space="preserve"> направлений на </w:t>
      </w:r>
      <w:r w:rsidRPr="0085706D">
        <w:rPr>
          <w:sz w:val="27"/>
          <w:szCs w:val="27"/>
        </w:rPr>
        <w:t>усунення додаткових регуляторних бар’єрів щодо здійснення господарської діяльності.</w:t>
      </w:r>
    </w:p>
    <w:p w:rsidR="00641E5B" w:rsidRPr="0085706D" w:rsidRDefault="00641E5B" w:rsidP="00B3770D">
      <w:pPr>
        <w:pStyle w:val="3"/>
        <w:spacing w:before="120" w:beforeAutospacing="0" w:after="0" w:afterAutospacing="0"/>
        <w:ind w:left="-426" w:right="-377" w:firstLine="426"/>
        <w:jc w:val="center"/>
        <w:rPr>
          <w:rFonts w:eastAsia="Times New Roman"/>
          <w:color w:val="000000" w:themeColor="text1"/>
          <w:lang w:val="uk-UA"/>
        </w:rPr>
      </w:pPr>
      <w:r w:rsidRPr="0085706D">
        <w:rPr>
          <w:rFonts w:eastAsia="Times New Roman"/>
          <w:color w:val="000000" w:themeColor="text1"/>
          <w:lang w:val="uk-UA"/>
        </w:rPr>
        <w:t xml:space="preserve">VI. Оцінка виконання вимог регуляторного </w:t>
      </w:r>
      <w:proofErr w:type="spellStart"/>
      <w:r w:rsidRPr="0085706D">
        <w:rPr>
          <w:rFonts w:eastAsia="Times New Roman"/>
          <w:color w:val="000000" w:themeColor="text1"/>
          <w:lang w:val="uk-UA"/>
        </w:rPr>
        <w:t>акта</w:t>
      </w:r>
      <w:proofErr w:type="spellEnd"/>
      <w:r w:rsidRPr="0085706D">
        <w:rPr>
          <w:rFonts w:eastAsia="Times New Roman"/>
          <w:color w:val="000000" w:themeColor="text1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641E5B" w:rsidRPr="0085706D" w:rsidRDefault="00641E5B" w:rsidP="00B3770D">
      <w:pPr>
        <w:pStyle w:val="3"/>
        <w:spacing w:before="0" w:beforeAutospacing="0" w:after="0" w:afterAutospacing="0"/>
        <w:ind w:left="-426" w:right="-377" w:firstLine="426"/>
        <w:jc w:val="both"/>
        <w:rPr>
          <w:rFonts w:eastAsia="Times New Roman"/>
          <w:b w:val="0"/>
          <w:bCs w:val="0"/>
          <w:color w:val="000000" w:themeColor="text1"/>
          <w:lang w:val="uk-UA"/>
        </w:rPr>
      </w:pPr>
      <w:r w:rsidRPr="0085706D">
        <w:rPr>
          <w:rFonts w:eastAsia="Times New Roman"/>
          <w:b w:val="0"/>
          <w:bCs w:val="0"/>
          <w:color w:val="000000" w:themeColor="text1"/>
          <w:lang w:val="uk-UA"/>
        </w:rPr>
        <w:t xml:space="preserve">Реалізація проекту </w:t>
      </w:r>
      <w:r w:rsidR="00E227D3" w:rsidRPr="0085706D">
        <w:rPr>
          <w:rFonts w:eastAsia="Times New Roman"/>
          <w:b w:val="0"/>
          <w:bCs w:val="0"/>
          <w:color w:val="000000" w:themeColor="text1"/>
          <w:lang w:val="uk-UA"/>
        </w:rPr>
        <w:t xml:space="preserve">наказу </w:t>
      </w:r>
      <w:r w:rsidRPr="0085706D">
        <w:rPr>
          <w:rFonts w:eastAsia="Times New Roman"/>
          <w:b w:val="0"/>
          <w:bCs w:val="0"/>
          <w:color w:val="000000" w:themeColor="text1"/>
          <w:lang w:val="uk-UA"/>
        </w:rPr>
        <w:t>не передбачає фінансових витрат з боку державних органів та, відповідно, додаткових видатків бюджету.</w:t>
      </w:r>
    </w:p>
    <w:p w:rsidR="006E3B67" w:rsidRPr="0085706D" w:rsidRDefault="006E3B67" w:rsidP="00B3770D">
      <w:pPr>
        <w:pStyle w:val="3"/>
        <w:spacing w:before="0" w:beforeAutospacing="0" w:after="0" w:afterAutospacing="0"/>
        <w:ind w:left="-426" w:right="-377" w:firstLine="426"/>
        <w:jc w:val="both"/>
        <w:rPr>
          <w:rFonts w:eastAsia="Times New Roman"/>
          <w:b w:val="0"/>
          <w:bCs w:val="0"/>
          <w:color w:val="000000" w:themeColor="text1"/>
          <w:lang w:val="uk-UA"/>
        </w:rPr>
      </w:pPr>
      <w:r w:rsidRPr="0085706D">
        <w:rPr>
          <w:rFonts w:eastAsia="Times New Roman"/>
          <w:b w:val="0"/>
          <w:bCs w:val="0"/>
          <w:color w:val="000000" w:themeColor="text1"/>
          <w:lang w:val="uk-UA"/>
        </w:rPr>
        <w:t xml:space="preserve">Фінансування для розробки програмного забезпечення здійснюється </w:t>
      </w:r>
      <w:r w:rsidR="00004ABE" w:rsidRPr="0085706D">
        <w:rPr>
          <w:b w:val="0"/>
          <w:color w:val="000000" w:themeColor="text1"/>
          <w:lang w:val="uk-UA"/>
        </w:rPr>
        <w:t xml:space="preserve">в межах фінансування </w:t>
      </w:r>
      <w:r w:rsidRPr="0085706D">
        <w:rPr>
          <w:rFonts w:eastAsia="Times New Roman"/>
          <w:b w:val="0"/>
          <w:bCs w:val="0"/>
          <w:color w:val="000000" w:themeColor="text1"/>
          <w:lang w:val="uk-UA"/>
        </w:rPr>
        <w:t>ДФС.</w:t>
      </w:r>
    </w:p>
    <w:p w:rsidR="00E6746D" w:rsidRPr="0085706D" w:rsidRDefault="00E6746D" w:rsidP="00B3770D">
      <w:pPr>
        <w:pStyle w:val="3"/>
        <w:spacing w:before="120" w:beforeAutospacing="0" w:after="0" w:afterAutospacing="0"/>
        <w:ind w:left="-426" w:right="-377" w:firstLine="426"/>
        <w:jc w:val="both"/>
        <w:rPr>
          <w:b w:val="0"/>
          <w:color w:val="000000" w:themeColor="text1"/>
          <w:lang w:val="uk-UA"/>
        </w:rPr>
      </w:pPr>
      <w:r w:rsidRPr="0085706D">
        <w:rPr>
          <w:b w:val="0"/>
          <w:color w:val="000000" w:themeColor="text1"/>
          <w:lang w:val="uk-UA"/>
        </w:rPr>
        <w:t>Застосовувати додаткове або оновлювати існуюче програмне забезпечення немає необхідності, оскільки воно використовується підприємством у повсякденній роботі та у більшості випадків є безкоштовним.</w:t>
      </w:r>
    </w:p>
    <w:p w:rsidR="00641E5B" w:rsidRPr="00B3770D" w:rsidRDefault="00641E5B" w:rsidP="00B3770D">
      <w:pPr>
        <w:pStyle w:val="3"/>
        <w:spacing w:before="240" w:beforeAutospacing="0" w:after="0" w:afterAutospacing="0"/>
        <w:ind w:left="-426" w:right="-377" w:firstLine="426"/>
        <w:jc w:val="center"/>
        <w:rPr>
          <w:rFonts w:eastAsia="Times New Roman"/>
          <w:color w:val="000000" w:themeColor="text1"/>
          <w:lang w:val="uk-UA"/>
        </w:rPr>
      </w:pPr>
      <w:r w:rsidRPr="00B3770D">
        <w:rPr>
          <w:rFonts w:eastAsia="Times New Roman"/>
          <w:color w:val="000000" w:themeColor="text1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B3770D">
        <w:rPr>
          <w:rFonts w:eastAsia="Times New Roman"/>
          <w:color w:val="000000" w:themeColor="text1"/>
          <w:lang w:val="uk-UA"/>
        </w:rPr>
        <w:t>акта</w:t>
      </w:r>
      <w:proofErr w:type="spellEnd"/>
    </w:p>
    <w:p w:rsidR="00641E5B" w:rsidRPr="00B3770D" w:rsidRDefault="00641E5B" w:rsidP="00B3770D">
      <w:pPr>
        <w:pStyle w:val="a3"/>
        <w:spacing w:before="0" w:beforeAutospacing="0" w:after="0" w:afterAutospacing="0"/>
        <w:ind w:left="-426" w:right="-377" w:firstLine="426"/>
        <w:jc w:val="both"/>
        <w:rPr>
          <w:snapToGrid w:val="0"/>
          <w:color w:val="000000" w:themeColor="text1"/>
          <w:sz w:val="27"/>
          <w:szCs w:val="27"/>
          <w:lang w:val="uk-UA"/>
        </w:rPr>
      </w:pPr>
      <w:r w:rsidRPr="00B3770D">
        <w:rPr>
          <w:color w:val="000000" w:themeColor="text1"/>
          <w:sz w:val="27"/>
          <w:szCs w:val="27"/>
          <w:lang w:val="uk-UA"/>
        </w:rPr>
        <w:t xml:space="preserve">Строк дії проекту </w:t>
      </w:r>
      <w:proofErr w:type="spellStart"/>
      <w:r w:rsidRPr="00B3770D">
        <w:rPr>
          <w:color w:val="000000" w:themeColor="text1"/>
          <w:sz w:val="27"/>
          <w:szCs w:val="27"/>
          <w:lang w:val="uk-UA"/>
        </w:rPr>
        <w:t>акта</w:t>
      </w:r>
      <w:proofErr w:type="spellEnd"/>
      <w:r w:rsidRPr="00B3770D">
        <w:rPr>
          <w:color w:val="000000" w:themeColor="text1"/>
          <w:sz w:val="27"/>
          <w:szCs w:val="27"/>
          <w:lang w:val="uk-UA"/>
        </w:rPr>
        <w:t xml:space="preserve"> є необмеженим</w:t>
      </w:r>
      <w:r w:rsidR="00E02AA9" w:rsidRPr="00B3770D">
        <w:rPr>
          <w:color w:val="000000" w:themeColor="text1"/>
          <w:sz w:val="27"/>
          <w:szCs w:val="27"/>
          <w:lang w:val="uk-UA"/>
        </w:rPr>
        <w:t>, до можливих змін податкового законодавства.</w:t>
      </w:r>
    </w:p>
    <w:p w:rsidR="00641E5B" w:rsidRPr="00B3770D" w:rsidRDefault="00641E5B" w:rsidP="00B3770D">
      <w:pPr>
        <w:pStyle w:val="3"/>
        <w:spacing w:before="240" w:beforeAutospacing="0" w:after="0" w:afterAutospacing="0"/>
        <w:ind w:left="-426" w:right="-377" w:firstLine="426"/>
        <w:jc w:val="center"/>
        <w:rPr>
          <w:rFonts w:eastAsia="Times New Roman"/>
          <w:color w:val="000000" w:themeColor="text1"/>
          <w:lang w:val="uk-UA"/>
        </w:rPr>
      </w:pPr>
      <w:r w:rsidRPr="00B3770D">
        <w:rPr>
          <w:rFonts w:eastAsia="Times New Roman"/>
          <w:color w:val="000000" w:themeColor="text1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B3770D">
        <w:rPr>
          <w:rFonts w:eastAsia="Times New Roman"/>
          <w:color w:val="000000" w:themeColor="text1"/>
          <w:lang w:val="uk-UA"/>
        </w:rPr>
        <w:t>акта</w:t>
      </w:r>
      <w:proofErr w:type="spellEnd"/>
    </w:p>
    <w:p w:rsidR="00A5451E" w:rsidRPr="00B3770D" w:rsidRDefault="00A5451E" w:rsidP="00B3770D">
      <w:pPr>
        <w:ind w:left="-426" w:right="-377" w:firstLine="426"/>
        <w:jc w:val="both"/>
        <w:rPr>
          <w:rFonts w:eastAsia="Times New Roman"/>
          <w:color w:val="000000" w:themeColor="text1"/>
          <w:sz w:val="27"/>
          <w:szCs w:val="27"/>
          <w:lang w:val="uk-UA"/>
        </w:rPr>
      </w:pPr>
      <w:r w:rsidRPr="00B3770D">
        <w:rPr>
          <w:color w:val="000000" w:themeColor="text1"/>
          <w:sz w:val="27"/>
          <w:szCs w:val="27"/>
          <w:lang w:val="uk-UA"/>
        </w:rPr>
        <w:t xml:space="preserve">1. Додаткових надходжень до державного та місцевих бюджетів і державних цільових фондів, пов'язаний з дією </w:t>
      </w:r>
      <w:proofErr w:type="spellStart"/>
      <w:r w:rsidRPr="00B3770D">
        <w:rPr>
          <w:color w:val="000000" w:themeColor="text1"/>
          <w:sz w:val="27"/>
          <w:szCs w:val="27"/>
          <w:lang w:val="uk-UA"/>
        </w:rPr>
        <w:t>акта</w:t>
      </w:r>
      <w:proofErr w:type="spellEnd"/>
      <w:r w:rsidRPr="00B3770D">
        <w:rPr>
          <w:color w:val="000000" w:themeColor="text1"/>
          <w:sz w:val="27"/>
          <w:szCs w:val="27"/>
          <w:lang w:val="uk-UA"/>
        </w:rPr>
        <w:t>, не</w:t>
      </w:r>
      <w:r w:rsidRPr="00B3770D">
        <w:rPr>
          <w:sz w:val="27"/>
          <w:szCs w:val="27"/>
          <w:lang w:val="uk-UA"/>
        </w:rPr>
        <w:t xml:space="preserve"> очікується.</w:t>
      </w:r>
    </w:p>
    <w:p w:rsidR="00E02AA9" w:rsidRPr="00B3770D" w:rsidRDefault="00A5451E" w:rsidP="00B3770D">
      <w:pPr>
        <w:ind w:left="-426" w:right="-377" w:firstLine="426"/>
        <w:jc w:val="both"/>
        <w:rPr>
          <w:color w:val="000000" w:themeColor="text1"/>
          <w:sz w:val="27"/>
          <w:szCs w:val="27"/>
          <w:lang w:val="uk-UA"/>
        </w:rPr>
      </w:pPr>
      <w:r w:rsidRPr="00B3770D">
        <w:rPr>
          <w:color w:val="000000" w:themeColor="text1"/>
          <w:sz w:val="27"/>
          <w:szCs w:val="27"/>
          <w:lang w:val="uk-UA"/>
        </w:rPr>
        <w:t>2</w:t>
      </w:r>
      <w:r w:rsidR="008A4624" w:rsidRPr="00B3770D">
        <w:rPr>
          <w:color w:val="000000" w:themeColor="text1"/>
          <w:sz w:val="27"/>
          <w:szCs w:val="27"/>
          <w:lang w:val="uk-UA"/>
        </w:rPr>
        <w:t xml:space="preserve">. Дія </w:t>
      </w:r>
      <w:proofErr w:type="spellStart"/>
      <w:r w:rsidR="008A4624" w:rsidRPr="00B3770D">
        <w:rPr>
          <w:color w:val="000000" w:themeColor="text1"/>
          <w:sz w:val="27"/>
          <w:szCs w:val="27"/>
          <w:lang w:val="uk-UA"/>
        </w:rPr>
        <w:t>акта</w:t>
      </w:r>
      <w:proofErr w:type="spellEnd"/>
      <w:r w:rsidR="008A4624" w:rsidRPr="00B3770D">
        <w:rPr>
          <w:color w:val="000000" w:themeColor="text1"/>
          <w:sz w:val="27"/>
          <w:szCs w:val="27"/>
          <w:lang w:val="uk-UA"/>
        </w:rPr>
        <w:t xml:space="preserve"> поширюється на платників </w:t>
      </w:r>
      <w:r w:rsidR="00F54C88" w:rsidRPr="00B3770D">
        <w:rPr>
          <w:color w:val="000000" w:themeColor="text1"/>
          <w:sz w:val="27"/>
          <w:szCs w:val="27"/>
          <w:lang w:val="uk-UA"/>
        </w:rPr>
        <w:t>подат</w:t>
      </w:r>
      <w:r w:rsidR="00B05699" w:rsidRPr="00B3770D">
        <w:rPr>
          <w:color w:val="000000" w:themeColor="text1"/>
          <w:sz w:val="27"/>
          <w:szCs w:val="27"/>
          <w:lang w:val="uk-UA"/>
        </w:rPr>
        <w:t>ку на додану вартість</w:t>
      </w:r>
      <w:r w:rsidR="00450266" w:rsidRPr="00B3770D">
        <w:rPr>
          <w:color w:val="000000" w:themeColor="text1"/>
          <w:sz w:val="27"/>
          <w:szCs w:val="27"/>
          <w:lang w:val="uk-UA"/>
        </w:rPr>
        <w:t>,</w:t>
      </w:r>
      <w:r w:rsidR="000B398D" w:rsidRPr="00B3770D">
        <w:rPr>
          <w:color w:val="000000" w:themeColor="text1"/>
          <w:sz w:val="27"/>
          <w:szCs w:val="27"/>
          <w:lang w:val="uk-UA"/>
        </w:rPr>
        <w:t xml:space="preserve"> </w:t>
      </w:r>
      <w:r w:rsidR="00483200" w:rsidRPr="00B3770D">
        <w:rPr>
          <w:color w:val="000000" w:themeColor="text1"/>
          <w:sz w:val="27"/>
          <w:szCs w:val="27"/>
          <w:lang w:val="uk-UA"/>
        </w:rPr>
        <w:t>як</w:t>
      </w:r>
      <w:r w:rsidR="00F54C88" w:rsidRPr="00B3770D">
        <w:rPr>
          <w:color w:val="000000" w:themeColor="text1"/>
          <w:sz w:val="27"/>
          <w:szCs w:val="27"/>
          <w:lang w:val="uk-UA"/>
        </w:rPr>
        <w:t>і</w:t>
      </w:r>
      <w:r w:rsidR="000B398D" w:rsidRPr="00B3770D">
        <w:rPr>
          <w:color w:val="000000" w:themeColor="text1"/>
          <w:sz w:val="27"/>
          <w:szCs w:val="27"/>
          <w:lang w:val="uk-UA"/>
        </w:rPr>
        <w:t xml:space="preserve"> </w:t>
      </w:r>
      <w:r w:rsidR="00F54C88" w:rsidRPr="00B3770D">
        <w:rPr>
          <w:color w:val="000000" w:themeColor="text1"/>
          <w:sz w:val="27"/>
          <w:szCs w:val="27"/>
          <w:lang w:val="uk-UA"/>
        </w:rPr>
        <w:t>реєструють</w:t>
      </w:r>
      <w:r w:rsidR="000B398D" w:rsidRPr="00B3770D">
        <w:rPr>
          <w:color w:val="000000" w:themeColor="text1"/>
          <w:sz w:val="27"/>
          <w:szCs w:val="27"/>
          <w:lang w:val="uk-UA"/>
        </w:rPr>
        <w:t xml:space="preserve"> </w:t>
      </w:r>
      <w:r w:rsidR="00E74AA7" w:rsidRPr="00B3770D">
        <w:rPr>
          <w:color w:val="000000" w:themeColor="text1"/>
          <w:sz w:val="27"/>
          <w:szCs w:val="27"/>
          <w:lang w:val="uk-UA"/>
        </w:rPr>
        <w:t>податкову накладну/розрахунок коригування в Єдиному реєстрі податкових накладних</w:t>
      </w:r>
      <w:r w:rsidR="00483200" w:rsidRPr="00B3770D">
        <w:rPr>
          <w:color w:val="000000" w:themeColor="text1"/>
          <w:sz w:val="27"/>
          <w:szCs w:val="27"/>
          <w:lang w:val="uk-UA"/>
        </w:rPr>
        <w:t xml:space="preserve">, відповідно до статті </w:t>
      </w:r>
      <w:r w:rsidR="00E74AA7" w:rsidRPr="00B3770D">
        <w:rPr>
          <w:color w:val="000000" w:themeColor="text1"/>
          <w:sz w:val="27"/>
          <w:szCs w:val="27"/>
          <w:lang w:val="uk-UA"/>
        </w:rPr>
        <w:t>201</w:t>
      </w:r>
      <w:r w:rsidR="00483200" w:rsidRPr="00B3770D">
        <w:rPr>
          <w:color w:val="000000" w:themeColor="text1"/>
          <w:sz w:val="27"/>
          <w:szCs w:val="27"/>
          <w:lang w:val="uk-UA"/>
        </w:rPr>
        <w:t xml:space="preserve"> Кодексу</w:t>
      </w:r>
      <w:r w:rsidR="008A4624" w:rsidRPr="00B3770D">
        <w:rPr>
          <w:color w:val="000000" w:themeColor="text1"/>
          <w:sz w:val="27"/>
          <w:szCs w:val="27"/>
          <w:lang w:val="uk-UA"/>
        </w:rPr>
        <w:t>.</w:t>
      </w:r>
    </w:p>
    <w:p w:rsidR="00B05699" w:rsidRPr="00B3770D" w:rsidRDefault="00A5451E" w:rsidP="00B3770D">
      <w:pPr>
        <w:ind w:left="-426" w:right="-377" w:firstLine="426"/>
        <w:jc w:val="both"/>
        <w:rPr>
          <w:sz w:val="27"/>
          <w:szCs w:val="27"/>
          <w:lang w:val="uk-UA"/>
        </w:rPr>
      </w:pPr>
      <w:r w:rsidRPr="00B3770D">
        <w:rPr>
          <w:sz w:val="27"/>
          <w:szCs w:val="27"/>
          <w:lang w:val="uk-UA"/>
        </w:rPr>
        <w:t>3</w:t>
      </w:r>
      <w:r w:rsidR="00B05699" w:rsidRPr="00B3770D">
        <w:rPr>
          <w:sz w:val="27"/>
          <w:szCs w:val="27"/>
          <w:lang w:val="uk-UA"/>
        </w:rPr>
        <w:t xml:space="preserve">. Кошти і час, що витрачатимуться суб'єктами господарювання, пов'язаними з виконанням вимог </w:t>
      </w:r>
      <w:proofErr w:type="spellStart"/>
      <w:r w:rsidR="00B05699" w:rsidRPr="00B3770D">
        <w:rPr>
          <w:sz w:val="27"/>
          <w:szCs w:val="27"/>
          <w:lang w:val="uk-UA"/>
        </w:rPr>
        <w:t>акта</w:t>
      </w:r>
      <w:proofErr w:type="spellEnd"/>
      <w:r w:rsidR="00B05699" w:rsidRPr="00B3770D">
        <w:rPr>
          <w:sz w:val="27"/>
          <w:szCs w:val="27"/>
          <w:lang w:val="uk-UA"/>
        </w:rPr>
        <w:t xml:space="preserve"> – не передбачається.</w:t>
      </w:r>
    </w:p>
    <w:p w:rsidR="004138C3" w:rsidRPr="00B3770D" w:rsidRDefault="00A5451E" w:rsidP="00B3770D">
      <w:pPr>
        <w:ind w:left="-426" w:right="-377" w:firstLine="426"/>
        <w:jc w:val="both"/>
        <w:rPr>
          <w:iCs/>
          <w:sz w:val="27"/>
          <w:szCs w:val="27"/>
          <w:lang w:val="uk-UA"/>
        </w:rPr>
      </w:pPr>
      <w:r w:rsidRPr="00B3770D">
        <w:rPr>
          <w:iCs/>
          <w:sz w:val="27"/>
          <w:szCs w:val="27"/>
          <w:lang w:val="uk-UA"/>
        </w:rPr>
        <w:t>4</w:t>
      </w:r>
      <w:r w:rsidR="0028308C" w:rsidRPr="00B3770D">
        <w:rPr>
          <w:iCs/>
          <w:sz w:val="27"/>
          <w:szCs w:val="27"/>
          <w:lang w:val="uk-UA"/>
        </w:rPr>
        <w:t xml:space="preserve">. </w:t>
      </w:r>
      <w:r w:rsidR="00D75BA5" w:rsidRPr="00B3770D">
        <w:rPr>
          <w:iCs/>
          <w:sz w:val="27"/>
          <w:szCs w:val="27"/>
          <w:lang w:val="uk-UA"/>
        </w:rPr>
        <w:t>Рівень поінформованості суб’єктів госпо</w:t>
      </w:r>
      <w:r w:rsidR="008E461F" w:rsidRPr="00B3770D">
        <w:rPr>
          <w:iCs/>
          <w:sz w:val="27"/>
          <w:szCs w:val="27"/>
          <w:lang w:val="uk-UA"/>
        </w:rPr>
        <w:t xml:space="preserve">дарювання </w:t>
      </w:r>
      <w:r w:rsidR="004138C3" w:rsidRPr="00B3770D">
        <w:rPr>
          <w:iCs/>
          <w:sz w:val="27"/>
          <w:szCs w:val="27"/>
          <w:lang w:val="uk-UA"/>
        </w:rPr>
        <w:t xml:space="preserve">оцінюється як </w:t>
      </w:r>
      <w:r w:rsidR="00304094" w:rsidRPr="00B3770D">
        <w:rPr>
          <w:iCs/>
          <w:sz w:val="27"/>
          <w:szCs w:val="27"/>
          <w:lang w:val="uk-UA"/>
        </w:rPr>
        <w:t>високий</w:t>
      </w:r>
      <w:r w:rsidR="004138C3" w:rsidRPr="00B3770D">
        <w:rPr>
          <w:iCs/>
          <w:sz w:val="27"/>
          <w:szCs w:val="27"/>
          <w:lang w:val="uk-UA"/>
        </w:rPr>
        <w:t>.</w:t>
      </w:r>
      <w:r w:rsidR="00304094" w:rsidRPr="00B3770D">
        <w:rPr>
          <w:sz w:val="27"/>
          <w:szCs w:val="27"/>
          <w:lang w:val="uk-UA"/>
        </w:rPr>
        <w:t xml:space="preserve"> Проект </w:t>
      </w:r>
      <w:proofErr w:type="spellStart"/>
      <w:r w:rsidR="00304094" w:rsidRPr="00B3770D">
        <w:rPr>
          <w:sz w:val="27"/>
          <w:szCs w:val="27"/>
          <w:lang w:val="uk-UA"/>
        </w:rPr>
        <w:t>акта</w:t>
      </w:r>
      <w:proofErr w:type="spellEnd"/>
      <w:r w:rsidR="00304094" w:rsidRPr="00B3770D">
        <w:rPr>
          <w:sz w:val="27"/>
          <w:szCs w:val="27"/>
          <w:lang w:val="uk-UA"/>
        </w:rPr>
        <w:t xml:space="preserve"> розміщено на офіційному веб-порталі МФУ. Після прийняття акт буде оприлюднено у засобах масової інформації.  </w:t>
      </w:r>
    </w:p>
    <w:p w:rsidR="00B05699" w:rsidRPr="00B3770D" w:rsidRDefault="00B05699" w:rsidP="00B3770D">
      <w:pPr>
        <w:ind w:left="-426" w:right="-377" w:firstLine="426"/>
        <w:jc w:val="both"/>
        <w:rPr>
          <w:sz w:val="27"/>
          <w:szCs w:val="27"/>
          <w:lang w:val="uk-UA"/>
        </w:rPr>
      </w:pPr>
      <w:r w:rsidRPr="00B3770D">
        <w:rPr>
          <w:sz w:val="27"/>
          <w:szCs w:val="27"/>
          <w:lang w:val="uk-UA"/>
        </w:rPr>
        <w:t xml:space="preserve">Додаткові показники результативності регуляторного </w:t>
      </w:r>
      <w:proofErr w:type="spellStart"/>
      <w:r w:rsidRPr="00B3770D">
        <w:rPr>
          <w:sz w:val="27"/>
          <w:szCs w:val="27"/>
          <w:lang w:val="uk-UA"/>
        </w:rPr>
        <w:t>акта</w:t>
      </w:r>
      <w:proofErr w:type="spellEnd"/>
      <w:r w:rsidRPr="00B3770D">
        <w:rPr>
          <w:sz w:val="27"/>
          <w:szCs w:val="27"/>
          <w:lang w:val="uk-UA"/>
        </w:rPr>
        <w:t>:</w:t>
      </w:r>
    </w:p>
    <w:p w:rsidR="00B05699" w:rsidRPr="00B3770D" w:rsidRDefault="00B05699" w:rsidP="00B3770D">
      <w:pPr>
        <w:ind w:left="-426" w:right="-377" w:firstLine="426"/>
        <w:jc w:val="both"/>
        <w:rPr>
          <w:sz w:val="27"/>
          <w:szCs w:val="27"/>
          <w:lang w:val="uk-UA"/>
        </w:rPr>
      </w:pPr>
      <w:r w:rsidRPr="00B3770D">
        <w:rPr>
          <w:sz w:val="27"/>
          <w:szCs w:val="27"/>
          <w:lang w:val="uk-UA"/>
        </w:rPr>
        <w:t xml:space="preserve">Кількість зареєстрованих податкових накладних розрахунків коригування в </w:t>
      </w:r>
      <w:r w:rsidR="006A0F10" w:rsidRPr="00B3770D">
        <w:rPr>
          <w:sz w:val="27"/>
          <w:szCs w:val="27"/>
          <w:lang w:val="uk-UA"/>
        </w:rPr>
        <w:t>Єдиному реєстрі податкових накладних</w:t>
      </w:r>
      <w:r w:rsidRPr="00B3770D">
        <w:rPr>
          <w:sz w:val="27"/>
          <w:szCs w:val="27"/>
          <w:lang w:val="uk-UA"/>
        </w:rPr>
        <w:t>.</w:t>
      </w:r>
    </w:p>
    <w:p w:rsidR="00B05699" w:rsidRPr="00B3770D" w:rsidRDefault="00B05699" w:rsidP="00B3770D">
      <w:pPr>
        <w:ind w:left="-426" w:right="-377" w:firstLine="426"/>
        <w:jc w:val="both"/>
        <w:rPr>
          <w:sz w:val="27"/>
          <w:szCs w:val="27"/>
          <w:lang w:val="uk-UA"/>
        </w:rPr>
      </w:pPr>
      <w:r w:rsidRPr="00B3770D">
        <w:rPr>
          <w:sz w:val="27"/>
          <w:szCs w:val="27"/>
          <w:lang w:val="uk-UA"/>
        </w:rPr>
        <w:t xml:space="preserve">Кількість зупинених податкових накладних розрахунків коригування в </w:t>
      </w:r>
      <w:r w:rsidR="006A0F10" w:rsidRPr="00B3770D">
        <w:rPr>
          <w:sz w:val="27"/>
          <w:szCs w:val="27"/>
          <w:lang w:val="uk-UA"/>
        </w:rPr>
        <w:t>Єдиному реєстрі податкових накладних</w:t>
      </w:r>
      <w:r w:rsidRPr="00B3770D">
        <w:rPr>
          <w:sz w:val="27"/>
          <w:szCs w:val="27"/>
          <w:lang w:val="uk-UA"/>
        </w:rPr>
        <w:t>.</w:t>
      </w:r>
    </w:p>
    <w:p w:rsidR="00B05699" w:rsidRPr="00B3770D" w:rsidRDefault="00E02AA9" w:rsidP="00B3770D">
      <w:pPr>
        <w:ind w:left="-426" w:right="-377" w:firstLine="426"/>
        <w:jc w:val="both"/>
        <w:rPr>
          <w:sz w:val="27"/>
          <w:szCs w:val="27"/>
          <w:lang w:val="uk-UA"/>
        </w:rPr>
      </w:pPr>
      <w:r w:rsidRPr="00B3770D">
        <w:rPr>
          <w:sz w:val="27"/>
          <w:szCs w:val="27"/>
          <w:lang w:val="uk-UA"/>
        </w:rPr>
        <w:t xml:space="preserve">Кількість пояснень та/або копій документів поданих відповідно до підпункту </w:t>
      </w:r>
      <w:r w:rsidR="009528A8" w:rsidRPr="00B3770D">
        <w:rPr>
          <w:sz w:val="27"/>
          <w:szCs w:val="27"/>
          <w:lang w:val="uk-UA"/>
        </w:rPr>
        <w:t>«в» пункту 201.16.1 підпункту 201.16 статті 201 Кодексу</w:t>
      </w:r>
      <w:r w:rsidR="00304094" w:rsidRPr="00B3770D">
        <w:rPr>
          <w:sz w:val="27"/>
          <w:szCs w:val="27"/>
          <w:lang w:val="uk-UA"/>
        </w:rPr>
        <w:t>.</w:t>
      </w:r>
    </w:p>
    <w:p w:rsidR="000B398D" w:rsidRPr="00B3770D" w:rsidRDefault="000B398D" w:rsidP="00B3770D">
      <w:pPr>
        <w:ind w:left="-426" w:right="-377" w:firstLine="426"/>
        <w:jc w:val="both"/>
        <w:rPr>
          <w:sz w:val="27"/>
          <w:szCs w:val="27"/>
          <w:lang w:val="uk-UA"/>
        </w:rPr>
      </w:pPr>
      <w:r w:rsidRPr="00B3770D">
        <w:rPr>
          <w:sz w:val="27"/>
          <w:szCs w:val="27"/>
          <w:lang w:val="uk-UA"/>
        </w:rPr>
        <w:t>Кількість поданих Таблиць даних платників податків</w:t>
      </w:r>
      <w:r w:rsidR="00304094" w:rsidRPr="00B3770D">
        <w:rPr>
          <w:sz w:val="27"/>
          <w:szCs w:val="27"/>
          <w:lang w:val="uk-UA"/>
        </w:rPr>
        <w:t>.</w:t>
      </w:r>
    </w:p>
    <w:p w:rsidR="00641E5B" w:rsidRPr="00B3770D" w:rsidRDefault="00641E5B" w:rsidP="00B3770D">
      <w:pPr>
        <w:pStyle w:val="3"/>
        <w:spacing w:before="120" w:beforeAutospacing="0" w:after="0" w:afterAutospacing="0"/>
        <w:ind w:left="-425" w:right="-374" w:firstLine="425"/>
        <w:jc w:val="center"/>
        <w:rPr>
          <w:rFonts w:eastAsia="Times New Roman"/>
          <w:lang w:val="uk-UA"/>
        </w:rPr>
      </w:pPr>
      <w:r w:rsidRPr="00B3770D">
        <w:rPr>
          <w:rFonts w:eastAsia="Times New Roman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B3770D">
        <w:rPr>
          <w:rFonts w:eastAsia="Times New Roman"/>
          <w:lang w:val="uk-UA"/>
        </w:rPr>
        <w:t>акта</w:t>
      </w:r>
      <w:proofErr w:type="spellEnd"/>
    </w:p>
    <w:p w:rsidR="00641E5B" w:rsidRPr="00B3770D" w:rsidRDefault="00641E5B" w:rsidP="00B3770D">
      <w:pPr>
        <w:spacing w:before="120"/>
        <w:ind w:left="-425" w:right="-374" w:firstLine="425"/>
        <w:jc w:val="both"/>
        <w:rPr>
          <w:sz w:val="27"/>
          <w:szCs w:val="27"/>
          <w:lang w:val="uk-UA"/>
        </w:rPr>
      </w:pPr>
      <w:r w:rsidRPr="00B3770D">
        <w:rPr>
          <w:sz w:val="27"/>
          <w:szCs w:val="27"/>
          <w:lang w:val="uk-UA"/>
        </w:rPr>
        <w:t xml:space="preserve">Базове відстеження результативності регуляторного </w:t>
      </w:r>
      <w:proofErr w:type="spellStart"/>
      <w:r w:rsidRPr="00B3770D">
        <w:rPr>
          <w:sz w:val="27"/>
          <w:szCs w:val="27"/>
          <w:lang w:val="uk-UA"/>
        </w:rPr>
        <w:t>акта</w:t>
      </w:r>
      <w:proofErr w:type="spellEnd"/>
      <w:r w:rsidRPr="00B3770D">
        <w:rPr>
          <w:sz w:val="27"/>
          <w:szCs w:val="27"/>
          <w:lang w:val="uk-UA"/>
        </w:rPr>
        <w:t xml:space="preserve"> здійсню</w:t>
      </w:r>
      <w:r w:rsidR="00825750" w:rsidRPr="00B3770D">
        <w:rPr>
          <w:sz w:val="27"/>
          <w:szCs w:val="27"/>
          <w:lang w:val="uk-UA"/>
        </w:rPr>
        <w:t>ватиметься</w:t>
      </w:r>
      <w:r w:rsidR="005C3838" w:rsidRPr="00B3770D">
        <w:rPr>
          <w:sz w:val="27"/>
          <w:szCs w:val="27"/>
          <w:lang w:val="uk-UA"/>
        </w:rPr>
        <w:t xml:space="preserve"> </w:t>
      </w:r>
      <w:r w:rsidR="00106ED6" w:rsidRPr="00B3770D">
        <w:rPr>
          <w:sz w:val="27"/>
          <w:szCs w:val="27"/>
          <w:lang w:val="uk-UA"/>
        </w:rPr>
        <w:t xml:space="preserve">статистичним методом шляхом аналізу даних з інформаційних програм ДФС </w:t>
      </w:r>
      <w:r w:rsidR="007C78D0" w:rsidRPr="00B3770D">
        <w:rPr>
          <w:sz w:val="27"/>
          <w:szCs w:val="27"/>
          <w:lang w:val="uk-UA"/>
        </w:rPr>
        <w:t>до дня набрання чинності цим актом</w:t>
      </w:r>
      <w:r w:rsidR="00106ED6" w:rsidRPr="00B3770D">
        <w:rPr>
          <w:sz w:val="27"/>
          <w:szCs w:val="27"/>
          <w:lang w:val="uk-UA"/>
        </w:rPr>
        <w:t>.</w:t>
      </w:r>
    </w:p>
    <w:p w:rsidR="007C78D0" w:rsidRPr="00B3770D" w:rsidRDefault="007C78D0" w:rsidP="00B3770D">
      <w:pPr>
        <w:ind w:left="-426" w:right="-377" w:firstLine="426"/>
        <w:jc w:val="both"/>
        <w:rPr>
          <w:sz w:val="27"/>
          <w:szCs w:val="27"/>
          <w:lang w:val="uk-UA"/>
        </w:rPr>
      </w:pPr>
      <w:r w:rsidRPr="00B3770D">
        <w:rPr>
          <w:sz w:val="27"/>
          <w:szCs w:val="27"/>
          <w:lang w:val="uk-UA"/>
        </w:rPr>
        <w:t xml:space="preserve">Повторне відстеження результативності </w:t>
      </w:r>
      <w:proofErr w:type="spellStart"/>
      <w:r w:rsidRPr="00B3770D">
        <w:rPr>
          <w:sz w:val="27"/>
          <w:szCs w:val="27"/>
          <w:lang w:val="uk-UA"/>
        </w:rPr>
        <w:t>акта</w:t>
      </w:r>
      <w:proofErr w:type="spellEnd"/>
      <w:r w:rsidRPr="00B3770D">
        <w:rPr>
          <w:sz w:val="27"/>
          <w:szCs w:val="27"/>
          <w:lang w:val="uk-UA"/>
        </w:rPr>
        <w:t xml:space="preserve"> передбачається здійснити через </w:t>
      </w:r>
      <w:r w:rsidR="000B398D" w:rsidRPr="00B3770D">
        <w:rPr>
          <w:sz w:val="27"/>
          <w:szCs w:val="27"/>
          <w:lang w:val="uk-UA"/>
        </w:rPr>
        <w:t xml:space="preserve">2 </w:t>
      </w:r>
      <w:r w:rsidR="00106ED6" w:rsidRPr="00B3770D">
        <w:rPr>
          <w:sz w:val="27"/>
          <w:szCs w:val="27"/>
          <w:lang w:val="uk-UA"/>
        </w:rPr>
        <w:t>місяц</w:t>
      </w:r>
      <w:r w:rsidR="000B398D" w:rsidRPr="00B3770D">
        <w:rPr>
          <w:sz w:val="27"/>
          <w:szCs w:val="27"/>
          <w:lang w:val="uk-UA"/>
        </w:rPr>
        <w:t>і</w:t>
      </w:r>
      <w:r w:rsidR="00106ED6" w:rsidRPr="00B3770D">
        <w:rPr>
          <w:sz w:val="27"/>
          <w:szCs w:val="27"/>
          <w:lang w:val="uk-UA"/>
        </w:rPr>
        <w:t xml:space="preserve"> після набрання чинності регуляторного акту</w:t>
      </w:r>
      <w:r w:rsidRPr="00B3770D">
        <w:rPr>
          <w:sz w:val="27"/>
          <w:szCs w:val="27"/>
          <w:lang w:val="uk-UA"/>
        </w:rPr>
        <w:t>.</w:t>
      </w:r>
    </w:p>
    <w:p w:rsidR="003E0566" w:rsidRDefault="003E0566" w:rsidP="00641E5B">
      <w:pPr>
        <w:ind w:firstLine="720"/>
        <w:jc w:val="both"/>
        <w:rPr>
          <w:sz w:val="28"/>
          <w:szCs w:val="28"/>
          <w:lang w:val="uk-UA"/>
        </w:rPr>
      </w:pPr>
    </w:p>
    <w:p w:rsidR="003E0566" w:rsidRDefault="003E0566" w:rsidP="00641E5B">
      <w:pPr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41E5B" w:rsidRPr="003E0566" w:rsidRDefault="00641E5B" w:rsidP="003E0566">
      <w:pPr>
        <w:ind w:left="-426" w:right="-377" w:firstLine="426"/>
        <w:jc w:val="both"/>
        <w:rPr>
          <w:sz w:val="27"/>
          <w:szCs w:val="27"/>
          <w:lang w:val="uk-UA"/>
        </w:rPr>
      </w:pPr>
      <w:r w:rsidRPr="003E0566">
        <w:rPr>
          <w:sz w:val="27"/>
          <w:szCs w:val="27"/>
          <w:lang w:val="uk-UA"/>
        </w:rPr>
        <w:lastRenderedPageBreak/>
        <w:t xml:space="preserve">У разі надходження пропозицій та зауважень щодо вирішення неврегульованих або проблемних питань </w:t>
      </w:r>
      <w:r w:rsidR="00406245" w:rsidRPr="003E0566">
        <w:rPr>
          <w:sz w:val="27"/>
          <w:szCs w:val="27"/>
          <w:lang w:val="uk-UA"/>
        </w:rPr>
        <w:t>розглядатиметься</w:t>
      </w:r>
      <w:r w:rsidRPr="003E0566">
        <w:rPr>
          <w:sz w:val="27"/>
          <w:szCs w:val="27"/>
          <w:lang w:val="uk-UA"/>
        </w:rPr>
        <w:t xml:space="preserve"> необхідність внесення відповідних змін.</w:t>
      </w:r>
    </w:p>
    <w:p w:rsidR="00106ED6" w:rsidRPr="003E0566" w:rsidRDefault="00106ED6" w:rsidP="003E0566">
      <w:pPr>
        <w:ind w:left="-426" w:right="-377" w:firstLine="426"/>
        <w:jc w:val="both"/>
        <w:rPr>
          <w:sz w:val="27"/>
          <w:szCs w:val="27"/>
          <w:lang w:val="uk-UA"/>
        </w:rPr>
      </w:pPr>
      <w:r w:rsidRPr="003E0566">
        <w:rPr>
          <w:sz w:val="27"/>
          <w:szCs w:val="27"/>
          <w:lang w:val="uk-UA"/>
        </w:rPr>
        <w:t>Виконавцем заходів з відстеження є ДФС.</w:t>
      </w:r>
    </w:p>
    <w:p w:rsidR="00C611EF" w:rsidRPr="003E0566" w:rsidRDefault="00C611EF" w:rsidP="003E0566">
      <w:pPr>
        <w:ind w:left="-426" w:right="-377" w:firstLine="426"/>
        <w:jc w:val="both"/>
        <w:rPr>
          <w:sz w:val="27"/>
          <w:szCs w:val="27"/>
          <w:lang w:val="uk-UA"/>
        </w:rPr>
      </w:pPr>
    </w:p>
    <w:sectPr w:rsidR="00C611EF" w:rsidRPr="003E0566" w:rsidSect="0085706D">
      <w:headerReference w:type="default" r:id="rId8"/>
      <w:pgSz w:w="12240" w:h="15840"/>
      <w:pgMar w:top="426" w:right="851" w:bottom="28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A3D" w:rsidRDefault="00C42A3D" w:rsidP="00854480">
      <w:r>
        <w:separator/>
      </w:r>
    </w:p>
  </w:endnote>
  <w:endnote w:type="continuationSeparator" w:id="0">
    <w:p w:rsidR="00C42A3D" w:rsidRDefault="00C42A3D" w:rsidP="0085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A3D" w:rsidRDefault="00C42A3D" w:rsidP="00854480">
      <w:r>
        <w:separator/>
      </w:r>
    </w:p>
  </w:footnote>
  <w:footnote w:type="continuationSeparator" w:id="0">
    <w:p w:rsidR="00C42A3D" w:rsidRDefault="00C42A3D" w:rsidP="0085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88" w:rsidRDefault="00E6379F">
    <w:pPr>
      <w:pStyle w:val="a6"/>
      <w:jc w:val="center"/>
    </w:pPr>
    <w:r>
      <w:fldChar w:fldCharType="begin"/>
    </w:r>
    <w:r w:rsidR="007E5988">
      <w:instrText xml:space="preserve"> PAGE   \* MERGEFORMAT </w:instrText>
    </w:r>
    <w:r>
      <w:fldChar w:fldCharType="separate"/>
    </w:r>
    <w:r w:rsidR="003E0566">
      <w:rPr>
        <w:noProof/>
      </w:rPr>
      <w:t>7</w:t>
    </w:r>
    <w:r>
      <w:fldChar w:fldCharType="end"/>
    </w:r>
  </w:p>
  <w:p w:rsidR="007E5988" w:rsidRDefault="007E59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62EBE"/>
    <w:multiLevelType w:val="hybridMultilevel"/>
    <w:tmpl w:val="076044B0"/>
    <w:lvl w:ilvl="0" w:tplc="D4DA33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C44B6"/>
    <w:multiLevelType w:val="hybridMultilevel"/>
    <w:tmpl w:val="CFE8794A"/>
    <w:lvl w:ilvl="0" w:tplc="89FE3936">
      <w:start w:val="5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5B"/>
    <w:rsid w:val="00004ABE"/>
    <w:rsid w:val="00006756"/>
    <w:rsid w:val="00010B07"/>
    <w:rsid w:val="000343CC"/>
    <w:rsid w:val="0004165A"/>
    <w:rsid w:val="00054756"/>
    <w:rsid w:val="000601D5"/>
    <w:rsid w:val="00066A39"/>
    <w:rsid w:val="000744D6"/>
    <w:rsid w:val="00075B6D"/>
    <w:rsid w:val="00090F88"/>
    <w:rsid w:val="000921B1"/>
    <w:rsid w:val="0009786E"/>
    <w:rsid w:val="000B398D"/>
    <w:rsid w:val="000C75D2"/>
    <w:rsid w:val="000D037B"/>
    <w:rsid w:val="000D77A6"/>
    <w:rsid w:val="000E0F17"/>
    <w:rsid w:val="000E2E17"/>
    <w:rsid w:val="000E4BD2"/>
    <w:rsid w:val="00102348"/>
    <w:rsid w:val="00106ED6"/>
    <w:rsid w:val="0010784F"/>
    <w:rsid w:val="00125D47"/>
    <w:rsid w:val="00132C3A"/>
    <w:rsid w:val="00145703"/>
    <w:rsid w:val="00156CA8"/>
    <w:rsid w:val="001654B7"/>
    <w:rsid w:val="00172E82"/>
    <w:rsid w:val="0017687C"/>
    <w:rsid w:val="00181471"/>
    <w:rsid w:val="00182659"/>
    <w:rsid w:val="001A5999"/>
    <w:rsid w:val="001A78C1"/>
    <w:rsid w:val="001B4408"/>
    <w:rsid w:val="001B66A0"/>
    <w:rsid w:val="001C1AE6"/>
    <w:rsid w:val="001E4A7D"/>
    <w:rsid w:val="001F2F00"/>
    <w:rsid w:val="00202908"/>
    <w:rsid w:val="00223B59"/>
    <w:rsid w:val="002402FE"/>
    <w:rsid w:val="00241597"/>
    <w:rsid w:val="0024229F"/>
    <w:rsid w:val="0025058F"/>
    <w:rsid w:val="0025784F"/>
    <w:rsid w:val="002601E7"/>
    <w:rsid w:val="00271E21"/>
    <w:rsid w:val="0028308C"/>
    <w:rsid w:val="00294B80"/>
    <w:rsid w:val="002A452A"/>
    <w:rsid w:val="002B1A09"/>
    <w:rsid w:val="002C101A"/>
    <w:rsid w:val="002E100C"/>
    <w:rsid w:val="002F064C"/>
    <w:rsid w:val="002F30C0"/>
    <w:rsid w:val="002F3FC3"/>
    <w:rsid w:val="002F42F7"/>
    <w:rsid w:val="00304094"/>
    <w:rsid w:val="00304405"/>
    <w:rsid w:val="003044E4"/>
    <w:rsid w:val="00304ECC"/>
    <w:rsid w:val="003055C8"/>
    <w:rsid w:val="00312E60"/>
    <w:rsid w:val="00313ED8"/>
    <w:rsid w:val="00322366"/>
    <w:rsid w:val="0035365E"/>
    <w:rsid w:val="003620F9"/>
    <w:rsid w:val="00363C6D"/>
    <w:rsid w:val="003707EB"/>
    <w:rsid w:val="00370E19"/>
    <w:rsid w:val="003B03A9"/>
    <w:rsid w:val="003B4254"/>
    <w:rsid w:val="003C02F0"/>
    <w:rsid w:val="003E0566"/>
    <w:rsid w:val="003E19AF"/>
    <w:rsid w:val="003F1FEF"/>
    <w:rsid w:val="003F23DE"/>
    <w:rsid w:val="003F2D63"/>
    <w:rsid w:val="00406245"/>
    <w:rsid w:val="0040686D"/>
    <w:rsid w:val="0041307A"/>
    <w:rsid w:val="004138C3"/>
    <w:rsid w:val="004163B4"/>
    <w:rsid w:val="0041660D"/>
    <w:rsid w:val="00417961"/>
    <w:rsid w:val="0042066A"/>
    <w:rsid w:val="00430572"/>
    <w:rsid w:val="00442200"/>
    <w:rsid w:val="00450266"/>
    <w:rsid w:val="00465152"/>
    <w:rsid w:val="00473747"/>
    <w:rsid w:val="00476AD4"/>
    <w:rsid w:val="0048021F"/>
    <w:rsid w:val="00483200"/>
    <w:rsid w:val="0048609F"/>
    <w:rsid w:val="00491371"/>
    <w:rsid w:val="004B1927"/>
    <w:rsid w:val="004B428D"/>
    <w:rsid w:val="004B56F3"/>
    <w:rsid w:val="004D6EF6"/>
    <w:rsid w:val="004E0D51"/>
    <w:rsid w:val="004E6FAF"/>
    <w:rsid w:val="004F4837"/>
    <w:rsid w:val="00506A01"/>
    <w:rsid w:val="0050794E"/>
    <w:rsid w:val="005159DE"/>
    <w:rsid w:val="00516E93"/>
    <w:rsid w:val="00525045"/>
    <w:rsid w:val="00530E2B"/>
    <w:rsid w:val="00552EEE"/>
    <w:rsid w:val="0055674B"/>
    <w:rsid w:val="00581B86"/>
    <w:rsid w:val="005B4F5C"/>
    <w:rsid w:val="005C3838"/>
    <w:rsid w:val="005C4B49"/>
    <w:rsid w:val="005D69C2"/>
    <w:rsid w:val="005E2DEE"/>
    <w:rsid w:val="00630DD7"/>
    <w:rsid w:val="00641E5B"/>
    <w:rsid w:val="0064387C"/>
    <w:rsid w:val="00643BA5"/>
    <w:rsid w:val="00647509"/>
    <w:rsid w:val="00657756"/>
    <w:rsid w:val="00663C16"/>
    <w:rsid w:val="00671645"/>
    <w:rsid w:val="00675E4D"/>
    <w:rsid w:val="006765F3"/>
    <w:rsid w:val="00677061"/>
    <w:rsid w:val="006A0F10"/>
    <w:rsid w:val="006A36B5"/>
    <w:rsid w:val="006B1F1C"/>
    <w:rsid w:val="006B3E11"/>
    <w:rsid w:val="006C0459"/>
    <w:rsid w:val="006D004D"/>
    <w:rsid w:val="006E1781"/>
    <w:rsid w:val="006E3B67"/>
    <w:rsid w:val="006E580D"/>
    <w:rsid w:val="00717131"/>
    <w:rsid w:val="0072457F"/>
    <w:rsid w:val="0073476E"/>
    <w:rsid w:val="0074227E"/>
    <w:rsid w:val="00746808"/>
    <w:rsid w:val="00750F96"/>
    <w:rsid w:val="00751913"/>
    <w:rsid w:val="00752A79"/>
    <w:rsid w:val="007619AF"/>
    <w:rsid w:val="00783418"/>
    <w:rsid w:val="0078721E"/>
    <w:rsid w:val="007A7652"/>
    <w:rsid w:val="007C78D0"/>
    <w:rsid w:val="007D4E9D"/>
    <w:rsid w:val="007E5988"/>
    <w:rsid w:val="00800925"/>
    <w:rsid w:val="0080094E"/>
    <w:rsid w:val="008045A9"/>
    <w:rsid w:val="008051E4"/>
    <w:rsid w:val="00812243"/>
    <w:rsid w:val="00813FF7"/>
    <w:rsid w:val="00825750"/>
    <w:rsid w:val="00826694"/>
    <w:rsid w:val="0082732B"/>
    <w:rsid w:val="0083050F"/>
    <w:rsid w:val="00830D04"/>
    <w:rsid w:val="008317E5"/>
    <w:rsid w:val="00846E31"/>
    <w:rsid w:val="0085197D"/>
    <w:rsid w:val="00854480"/>
    <w:rsid w:val="0085706D"/>
    <w:rsid w:val="00860B49"/>
    <w:rsid w:val="00865D69"/>
    <w:rsid w:val="00870252"/>
    <w:rsid w:val="0088523E"/>
    <w:rsid w:val="008877BD"/>
    <w:rsid w:val="00892DA4"/>
    <w:rsid w:val="008A0281"/>
    <w:rsid w:val="008A4624"/>
    <w:rsid w:val="008C15F1"/>
    <w:rsid w:val="008C222F"/>
    <w:rsid w:val="008C68DB"/>
    <w:rsid w:val="008C7FE2"/>
    <w:rsid w:val="008D2968"/>
    <w:rsid w:val="008D2B95"/>
    <w:rsid w:val="008D32FC"/>
    <w:rsid w:val="008D7D71"/>
    <w:rsid w:val="008E3277"/>
    <w:rsid w:val="008E461F"/>
    <w:rsid w:val="008F024C"/>
    <w:rsid w:val="008F0A62"/>
    <w:rsid w:val="008F2621"/>
    <w:rsid w:val="008F6F61"/>
    <w:rsid w:val="0090157D"/>
    <w:rsid w:val="009042FE"/>
    <w:rsid w:val="00913A05"/>
    <w:rsid w:val="009468AA"/>
    <w:rsid w:val="009528A8"/>
    <w:rsid w:val="009539DC"/>
    <w:rsid w:val="00957E33"/>
    <w:rsid w:val="00977532"/>
    <w:rsid w:val="00977907"/>
    <w:rsid w:val="009906B6"/>
    <w:rsid w:val="009924B7"/>
    <w:rsid w:val="00997C17"/>
    <w:rsid w:val="009C3B78"/>
    <w:rsid w:val="009C5A2A"/>
    <w:rsid w:val="009D3FB7"/>
    <w:rsid w:val="009D628B"/>
    <w:rsid w:val="009D76DB"/>
    <w:rsid w:val="009E1126"/>
    <w:rsid w:val="009E307B"/>
    <w:rsid w:val="009F00F0"/>
    <w:rsid w:val="009F1AF9"/>
    <w:rsid w:val="009F31B5"/>
    <w:rsid w:val="00A16EAD"/>
    <w:rsid w:val="00A21C7C"/>
    <w:rsid w:val="00A25AFB"/>
    <w:rsid w:val="00A3784E"/>
    <w:rsid w:val="00A423F5"/>
    <w:rsid w:val="00A5451E"/>
    <w:rsid w:val="00A60405"/>
    <w:rsid w:val="00A61BCB"/>
    <w:rsid w:val="00A77B2F"/>
    <w:rsid w:val="00A808B0"/>
    <w:rsid w:val="00AB0F27"/>
    <w:rsid w:val="00AC4A22"/>
    <w:rsid w:val="00AF2C3F"/>
    <w:rsid w:val="00B0206E"/>
    <w:rsid w:val="00B05699"/>
    <w:rsid w:val="00B21510"/>
    <w:rsid w:val="00B3770D"/>
    <w:rsid w:val="00B4010A"/>
    <w:rsid w:val="00B434F6"/>
    <w:rsid w:val="00B7078F"/>
    <w:rsid w:val="00B80EF5"/>
    <w:rsid w:val="00B82B89"/>
    <w:rsid w:val="00B918E2"/>
    <w:rsid w:val="00BA6DAC"/>
    <w:rsid w:val="00BA6E18"/>
    <w:rsid w:val="00BB00E3"/>
    <w:rsid w:val="00BB16C2"/>
    <w:rsid w:val="00BB6D06"/>
    <w:rsid w:val="00BF71BE"/>
    <w:rsid w:val="00C053FC"/>
    <w:rsid w:val="00C0666D"/>
    <w:rsid w:val="00C16579"/>
    <w:rsid w:val="00C1672C"/>
    <w:rsid w:val="00C21C2C"/>
    <w:rsid w:val="00C24C38"/>
    <w:rsid w:val="00C30049"/>
    <w:rsid w:val="00C42A3D"/>
    <w:rsid w:val="00C611EF"/>
    <w:rsid w:val="00C61BBE"/>
    <w:rsid w:val="00C63915"/>
    <w:rsid w:val="00C63C3E"/>
    <w:rsid w:val="00C659B9"/>
    <w:rsid w:val="00C81D8A"/>
    <w:rsid w:val="00C82EB0"/>
    <w:rsid w:val="00CA7A21"/>
    <w:rsid w:val="00CB2ECD"/>
    <w:rsid w:val="00CB7D08"/>
    <w:rsid w:val="00CC29B1"/>
    <w:rsid w:val="00CD7FB5"/>
    <w:rsid w:val="00CE03F2"/>
    <w:rsid w:val="00CE2E18"/>
    <w:rsid w:val="00D11B81"/>
    <w:rsid w:val="00D1416D"/>
    <w:rsid w:val="00D16097"/>
    <w:rsid w:val="00D27371"/>
    <w:rsid w:val="00D3773F"/>
    <w:rsid w:val="00D457AC"/>
    <w:rsid w:val="00D55EB1"/>
    <w:rsid w:val="00D61D88"/>
    <w:rsid w:val="00D64E1C"/>
    <w:rsid w:val="00D67B53"/>
    <w:rsid w:val="00D75BA5"/>
    <w:rsid w:val="00D87E7F"/>
    <w:rsid w:val="00D91F4D"/>
    <w:rsid w:val="00D9239A"/>
    <w:rsid w:val="00DC3A57"/>
    <w:rsid w:val="00DC431A"/>
    <w:rsid w:val="00DD6468"/>
    <w:rsid w:val="00DE154B"/>
    <w:rsid w:val="00DE6FC6"/>
    <w:rsid w:val="00DE7024"/>
    <w:rsid w:val="00DF10C0"/>
    <w:rsid w:val="00DF3E27"/>
    <w:rsid w:val="00E02AA9"/>
    <w:rsid w:val="00E07697"/>
    <w:rsid w:val="00E10927"/>
    <w:rsid w:val="00E10C69"/>
    <w:rsid w:val="00E15B2E"/>
    <w:rsid w:val="00E227D3"/>
    <w:rsid w:val="00E22B41"/>
    <w:rsid w:val="00E271DA"/>
    <w:rsid w:val="00E32984"/>
    <w:rsid w:val="00E34A52"/>
    <w:rsid w:val="00E350A4"/>
    <w:rsid w:val="00E43408"/>
    <w:rsid w:val="00E44536"/>
    <w:rsid w:val="00E50C55"/>
    <w:rsid w:val="00E5124F"/>
    <w:rsid w:val="00E6379F"/>
    <w:rsid w:val="00E671E8"/>
    <w:rsid w:val="00E6746D"/>
    <w:rsid w:val="00E723E9"/>
    <w:rsid w:val="00E72BC6"/>
    <w:rsid w:val="00E74AA7"/>
    <w:rsid w:val="00E77425"/>
    <w:rsid w:val="00E836B2"/>
    <w:rsid w:val="00E90399"/>
    <w:rsid w:val="00EB63AD"/>
    <w:rsid w:val="00EB6BC2"/>
    <w:rsid w:val="00EB7CFF"/>
    <w:rsid w:val="00EC0ED2"/>
    <w:rsid w:val="00EC1FFC"/>
    <w:rsid w:val="00EC37A0"/>
    <w:rsid w:val="00EC748C"/>
    <w:rsid w:val="00ED2D80"/>
    <w:rsid w:val="00EF48CE"/>
    <w:rsid w:val="00EF4C40"/>
    <w:rsid w:val="00F07D72"/>
    <w:rsid w:val="00F10433"/>
    <w:rsid w:val="00F23937"/>
    <w:rsid w:val="00F24375"/>
    <w:rsid w:val="00F27AC7"/>
    <w:rsid w:val="00F30135"/>
    <w:rsid w:val="00F331D4"/>
    <w:rsid w:val="00F47CDA"/>
    <w:rsid w:val="00F5017D"/>
    <w:rsid w:val="00F54C88"/>
    <w:rsid w:val="00F54D4A"/>
    <w:rsid w:val="00F564DC"/>
    <w:rsid w:val="00F64EA4"/>
    <w:rsid w:val="00F662B4"/>
    <w:rsid w:val="00F675A8"/>
    <w:rsid w:val="00F72757"/>
    <w:rsid w:val="00F80207"/>
    <w:rsid w:val="00F9212D"/>
    <w:rsid w:val="00F92ABB"/>
    <w:rsid w:val="00F948BC"/>
    <w:rsid w:val="00F94ECA"/>
    <w:rsid w:val="00F9582C"/>
    <w:rsid w:val="00FA4D07"/>
    <w:rsid w:val="00FB2019"/>
    <w:rsid w:val="00FB78FC"/>
    <w:rsid w:val="00FC095F"/>
    <w:rsid w:val="00FD6071"/>
    <w:rsid w:val="00FD7802"/>
    <w:rsid w:val="00FF402C"/>
    <w:rsid w:val="00FF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52EAB-58B5-4373-99FC-02328D7F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5B"/>
    <w:rPr>
      <w:rFonts w:ascii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"/>
    <w:qFormat/>
    <w:rsid w:val="00641E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1E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1E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1E5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641E5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641E5B"/>
    <w:pPr>
      <w:spacing w:after="120"/>
    </w:pPr>
    <w:rPr>
      <w:sz w:val="20"/>
      <w:szCs w:val="20"/>
    </w:rPr>
  </w:style>
  <w:style w:type="character" w:customStyle="1" w:styleId="a5">
    <w:name w:val="Основний текст Знак"/>
    <w:basedOn w:val="a0"/>
    <w:link w:val="a4"/>
    <w:uiPriority w:val="99"/>
    <w:rsid w:val="00641E5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uiPriority w:val="99"/>
    <w:rsid w:val="00641E5B"/>
    <w:pPr>
      <w:autoSpaceDE w:val="0"/>
      <w:autoSpaceDN w:val="0"/>
    </w:pPr>
    <w:rPr>
      <w:color w:val="000000"/>
    </w:rPr>
  </w:style>
  <w:style w:type="paragraph" w:customStyle="1" w:styleId="a30">
    <w:name w:val="a3"/>
    <w:basedOn w:val="a"/>
    <w:uiPriority w:val="99"/>
    <w:rsid w:val="00641E5B"/>
    <w:pPr>
      <w:autoSpaceDE w:val="0"/>
      <w:autoSpaceDN w:val="0"/>
    </w:pPr>
    <w:rPr>
      <w:rFonts w:ascii="Verdana" w:hAnsi="Verdana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54480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54480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4480"/>
    <w:pPr>
      <w:tabs>
        <w:tab w:val="center" w:pos="4844"/>
        <w:tab w:val="right" w:pos="968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54480"/>
    <w:rPr>
      <w:rFonts w:ascii="Times New Roman" w:hAnsi="Times New Roman"/>
      <w:sz w:val="24"/>
      <w:szCs w:val="24"/>
    </w:rPr>
  </w:style>
  <w:style w:type="paragraph" w:customStyle="1" w:styleId="aa">
    <w:name w:val="Стандартний"/>
    <w:basedOn w:val="a"/>
    <w:rsid w:val="00F564DC"/>
    <w:pPr>
      <w:suppressAutoHyphens/>
      <w:spacing w:before="120"/>
      <w:ind w:firstLine="720"/>
      <w:jc w:val="both"/>
    </w:pPr>
    <w:rPr>
      <w:rFonts w:eastAsia="Times New Roman"/>
      <w:color w:val="0000FF"/>
      <w:sz w:val="28"/>
      <w:szCs w:val="28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0D037B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D037B"/>
    <w:rPr>
      <w:rFonts w:ascii="Segoe UI" w:hAnsi="Segoe UI" w:cs="Segoe UI"/>
      <w:sz w:val="18"/>
      <w:szCs w:val="18"/>
      <w:lang w:val="en-US" w:eastAsia="en-US"/>
    </w:rPr>
  </w:style>
  <w:style w:type="paragraph" w:styleId="ad">
    <w:name w:val="List Paragraph"/>
    <w:basedOn w:val="a"/>
    <w:uiPriority w:val="34"/>
    <w:qFormat/>
    <w:rsid w:val="00F64EA4"/>
    <w:pPr>
      <w:ind w:left="720"/>
      <w:contextualSpacing/>
    </w:pPr>
  </w:style>
  <w:style w:type="table" w:styleId="ae">
    <w:name w:val="Table Grid"/>
    <w:basedOn w:val="a1"/>
    <w:uiPriority w:val="39"/>
    <w:rsid w:val="00EB6BC2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4B1927"/>
  </w:style>
  <w:style w:type="character" w:customStyle="1" w:styleId="rvts0">
    <w:name w:val="rvts0"/>
    <w:uiPriority w:val="99"/>
    <w:rsid w:val="003707EB"/>
  </w:style>
  <w:style w:type="character" w:styleId="af">
    <w:name w:val="Strong"/>
    <w:basedOn w:val="a0"/>
    <w:uiPriority w:val="22"/>
    <w:qFormat/>
    <w:rsid w:val="00BB16C2"/>
    <w:rPr>
      <w:b/>
      <w:bCs/>
    </w:rPr>
  </w:style>
  <w:style w:type="paragraph" w:customStyle="1" w:styleId="rvps2">
    <w:name w:val="rvps2"/>
    <w:basedOn w:val="a"/>
    <w:uiPriority w:val="99"/>
    <w:rsid w:val="00E43408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FontStyle44">
    <w:name w:val="Font Style44"/>
    <w:basedOn w:val="a0"/>
    <w:uiPriority w:val="99"/>
    <w:rsid w:val="00E43408"/>
    <w:rPr>
      <w:rFonts w:ascii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9539DC"/>
    <w:rPr>
      <w:i/>
      <w:iCs/>
    </w:rPr>
  </w:style>
  <w:style w:type="character" w:customStyle="1" w:styleId="apple-converted-space">
    <w:name w:val="apple-converted-space"/>
    <w:rsid w:val="001C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AE45102C-4B57-4B07-8AD8-3841C443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9377</Words>
  <Characters>5345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/>
  <LinksUpToDate>false</LinksUpToDate>
  <CharactersWithSpaces>14693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d15-ctv</dc:creator>
  <cp:lastModifiedBy>Шарпак Наталія Юріївна</cp:lastModifiedBy>
  <cp:revision>3</cp:revision>
  <cp:lastPrinted>2017-11-08T08:00:00Z</cp:lastPrinted>
  <dcterms:created xsi:type="dcterms:W3CDTF">2017-11-08T08:01:00Z</dcterms:created>
  <dcterms:modified xsi:type="dcterms:W3CDTF">2017-11-08T08:04:00Z</dcterms:modified>
</cp:coreProperties>
</file>