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9C95E" w14:textId="77777777" w:rsidR="00B11B8A" w:rsidRPr="00C62A80" w:rsidRDefault="00B11B8A" w:rsidP="00B11B8A">
      <w:pPr>
        <w:pStyle w:val="a3"/>
        <w:ind w:right="-285"/>
        <w:rPr>
          <w:rFonts w:ascii="Times New Roman" w:hAnsi="Times New Roman"/>
          <w:sz w:val="28"/>
          <w:szCs w:val="28"/>
        </w:rPr>
      </w:pPr>
      <w:bookmarkStart w:id="0" w:name="_GoBack"/>
      <w:bookmarkEnd w:id="0"/>
      <w:r w:rsidRPr="00C62A80">
        <w:rPr>
          <w:rFonts w:ascii="Times New Roman" w:hAnsi="Times New Roman"/>
          <w:sz w:val="28"/>
          <w:szCs w:val="28"/>
        </w:rPr>
        <w:t xml:space="preserve">АНАЛІЗ РЕГУЛЯТОРНОГО ВПЛИВУ </w:t>
      </w:r>
    </w:p>
    <w:p w14:paraId="259F112A" w14:textId="77777777" w:rsidR="00B11B8A" w:rsidRPr="00C62A80" w:rsidRDefault="00B11B8A" w:rsidP="00B11B8A">
      <w:pPr>
        <w:pStyle w:val="ab"/>
        <w:ind w:firstLine="0"/>
        <w:jc w:val="center"/>
        <w:rPr>
          <w:rFonts w:ascii="Times New Roman" w:hAnsi="Times New Roman" w:cs="Times New Roman"/>
          <w:b/>
          <w:sz w:val="28"/>
          <w:szCs w:val="28"/>
        </w:rPr>
      </w:pPr>
      <w:r w:rsidRPr="00C62A80">
        <w:rPr>
          <w:rFonts w:ascii="Times New Roman" w:hAnsi="Times New Roman" w:cs="Times New Roman"/>
          <w:b/>
          <w:sz w:val="28"/>
          <w:szCs w:val="28"/>
        </w:rPr>
        <w:t>до проекту наказу Міністерства фінансів України</w:t>
      </w:r>
    </w:p>
    <w:p w14:paraId="62622F07" w14:textId="77777777" w:rsidR="00B11B8A" w:rsidRPr="00C62A80" w:rsidRDefault="00B11B8A" w:rsidP="00B11B8A">
      <w:pPr>
        <w:jc w:val="center"/>
        <w:rPr>
          <w:b/>
          <w:bCs/>
          <w:sz w:val="28"/>
          <w:szCs w:val="28"/>
          <w:shd w:val="clear" w:color="auto" w:fill="FFFFFF"/>
          <w:lang w:val="uk-UA"/>
        </w:rPr>
      </w:pPr>
      <w:r w:rsidRPr="00C62A80">
        <w:rPr>
          <w:b/>
          <w:bCs/>
          <w:sz w:val="28"/>
          <w:szCs w:val="28"/>
          <w:shd w:val="clear" w:color="auto" w:fill="FFFFFF"/>
          <w:lang w:val="uk-UA"/>
        </w:rPr>
        <w:t>«Про затвердження форм 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w:t>
      </w:r>
    </w:p>
    <w:p w14:paraId="6BB31747" w14:textId="77777777" w:rsidR="00B11B8A" w:rsidRPr="00C62A80" w:rsidRDefault="00B11B8A" w:rsidP="00B11B8A">
      <w:pPr>
        <w:jc w:val="center"/>
        <w:rPr>
          <w:b/>
          <w:noProof/>
          <w:sz w:val="28"/>
          <w:szCs w:val="28"/>
          <w:lang w:val="uk-UA"/>
        </w:rPr>
      </w:pPr>
    </w:p>
    <w:p w14:paraId="5090E2AC" w14:textId="77777777" w:rsidR="00B11B8A" w:rsidRPr="00C62A80" w:rsidRDefault="00B11B8A" w:rsidP="00B11B8A">
      <w:pPr>
        <w:pStyle w:val="Default"/>
        <w:jc w:val="center"/>
        <w:rPr>
          <w:b/>
          <w:color w:val="auto"/>
          <w:sz w:val="28"/>
          <w:szCs w:val="28"/>
          <w:lang w:val="uk-UA"/>
        </w:rPr>
      </w:pPr>
      <w:r w:rsidRPr="00C62A80">
        <w:rPr>
          <w:b/>
          <w:color w:val="auto"/>
          <w:sz w:val="28"/>
          <w:szCs w:val="28"/>
          <w:lang w:val="uk-UA"/>
        </w:rPr>
        <w:t>І. Визначення проблеми</w:t>
      </w:r>
    </w:p>
    <w:p w14:paraId="6154BF44" w14:textId="77777777" w:rsidR="00B11B8A" w:rsidRPr="00C62A80" w:rsidRDefault="00B11B8A" w:rsidP="00B11B8A">
      <w:pPr>
        <w:pStyle w:val="Default"/>
        <w:jc w:val="center"/>
        <w:rPr>
          <w:bCs/>
          <w:color w:val="auto"/>
          <w:sz w:val="28"/>
          <w:lang w:val="uk-UA" w:eastAsia="en-US"/>
        </w:rPr>
      </w:pPr>
    </w:p>
    <w:p w14:paraId="0B3A8B4B" w14:textId="77777777" w:rsidR="00B11B8A" w:rsidRPr="00C62A80" w:rsidRDefault="00B11B8A" w:rsidP="00B11B8A">
      <w:pPr>
        <w:pStyle w:val="ac"/>
        <w:ind w:firstLine="567"/>
        <w:jc w:val="both"/>
        <w:rPr>
          <w:rFonts w:ascii="Times New Roman" w:hAnsi="Times New Roman"/>
          <w:sz w:val="28"/>
          <w:szCs w:val="28"/>
        </w:rPr>
      </w:pPr>
      <w:r w:rsidRPr="00C62A80">
        <w:rPr>
          <w:rFonts w:ascii="Times New Roman" w:hAnsi="Times New Roman"/>
          <w:sz w:val="28"/>
          <w:szCs w:val="28"/>
        </w:rPr>
        <w:t>Законом України від 16.01.2020 № 466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(далі – Закон № 466) внесено зміни до статей 226 та 227 Податкового кодексу України (далі – Кодекс) в частині запровадження з 01.01.2021:</w:t>
      </w:r>
    </w:p>
    <w:p w14:paraId="5FFE6BD3" w14:textId="77777777" w:rsidR="00B11B8A" w:rsidRPr="00C62A80" w:rsidRDefault="00B11B8A" w:rsidP="00B11B8A">
      <w:pPr>
        <w:pStyle w:val="ac"/>
        <w:ind w:firstLine="567"/>
        <w:jc w:val="both"/>
        <w:rPr>
          <w:rFonts w:ascii="Times New Roman" w:hAnsi="Times New Roman"/>
          <w:sz w:val="28"/>
          <w:szCs w:val="28"/>
        </w:rPr>
      </w:pPr>
      <w:r w:rsidRPr="00C62A80">
        <w:rPr>
          <w:rFonts w:ascii="Times New Roman" w:hAnsi="Times New Roman"/>
          <w:sz w:val="28"/>
          <w:szCs w:val="28"/>
        </w:rPr>
        <w:t xml:space="preserve">маркування марками акцизного податку ємностей (упаковок) з рідиною, що використовується в електронних сигаретах; </w:t>
      </w:r>
    </w:p>
    <w:p w14:paraId="3E7B649B" w14:textId="77777777" w:rsidR="00B11B8A" w:rsidRPr="00C62A80" w:rsidRDefault="00B11B8A" w:rsidP="00B11B8A">
      <w:pPr>
        <w:pStyle w:val="ac"/>
        <w:ind w:firstLine="567"/>
        <w:jc w:val="both"/>
        <w:rPr>
          <w:rFonts w:ascii="Times New Roman" w:hAnsi="Times New Roman"/>
          <w:sz w:val="28"/>
          <w:szCs w:val="28"/>
        </w:rPr>
      </w:pPr>
      <w:r w:rsidRPr="00C62A80">
        <w:rPr>
          <w:rFonts w:ascii="Times New Roman" w:hAnsi="Times New Roman"/>
          <w:sz w:val="28"/>
          <w:szCs w:val="28"/>
        </w:rPr>
        <w:t>маркування марками акцизного податку нового зразка пачок (упаковок) сигарил, тютюновмісних виробів для електричного нагрівання (ТВЕН) за допомогою підігрівача з електронним управлінням;</w:t>
      </w:r>
    </w:p>
    <w:p w14:paraId="1ECF57D1" w14:textId="77777777" w:rsidR="00B11B8A" w:rsidRPr="00C62A80" w:rsidRDefault="00B11B8A" w:rsidP="00B11B8A">
      <w:pPr>
        <w:pStyle w:val="ac"/>
        <w:ind w:firstLine="567"/>
        <w:jc w:val="both"/>
        <w:rPr>
          <w:rFonts w:ascii="Times New Roman" w:hAnsi="Times New Roman"/>
          <w:sz w:val="28"/>
          <w:szCs w:val="28"/>
        </w:rPr>
      </w:pPr>
      <w:r w:rsidRPr="00C62A80">
        <w:rPr>
          <w:rFonts w:ascii="Times New Roman" w:hAnsi="Times New Roman"/>
          <w:sz w:val="28"/>
          <w:szCs w:val="28"/>
        </w:rPr>
        <w:t>нанесення на марки акцизного податку на сигарети, цигарки та сигарили інформації щодо кількості штук у пачці (упаковці).</w:t>
      </w:r>
    </w:p>
    <w:p w14:paraId="1368A7AC" w14:textId="77777777" w:rsidR="00B11B8A" w:rsidRPr="00C62A80" w:rsidRDefault="00B11B8A" w:rsidP="00B11B8A">
      <w:pPr>
        <w:pStyle w:val="ac"/>
        <w:ind w:firstLine="567"/>
        <w:jc w:val="both"/>
        <w:rPr>
          <w:rFonts w:ascii="Times New Roman" w:hAnsi="Times New Roman"/>
          <w:sz w:val="28"/>
          <w:szCs w:val="28"/>
        </w:rPr>
      </w:pPr>
      <w:r w:rsidRPr="00C62A80">
        <w:rPr>
          <w:rFonts w:ascii="Times New Roman" w:hAnsi="Times New Roman"/>
          <w:sz w:val="28"/>
          <w:szCs w:val="28"/>
        </w:rPr>
        <w:t>Наразі форми заявок-розрахунків на виготовлення та придбання марок акцизного податку, звіту про використання марок акцизного податку, журналів обліку марок акцизного податку та обліку документів, що підтверджують внесення плати за марки акцизного податку, Реєстру повернутих марок акцизного податку затверджено наказом Міністерства фінансів України                              від 11.04.2016 № 428 «Про затвердження форм заявок-розрахунків на виготовлення та придбання марок акцизного податку, звіту про використання марок акцизного податку та журналів для обліку марок акцизного податку» (далі – наказ № 428).</w:t>
      </w:r>
    </w:p>
    <w:p w14:paraId="30F5348C" w14:textId="77777777" w:rsidR="00B11B8A" w:rsidRPr="00C62A80" w:rsidRDefault="00B11B8A" w:rsidP="00B11B8A">
      <w:pPr>
        <w:pStyle w:val="ac"/>
        <w:ind w:firstLine="567"/>
        <w:jc w:val="both"/>
        <w:rPr>
          <w:rFonts w:ascii="Times New Roman" w:hAnsi="Times New Roman"/>
          <w:sz w:val="28"/>
          <w:szCs w:val="28"/>
        </w:rPr>
      </w:pPr>
      <w:r w:rsidRPr="00C62A80">
        <w:rPr>
          <w:rFonts w:ascii="Times New Roman" w:hAnsi="Times New Roman"/>
          <w:sz w:val="28"/>
          <w:szCs w:val="28"/>
        </w:rPr>
        <w:t>Реалізація змін, внесених Законом № 466 до Кодексу, потребує оновлення чинних форм документів, затверджених наказом № 428, та розробку і запровадження нових форм документів.</w:t>
      </w:r>
    </w:p>
    <w:p w14:paraId="49EDA824" w14:textId="77777777" w:rsidR="00B11B8A" w:rsidRPr="00C62A80" w:rsidRDefault="00B11B8A" w:rsidP="00B11B8A">
      <w:pPr>
        <w:pStyle w:val="ac"/>
        <w:ind w:firstLine="567"/>
        <w:jc w:val="both"/>
        <w:rPr>
          <w:rFonts w:ascii="Times New Roman" w:hAnsi="Times New Roman"/>
          <w:sz w:val="28"/>
          <w:szCs w:val="28"/>
        </w:rPr>
      </w:pPr>
      <w:r w:rsidRPr="00C62A80">
        <w:rPr>
          <w:rFonts w:ascii="Times New Roman" w:hAnsi="Times New Roman"/>
          <w:sz w:val="28"/>
          <w:szCs w:val="28"/>
        </w:rPr>
        <w:t>З метою забезпечення реалізації норм статей 226 та 227 Кодексу (з урахуванням змін, внесених Законом № 466 до підпунктів 215.3.2, 215.3.2</w:t>
      </w:r>
      <w:r w:rsidRPr="00C62A80">
        <w:rPr>
          <w:rFonts w:ascii="Times New Roman" w:hAnsi="Times New Roman"/>
          <w:sz w:val="28"/>
          <w:szCs w:val="28"/>
          <w:vertAlign w:val="superscript"/>
        </w:rPr>
        <w:t>1</w:t>
      </w:r>
      <w:r w:rsidRPr="00C62A80">
        <w:rPr>
          <w:rFonts w:ascii="Times New Roman" w:hAnsi="Times New Roman"/>
          <w:sz w:val="28"/>
          <w:szCs w:val="28"/>
        </w:rPr>
        <w:t>, 215.3.3</w:t>
      </w:r>
      <w:r w:rsidRPr="00C62A80">
        <w:rPr>
          <w:rFonts w:ascii="Times New Roman" w:hAnsi="Times New Roman"/>
          <w:sz w:val="28"/>
          <w:szCs w:val="28"/>
          <w:vertAlign w:val="superscript"/>
        </w:rPr>
        <w:t>1</w:t>
      </w:r>
      <w:r w:rsidRPr="00C62A80">
        <w:rPr>
          <w:rFonts w:ascii="Times New Roman" w:hAnsi="Times New Roman"/>
          <w:sz w:val="28"/>
          <w:szCs w:val="28"/>
        </w:rPr>
        <w:t xml:space="preserve"> пункту 215.3  статті 215 Кодексу) та приведення власних нормативно-правових актів у відповідність до зазначених норм Кодексу шляхом прийняття відповідного наказу та визнання таким, що втратив чинність, наказу № 428, розроблено проект наказу.</w:t>
      </w:r>
    </w:p>
    <w:p w14:paraId="3D583948" w14:textId="77777777" w:rsidR="00B11B8A" w:rsidRPr="00C62A80" w:rsidRDefault="00B11B8A" w:rsidP="00B11B8A">
      <w:pPr>
        <w:pStyle w:val="ac"/>
        <w:ind w:firstLine="567"/>
        <w:jc w:val="both"/>
        <w:rPr>
          <w:rFonts w:ascii="Times New Roman" w:hAnsi="Times New Roman"/>
          <w:sz w:val="28"/>
          <w:szCs w:val="28"/>
        </w:rPr>
      </w:pPr>
    </w:p>
    <w:p w14:paraId="7C9A4E94" w14:textId="77777777" w:rsidR="00B11B8A" w:rsidRPr="00C62A80" w:rsidRDefault="00B11B8A" w:rsidP="00B11B8A">
      <w:pPr>
        <w:pStyle w:val="ac"/>
        <w:ind w:firstLine="567"/>
        <w:jc w:val="both"/>
        <w:rPr>
          <w:rFonts w:ascii="Times New Roman" w:hAnsi="Times New Roman"/>
          <w:sz w:val="28"/>
          <w:szCs w:val="28"/>
        </w:rPr>
      </w:pPr>
    </w:p>
    <w:p w14:paraId="46C57249" w14:textId="77777777" w:rsidR="00B11B8A" w:rsidRPr="00C62A80" w:rsidRDefault="00B11B8A" w:rsidP="00B11B8A">
      <w:pPr>
        <w:pStyle w:val="ac"/>
        <w:ind w:firstLine="567"/>
        <w:jc w:val="both"/>
        <w:rPr>
          <w:rFonts w:ascii="Times New Roman" w:hAnsi="Times New Roman"/>
          <w:sz w:val="28"/>
          <w:szCs w:val="28"/>
        </w:rPr>
      </w:pPr>
    </w:p>
    <w:p w14:paraId="1FBE315D" w14:textId="77777777" w:rsidR="00B11B8A" w:rsidRPr="00C62A80" w:rsidRDefault="00B11B8A" w:rsidP="00B11B8A">
      <w:pPr>
        <w:pStyle w:val="ac"/>
        <w:ind w:firstLine="567"/>
        <w:jc w:val="both"/>
        <w:rPr>
          <w:rFonts w:ascii="Times New Roman" w:hAnsi="Times New Roman"/>
          <w:sz w:val="28"/>
          <w:szCs w:val="28"/>
        </w:rPr>
      </w:pPr>
    </w:p>
    <w:p w14:paraId="5E788444" w14:textId="77777777" w:rsidR="00B11B8A" w:rsidRPr="00C62A80" w:rsidRDefault="00B11B8A" w:rsidP="00B11B8A">
      <w:pPr>
        <w:pStyle w:val="ac"/>
        <w:ind w:firstLine="567"/>
        <w:jc w:val="both"/>
        <w:rPr>
          <w:rFonts w:ascii="Times New Roman" w:hAnsi="Times New Roman"/>
          <w:sz w:val="28"/>
          <w:szCs w:val="28"/>
        </w:rPr>
      </w:pPr>
    </w:p>
    <w:p w14:paraId="5077097B" w14:textId="77777777" w:rsidR="00B11B8A" w:rsidRPr="00C62A80" w:rsidRDefault="00B11B8A" w:rsidP="00B11B8A">
      <w:pPr>
        <w:pStyle w:val="Default"/>
        <w:ind w:firstLine="709"/>
        <w:jc w:val="both"/>
        <w:rPr>
          <w:bCs/>
          <w:color w:val="auto"/>
          <w:sz w:val="28"/>
          <w:lang w:val="uk-UA" w:eastAsia="en-US"/>
        </w:rPr>
      </w:pPr>
      <w:r w:rsidRPr="00C62A80">
        <w:rPr>
          <w:bCs/>
          <w:color w:val="auto"/>
          <w:sz w:val="28"/>
          <w:lang w:val="uk-UA" w:eastAsia="en-US"/>
        </w:rPr>
        <w:t>Основні групи (підгрупи), на які проблема справляє вплив: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281"/>
        <w:gridCol w:w="2757"/>
        <w:gridCol w:w="2585"/>
      </w:tblGrid>
      <w:tr w:rsidR="00C62A80" w:rsidRPr="00C62A80" w14:paraId="187EF60F" w14:textId="77777777" w:rsidTr="0039655F">
        <w:trPr>
          <w:tblCellSpacing w:w="22" w:type="dxa"/>
        </w:trPr>
        <w:tc>
          <w:tcPr>
            <w:tcW w:w="2201" w:type="pct"/>
            <w:tcBorders>
              <w:top w:val="outset" w:sz="6" w:space="0" w:color="auto"/>
              <w:left w:val="outset" w:sz="6" w:space="0" w:color="auto"/>
              <w:bottom w:val="outset" w:sz="6" w:space="0" w:color="auto"/>
              <w:right w:val="outset" w:sz="6" w:space="0" w:color="auto"/>
            </w:tcBorders>
            <w:shd w:val="clear" w:color="auto" w:fill="auto"/>
          </w:tcPr>
          <w:p w14:paraId="01B3994A" w14:textId="77777777" w:rsidR="00B11B8A" w:rsidRPr="00C62A80" w:rsidRDefault="00B11B8A" w:rsidP="0039655F">
            <w:pPr>
              <w:pStyle w:val="a9"/>
              <w:widowControl w:val="0"/>
              <w:spacing w:before="120" w:beforeAutospacing="0" w:after="0" w:afterAutospacing="0"/>
              <w:jc w:val="center"/>
              <w:rPr>
                <w:b/>
                <w:lang w:val="uk-UA"/>
              </w:rPr>
            </w:pPr>
            <w:r w:rsidRPr="00C62A80">
              <w:rPr>
                <w:b/>
                <w:lang w:val="uk-UA"/>
              </w:rPr>
              <w:t>Групи (підгрупи)</w:t>
            </w:r>
          </w:p>
        </w:tc>
        <w:tc>
          <w:tcPr>
            <w:tcW w:w="1417" w:type="pct"/>
            <w:tcBorders>
              <w:top w:val="outset" w:sz="6" w:space="0" w:color="auto"/>
              <w:left w:val="outset" w:sz="6" w:space="0" w:color="auto"/>
              <w:bottom w:val="outset" w:sz="6" w:space="0" w:color="auto"/>
              <w:right w:val="outset" w:sz="6" w:space="0" w:color="auto"/>
            </w:tcBorders>
            <w:shd w:val="clear" w:color="auto" w:fill="auto"/>
          </w:tcPr>
          <w:p w14:paraId="620C6B0C" w14:textId="77777777" w:rsidR="00B11B8A" w:rsidRPr="00C62A80" w:rsidRDefault="00B11B8A" w:rsidP="0039655F">
            <w:pPr>
              <w:pStyle w:val="a9"/>
              <w:widowControl w:val="0"/>
              <w:spacing w:before="120" w:beforeAutospacing="0" w:after="0" w:afterAutospacing="0"/>
              <w:jc w:val="center"/>
              <w:rPr>
                <w:b/>
                <w:lang w:val="uk-UA"/>
              </w:rPr>
            </w:pPr>
            <w:r w:rsidRPr="00C62A80">
              <w:rPr>
                <w:b/>
                <w:lang w:val="uk-UA"/>
              </w:rPr>
              <w:t>Так</w:t>
            </w:r>
          </w:p>
        </w:tc>
        <w:tc>
          <w:tcPr>
            <w:tcW w:w="1292" w:type="pct"/>
            <w:tcBorders>
              <w:top w:val="outset" w:sz="6" w:space="0" w:color="auto"/>
              <w:left w:val="outset" w:sz="6" w:space="0" w:color="auto"/>
              <w:bottom w:val="outset" w:sz="6" w:space="0" w:color="auto"/>
              <w:right w:val="outset" w:sz="6" w:space="0" w:color="auto"/>
            </w:tcBorders>
            <w:shd w:val="clear" w:color="auto" w:fill="auto"/>
          </w:tcPr>
          <w:p w14:paraId="117389ED" w14:textId="77777777" w:rsidR="00B11B8A" w:rsidRPr="00C62A80" w:rsidRDefault="00B11B8A" w:rsidP="0039655F">
            <w:pPr>
              <w:pStyle w:val="a9"/>
              <w:widowControl w:val="0"/>
              <w:spacing w:before="120" w:beforeAutospacing="0" w:after="0" w:afterAutospacing="0"/>
              <w:jc w:val="center"/>
              <w:rPr>
                <w:b/>
                <w:lang w:val="uk-UA"/>
              </w:rPr>
            </w:pPr>
            <w:r w:rsidRPr="00C62A80">
              <w:rPr>
                <w:b/>
                <w:lang w:val="uk-UA"/>
              </w:rPr>
              <w:t>Ні</w:t>
            </w:r>
          </w:p>
        </w:tc>
      </w:tr>
      <w:tr w:rsidR="00C62A80" w:rsidRPr="00C62A80" w14:paraId="7834C0D4" w14:textId="77777777" w:rsidTr="0039655F">
        <w:trPr>
          <w:tblCellSpacing w:w="22" w:type="dxa"/>
        </w:trPr>
        <w:tc>
          <w:tcPr>
            <w:tcW w:w="2201" w:type="pct"/>
            <w:tcBorders>
              <w:top w:val="outset" w:sz="6" w:space="0" w:color="auto"/>
              <w:left w:val="outset" w:sz="6" w:space="0" w:color="auto"/>
              <w:bottom w:val="outset" w:sz="6" w:space="0" w:color="auto"/>
              <w:right w:val="outset" w:sz="6" w:space="0" w:color="auto"/>
            </w:tcBorders>
            <w:shd w:val="clear" w:color="auto" w:fill="auto"/>
          </w:tcPr>
          <w:p w14:paraId="59B25053" w14:textId="77777777" w:rsidR="00B11B8A" w:rsidRPr="00C62A80" w:rsidRDefault="00B11B8A" w:rsidP="0039655F">
            <w:pPr>
              <w:pStyle w:val="a9"/>
              <w:widowControl w:val="0"/>
              <w:spacing w:before="0" w:beforeAutospacing="0" w:after="0" w:afterAutospacing="0"/>
              <w:rPr>
                <w:lang w:val="uk-UA"/>
              </w:rPr>
            </w:pPr>
            <w:r w:rsidRPr="00C62A80">
              <w:rPr>
                <w:lang w:val="uk-UA"/>
              </w:rPr>
              <w:t>Громадяни</w:t>
            </w:r>
          </w:p>
        </w:tc>
        <w:tc>
          <w:tcPr>
            <w:tcW w:w="273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C066CE" w14:textId="77777777" w:rsidR="00B11B8A" w:rsidRPr="00C62A80" w:rsidRDefault="00B11B8A" w:rsidP="0039655F">
            <w:pPr>
              <w:pStyle w:val="a9"/>
              <w:widowControl w:val="0"/>
              <w:spacing w:before="0" w:beforeAutospacing="0" w:after="0" w:afterAutospacing="0"/>
              <w:jc w:val="center"/>
              <w:rPr>
                <w:lang w:val="uk-UA"/>
              </w:rPr>
            </w:pPr>
            <w:r w:rsidRPr="00C62A80">
              <w:rPr>
                <w:lang w:val="uk-UA"/>
              </w:rPr>
              <w:t>Дія акта не стосується громадян</w:t>
            </w:r>
          </w:p>
        </w:tc>
      </w:tr>
      <w:tr w:rsidR="00C62A80" w:rsidRPr="00C62A80" w14:paraId="5E787E27" w14:textId="77777777" w:rsidTr="0039655F">
        <w:trPr>
          <w:tblCellSpacing w:w="22" w:type="dxa"/>
        </w:trPr>
        <w:tc>
          <w:tcPr>
            <w:tcW w:w="2201" w:type="pct"/>
            <w:tcBorders>
              <w:top w:val="outset" w:sz="6" w:space="0" w:color="auto"/>
              <w:left w:val="outset" w:sz="6" w:space="0" w:color="auto"/>
              <w:bottom w:val="outset" w:sz="6" w:space="0" w:color="auto"/>
              <w:right w:val="outset" w:sz="6" w:space="0" w:color="auto"/>
            </w:tcBorders>
            <w:shd w:val="clear" w:color="auto" w:fill="auto"/>
          </w:tcPr>
          <w:p w14:paraId="1AD6769C" w14:textId="77777777" w:rsidR="00B11B8A" w:rsidRPr="00C62A80" w:rsidRDefault="00B11B8A" w:rsidP="0039655F">
            <w:pPr>
              <w:pStyle w:val="a9"/>
              <w:widowControl w:val="0"/>
              <w:spacing w:before="0" w:beforeAutospacing="0" w:after="0" w:afterAutospacing="0"/>
              <w:rPr>
                <w:lang w:val="uk-UA"/>
              </w:rPr>
            </w:pPr>
            <w:r w:rsidRPr="00C62A80">
              <w:rPr>
                <w:lang w:val="uk-UA"/>
              </w:rPr>
              <w:t>Держава</w:t>
            </w:r>
          </w:p>
        </w:tc>
        <w:tc>
          <w:tcPr>
            <w:tcW w:w="1417" w:type="pct"/>
            <w:tcBorders>
              <w:top w:val="outset" w:sz="6" w:space="0" w:color="auto"/>
              <w:left w:val="outset" w:sz="6" w:space="0" w:color="auto"/>
              <w:bottom w:val="outset" w:sz="6" w:space="0" w:color="auto"/>
              <w:right w:val="outset" w:sz="6" w:space="0" w:color="auto"/>
            </w:tcBorders>
            <w:shd w:val="clear" w:color="auto" w:fill="auto"/>
            <w:vAlign w:val="center"/>
          </w:tcPr>
          <w:p w14:paraId="3091003C" w14:textId="77777777" w:rsidR="00B11B8A" w:rsidRPr="00C62A80" w:rsidRDefault="00B11B8A" w:rsidP="0039655F">
            <w:pPr>
              <w:pStyle w:val="a9"/>
              <w:widowControl w:val="0"/>
              <w:spacing w:before="0" w:beforeAutospacing="0" w:after="0" w:afterAutospacing="0"/>
              <w:jc w:val="center"/>
              <w:rPr>
                <w:lang w:val="uk-UA"/>
              </w:rPr>
            </w:pPr>
            <w:r w:rsidRPr="00C62A80">
              <w:rPr>
                <w:lang w:val="uk-UA"/>
              </w:rPr>
              <w:t>+</w:t>
            </w:r>
          </w:p>
        </w:tc>
        <w:tc>
          <w:tcPr>
            <w:tcW w:w="1292" w:type="pct"/>
            <w:tcBorders>
              <w:top w:val="outset" w:sz="6" w:space="0" w:color="auto"/>
              <w:left w:val="outset" w:sz="6" w:space="0" w:color="auto"/>
              <w:bottom w:val="outset" w:sz="6" w:space="0" w:color="auto"/>
              <w:right w:val="outset" w:sz="6" w:space="0" w:color="auto"/>
            </w:tcBorders>
            <w:shd w:val="clear" w:color="auto" w:fill="auto"/>
          </w:tcPr>
          <w:p w14:paraId="45C2D52A" w14:textId="77777777" w:rsidR="00B11B8A" w:rsidRPr="00C62A80" w:rsidRDefault="00B11B8A" w:rsidP="0039655F">
            <w:pPr>
              <w:pStyle w:val="a9"/>
              <w:widowControl w:val="0"/>
              <w:spacing w:before="0" w:beforeAutospacing="0" w:after="0" w:afterAutospacing="0"/>
              <w:jc w:val="center"/>
              <w:rPr>
                <w:lang w:val="uk-UA"/>
              </w:rPr>
            </w:pPr>
            <w:r w:rsidRPr="00C62A80">
              <w:rPr>
                <w:lang w:val="uk-UA"/>
              </w:rPr>
              <w:t>–</w:t>
            </w:r>
          </w:p>
        </w:tc>
      </w:tr>
      <w:tr w:rsidR="00C62A80" w:rsidRPr="00C62A80" w14:paraId="27B4AAFF" w14:textId="77777777" w:rsidTr="0039655F">
        <w:trPr>
          <w:tblCellSpacing w:w="22" w:type="dxa"/>
        </w:trPr>
        <w:tc>
          <w:tcPr>
            <w:tcW w:w="2201" w:type="pct"/>
            <w:tcBorders>
              <w:top w:val="outset" w:sz="6" w:space="0" w:color="auto"/>
              <w:left w:val="outset" w:sz="6" w:space="0" w:color="auto"/>
              <w:bottom w:val="outset" w:sz="6" w:space="0" w:color="auto"/>
              <w:right w:val="outset" w:sz="6" w:space="0" w:color="auto"/>
            </w:tcBorders>
            <w:shd w:val="clear" w:color="auto" w:fill="auto"/>
          </w:tcPr>
          <w:p w14:paraId="4F8C8C76" w14:textId="77777777" w:rsidR="00B11B8A" w:rsidRPr="00C62A80" w:rsidRDefault="00B11B8A" w:rsidP="0039655F">
            <w:pPr>
              <w:pStyle w:val="a9"/>
              <w:widowControl w:val="0"/>
              <w:spacing w:before="0" w:beforeAutospacing="0" w:after="0" w:afterAutospacing="0"/>
              <w:rPr>
                <w:lang w:val="uk-UA"/>
              </w:rPr>
            </w:pPr>
            <w:r w:rsidRPr="00C62A80">
              <w:rPr>
                <w:lang w:val="uk-UA"/>
              </w:rPr>
              <w:t>Суб’єкти господарювання,</w:t>
            </w:r>
          </w:p>
        </w:tc>
        <w:tc>
          <w:tcPr>
            <w:tcW w:w="1417" w:type="pct"/>
            <w:tcBorders>
              <w:top w:val="outset" w:sz="6" w:space="0" w:color="auto"/>
              <w:left w:val="outset" w:sz="6" w:space="0" w:color="auto"/>
              <w:bottom w:val="outset" w:sz="6" w:space="0" w:color="auto"/>
              <w:right w:val="outset" w:sz="6" w:space="0" w:color="auto"/>
            </w:tcBorders>
            <w:shd w:val="clear" w:color="auto" w:fill="auto"/>
            <w:vAlign w:val="center"/>
          </w:tcPr>
          <w:p w14:paraId="5DF57317" w14:textId="77777777" w:rsidR="00B11B8A" w:rsidRPr="00C62A80" w:rsidRDefault="00B11B8A" w:rsidP="0039655F">
            <w:pPr>
              <w:pStyle w:val="a9"/>
              <w:widowControl w:val="0"/>
              <w:spacing w:before="0" w:beforeAutospacing="0" w:after="0" w:afterAutospacing="0"/>
              <w:jc w:val="center"/>
              <w:rPr>
                <w:lang w:val="uk-UA"/>
              </w:rPr>
            </w:pPr>
            <w:r w:rsidRPr="00C62A80">
              <w:rPr>
                <w:lang w:val="uk-UA"/>
              </w:rPr>
              <w:t>+</w:t>
            </w:r>
          </w:p>
        </w:tc>
        <w:tc>
          <w:tcPr>
            <w:tcW w:w="1292" w:type="pct"/>
            <w:tcBorders>
              <w:top w:val="outset" w:sz="6" w:space="0" w:color="auto"/>
              <w:left w:val="outset" w:sz="6" w:space="0" w:color="auto"/>
              <w:bottom w:val="outset" w:sz="6" w:space="0" w:color="auto"/>
              <w:right w:val="outset" w:sz="6" w:space="0" w:color="auto"/>
            </w:tcBorders>
            <w:shd w:val="clear" w:color="auto" w:fill="auto"/>
          </w:tcPr>
          <w:p w14:paraId="2C4D2C99" w14:textId="77777777" w:rsidR="00B11B8A" w:rsidRPr="00C62A80" w:rsidRDefault="00B11B8A" w:rsidP="0039655F">
            <w:pPr>
              <w:pStyle w:val="a9"/>
              <w:widowControl w:val="0"/>
              <w:spacing w:before="0" w:beforeAutospacing="0" w:after="0" w:afterAutospacing="0"/>
              <w:jc w:val="center"/>
              <w:rPr>
                <w:lang w:val="uk-UA"/>
              </w:rPr>
            </w:pPr>
            <w:r w:rsidRPr="00C62A80">
              <w:rPr>
                <w:lang w:val="uk-UA"/>
              </w:rPr>
              <w:t>–</w:t>
            </w:r>
          </w:p>
        </w:tc>
      </w:tr>
      <w:tr w:rsidR="00C62A80" w:rsidRPr="00C62A80" w14:paraId="18360BBB" w14:textId="77777777" w:rsidTr="0039655F">
        <w:trPr>
          <w:tblCellSpacing w:w="22" w:type="dxa"/>
        </w:trPr>
        <w:tc>
          <w:tcPr>
            <w:tcW w:w="2201" w:type="pct"/>
            <w:tcBorders>
              <w:top w:val="outset" w:sz="6" w:space="0" w:color="auto"/>
              <w:left w:val="outset" w:sz="6" w:space="0" w:color="auto"/>
              <w:bottom w:val="outset" w:sz="6" w:space="0" w:color="auto"/>
              <w:right w:val="outset" w:sz="6" w:space="0" w:color="auto"/>
            </w:tcBorders>
            <w:shd w:val="clear" w:color="auto" w:fill="auto"/>
          </w:tcPr>
          <w:p w14:paraId="5910C211" w14:textId="77777777" w:rsidR="00B11B8A" w:rsidRPr="00C62A80" w:rsidRDefault="00B11B8A" w:rsidP="0039655F">
            <w:pPr>
              <w:pStyle w:val="a9"/>
              <w:widowControl w:val="0"/>
              <w:spacing w:before="0" w:beforeAutospacing="0" w:after="0" w:afterAutospacing="0"/>
              <w:rPr>
                <w:lang w:val="uk-UA"/>
              </w:rPr>
            </w:pPr>
            <w:r w:rsidRPr="00C62A80">
              <w:rPr>
                <w:lang w:val="uk-UA"/>
              </w:rPr>
              <w:t>у тому числі суб’єкти малого підприємництва</w:t>
            </w:r>
          </w:p>
        </w:tc>
        <w:tc>
          <w:tcPr>
            <w:tcW w:w="1417" w:type="pct"/>
            <w:tcBorders>
              <w:top w:val="outset" w:sz="6" w:space="0" w:color="auto"/>
              <w:left w:val="outset" w:sz="6" w:space="0" w:color="auto"/>
              <w:bottom w:val="outset" w:sz="6" w:space="0" w:color="auto"/>
              <w:right w:val="outset" w:sz="6" w:space="0" w:color="auto"/>
            </w:tcBorders>
            <w:shd w:val="clear" w:color="auto" w:fill="auto"/>
            <w:vAlign w:val="center"/>
          </w:tcPr>
          <w:p w14:paraId="72F1E050" w14:textId="77777777" w:rsidR="00B11B8A" w:rsidRPr="00C62A80" w:rsidRDefault="00B11B8A" w:rsidP="0039655F">
            <w:pPr>
              <w:pStyle w:val="a9"/>
              <w:widowControl w:val="0"/>
              <w:spacing w:before="0" w:beforeAutospacing="0" w:after="0" w:afterAutospacing="0"/>
              <w:jc w:val="center"/>
              <w:rPr>
                <w:lang w:val="uk-UA"/>
              </w:rPr>
            </w:pPr>
            <w:r w:rsidRPr="00C62A80">
              <w:rPr>
                <w:lang w:val="uk-UA"/>
              </w:rPr>
              <w:t>+</w:t>
            </w:r>
          </w:p>
        </w:tc>
        <w:tc>
          <w:tcPr>
            <w:tcW w:w="1292" w:type="pct"/>
            <w:tcBorders>
              <w:top w:val="outset" w:sz="6" w:space="0" w:color="auto"/>
              <w:left w:val="outset" w:sz="6" w:space="0" w:color="auto"/>
              <w:bottom w:val="outset" w:sz="6" w:space="0" w:color="auto"/>
              <w:right w:val="outset" w:sz="6" w:space="0" w:color="auto"/>
            </w:tcBorders>
            <w:shd w:val="clear" w:color="auto" w:fill="auto"/>
          </w:tcPr>
          <w:p w14:paraId="44374A9C" w14:textId="77777777" w:rsidR="00B11B8A" w:rsidRPr="00C62A80" w:rsidRDefault="00B11B8A" w:rsidP="0039655F">
            <w:pPr>
              <w:pStyle w:val="a9"/>
              <w:widowControl w:val="0"/>
              <w:spacing w:before="0" w:beforeAutospacing="0" w:after="0" w:afterAutospacing="0"/>
              <w:jc w:val="center"/>
              <w:rPr>
                <w:lang w:val="uk-UA"/>
              </w:rPr>
            </w:pPr>
            <w:r w:rsidRPr="00C62A80">
              <w:rPr>
                <w:lang w:val="uk-UA"/>
              </w:rPr>
              <w:t>–</w:t>
            </w:r>
          </w:p>
        </w:tc>
      </w:tr>
    </w:tbl>
    <w:p w14:paraId="6C6CBC3A" w14:textId="77777777" w:rsidR="00B11B8A" w:rsidRPr="00C62A80" w:rsidRDefault="00B11B8A" w:rsidP="00B11B8A">
      <w:pPr>
        <w:pStyle w:val="a9"/>
        <w:widowControl w:val="0"/>
        <w:spacing w:before="0" w:beforeAutospacing="0" w:after="0" w:afterAutospacing="0"/>
        <w:ind w:firstLine="567"/>
        <w:jc w:val="both"/>
        <w:rPr>
          <w:sz w:val="28"/>
          <w:szCs w:val="28"/>
          <w:lang w:val="uk-UA"/>
        </w:rPr>
      </w:pPr>
    </w:p>
    <w:p w14:paraId="227DFF39" w14:textId="77777777" w:rsidR="00B11B8A" w:rsidRPr="00C62A80" w:rsidRDefault="00B11B8A" w:rsidP="00B11B8A">
      <w:pPr>
        <w:pStyle w:val="a9"/>
        <w:widowControl w:val="0"/>
        <w:spacing w:before="0" w:beforeAutospacing="0" w:after="0" w:afterAutospacing="0"/>
        <w:ind w:firstLine="567"/>
        <w:jc w:val="both"/>
        <w:rPr>
          <w:sz w:val="28"/>
          <w:szCs w:val="28"/>
          <w:lang w:val="uk-UA"/>
        </w:rPr>
      </w:pPr>
      <w:r w:rsidRPr="00C62A80">
        <w:rPr>
          <w:sz w:val="28"/>
          <w:szCs w:val="28"/>
          <w:lang w:val="uk-UA"/>
        </w:rPr>
        <w:t>Врегулювання зазначених питань не може бути здійснено за допомогою:</w:t>
      </w:r>
    </w:p>
    <w:p w14:paraId="56B4F4D0" w14:textId="77777777" w:rsidR="00B11B8A" w:rsidRPr="00C62A80" w:rsidRDefault="00B11B8A" w:rsidP="00B11B8A">
      <w:pPr>
        <w:pStyle w:val="a9"/>
        <w:widowControl w:val="0"/>
        <w:spacing w:before="0" w:beforeAutospacing="0" w:after="0" w:afterAutospacing="0"/>
        <w:ind w:firstLine="567"/>
        <w:jc w:val="both"/>
        <w:rPr>
          <w:sz w:val="28"/>
          <w:szCs w:val="28"/>
          <w:lang w:val="uk-UA"/>
        </w:rPr>
      </w:pPr>
      <w:r w:rsidRPr="00C62A80">
        <w:rPr>
          <w:sz w:val="28"/>
          <w:szCs w:val="28"/>
          <w:lang w:val="uk-UA"/>
        </w:rPr>
        <w:t>ринкових механізмів, оскільки такі питання регулюються виключно нормативно-правовими актами;</w:t>
      </w:r>
    </w:p>
    <w:p w14:paraId="7720B7DC" w14:textId="77777777" w:rsidR="00B11B8A" w:rsidRPr="00C62A80" w:rsidRDefault="00B11B8A" w:rsidP="00B11B8A">
      <w:pPr>
        <w:pStyle w:val="a9"/>
        <w:widowControl w:val="0"/>
        <w:spacing w:before="0" w:beforeAutospacing="0" w:after="0" w:afterAutospacing="0"/>
        <w:ind w:firstLine="567"/>
        <w:jc w:val="both"/>
        <w:rPr>
          <w:sz w:val="28"/>
          <w:szCs w:val="28"/>
          <w:lang w:val="uk-UA"/>
        </w:rPr>
      </w:pPr>
      <w:r w:rsidRPr="00C62A80">
        <w:rPr>
          <w:sz w:val="28"/>
          <w:szCs w:val="28"/>
          <w:lang w:val="uk-UA"/>
        </w:rPr>
        <w:t>чинних регуляторних актів, оскільки чинні регуляторні акти не вирішують питань, що визначені актом вищої юридичної сили.</w:t>
      </w:r>
    </w:p>
    <w:p w14:paraId="3D3A6D21" w14:textId="77777777" w:rsidR="00B11B8A" w:rsidRPr="00C62A80" w:rsidRDefault="00B11B8A" w:rsidP="00B11B8A">
      <w:pPr>
        <w:pStyle w:val="Default"/>
        <w:ind w:firstLine="709"/>
        <w:jc w:val="both"/>
        <w:rPr>
          <w:bCs/>
          <w:color w:val="auto"/>
          <w:sz w:val="28"/>
          <w:lang w:val="uk-UA" w:eastAsia="en-US"/>
        </w:rPr>
      </w:pPr>
    </w:p>
    <w:p w14:paraId="05796EB9" w14:textId="77777777" w:rsidR="00B11B8A" w:rsidRPr="00C62A80" w:rsidRDefault="00B11B8A" w:rsidP="00B11B8A">
      <w:pPr>
        <w:pStyle w:val="3"/>
        <w:widowControl w:val="0"/>
        <w:spacing w:before="0" w:beforeAutospacing="0" w:after="120" w:afterAutospacing="0"/>
        <w:jc w:val="center"/>
        <w:rPr>
          <w:sz w:val="28"/>
          <w:szCs w:val="28"/>
          <w:lang w:val="uk-UA"/>
        </w:rPr>
      </w:pPr>
      <w:r w:rsidRPr="00C62A80">
        <w:rPr>
          <w:sz w:val="28"/>
          <w:szCs w:val="28"/>
          <w:lang w:val="uk-UA"/>
        </w:rPr>
        <w:t>II. Цілі державного регулювання</w:t>
      </w:r>
    </w:p>
    <w:p w14:paraId="1E99599E" w14:textId="77777777" w:rsidR="00B11B8A" w:rsidRPr="00C62A80" w:rsidRDefault="00B11B8A" w:rsidP="00B11B8A">
      <w:pPr>
        <w:ind w:firstLine="567"/>
        <w:jc w:val="both"/>
        <w:rPr>
          <w:sz w:val="28"/>
          <w:szCs w:val="28"/>
          <w:lang w:val="uk-UA"/>
        </w:rPr>
      </w:pPr>
      <w:r w:rsidRPr="00C62A80">
        <w:rPr>
          <w:sz w:val="28"/>
          <w:szCs w:val="28"/>
          <w:lang w:val="uk-UA"/>
        </w:rPr>
        <w:t>Цілями видання регуляторного акта є:</w:t>
      </w:r>
    </w:p>
    <w:p w14:paraId="7C0FD4E4" w14:textId="77777777" w:rsidR="00B11B8A" w:rsidRPr="00C62A80" w:rsidRDefault="00B11B8A" w:rsidP="00B11B8A">
      <w:pPr>
        <w:ind w:firstLine="567"/>
        <w:jc w:val="both"/>
        <w:rPr>
          <w:sz w:val="28"/>
          <w:szCs w:val="28"/>
          <w:lang w:val="uk-UA"/>
        </w:rPr>
      </w:pPr>
      <w:r w:rsidRPr="00C62A80">
        <w:rPr>
          <w:sz w:val="28"/>
          <w:szCs w:val="28"/>
          <w:lang w:val="uk-UA"/>
        </w:rPr>
        <w:t>виконання вимог</w:t>
      </w:r>
      <w:r w:rsidRPr="00C62A80">
        <w:rPr>
          <w:bCs/>
          <w:sz w:val="28"/>
          <w:szCs w:val="28"/>
          <w:lang w:val="uk-UA"/>
        </w:rPr>
        <w:t xml:space="preserve"> Закону </w:t>
      </w:r>
      <w:r w:rsidRPr="00C62A80">
        <w:rPr>
          <w:sz w:val="28"/>
          <w:szCs w:val="28"/>
          <w:lang w:val="uk-UA"/>
        </w:rPr>
        <w:t>№ 466 щодо доповнення переліку підакцизних товарів, упаковки яких підлягають маркуванню марками акцизного податку,  рідиною, що використовуються в електронних сигаретах, сигарилами, тютюновмісними виробами для електричного нагрівання (ТВЕН) за допомогою підігрівача з електронним управлінням та нанесення на марки акцизного податку на сигарети, цигарки та сигарили інформації щодо кількості штук у пачці (упаковці);</w:t>
      </w:r>
    </w:p>
    <w:p w14:paraId="06672E83" w14:textId="77777777" w:rsidR="00B11B8A" w:rsidRPr="00C62A80" w:rsidRDefault="00B11B8A" w:rsidP="00B11B8A">
      <w:pPr>
        <w:ind w:firstLine="567"/>
        <w:jc w:val="both"/>
        <w:rPr>
          <w:sz w:val="28"/>
          <w:szCs w:val="28"/>
          <w:lang w:val="uk-UA"/>
        </w:rPr>
      </w:pPr>
      <w:r w:rsidRPr="00C62A80">
        <w:rPr>
          <w:sz w:val="28"/>
          <w:szCs w:val="28"/>
          <w:lang w:val="uk-UA"/>
        </w:rPr>
        <w:t>забезпечення можливості подання платниками податків попередньої/додаткової попередньої заявки-розрахунку про потребу в марках акцизного податку, заявки-розрахунку на придбання марок акцизного податку для маркування, звіту про використання марок акцизного податку, реєстру повернутих марок акцизного податку;</w:t>
      </w:r>
    </w:p>
    <w:p w14:paraId="3F6FF87C" w14:textId="77777777" w:rsidR="00B11B8A" w:rsidRPr="00C62A80" w:rsidRDefault="00B11B8A" w:rsidP="00B11B8A">
      <w:pPr>
        <w:ind w:firstLine="567"/>
        <w:jc w:val="both"/>
        <w:rPr>
          <w:sz w:val="28"/>
          <w:szCs w:val="28"/>
          <w:lang w:val="uk-UA"/>
        </w:rPr>
      </w:pPr>
      <w:r w:rsidRPr="00C62A80">
        <w:rPr>
          <w:sz w:val="28"/>
          <w:szCs w:val="28"/>
          <w:lang w:val="uk-UA" w:eastAsia="uk-UA"/>
        </w:rPr>
        <w:t xml:space="preserve">унормування форм документів (переліку видів марок акцизного податку, </w:t>
      </w:r>
      <w:r w:rsidRPr="00C62A80">
        <w:rPr>
          <w:sz w:val="28"/>
          <w:szCs w:val="28"/>
          <w:lang w:val="uk-UA"/>
        </w:rPr>
        <w:t>переліку виданих марок акцизного податку</w:t>
      </w:r>
      <w:r w:rsidRPr="00C62A80">
        <w:rPr>
          <w:sz w:val="28"/>
          <w:szCs w:val="28"/>
          <w:lang w:val="uk-UA" w:eastAsia="uk-UA"/>
        </w:rPr>
        <w:t xml:space="preserve">, </w:t>
      </w:r>
      <w:r w:rsidRPr="00C62A80">
        <w:rPr>
          <w:sz w:val="28"/>
          <w:szCs w:val="28"/>
          <w:lang w:val="uk-UA"/>
        </w:rPr>
        <w:t xml:space="preserve">форм заявок-розрахунків про потребу в марках акцизного податку та на придбання марок акцизного податку, зведених заявок-розрахунків на виготовлення необхідної кількості марок акцизного податку, </w:t>
      </w:r>
      <w:r w:rsidRPr="00C62A80">
        <w:rPr>
          <w:sz w:val="28"/>
          <w:szCs w:val="28"/>
          <w:lang w:val="uk-UA" w:eastAsia="uk-UA"/>
        </w:rPr>
        <w:t>звіту про використання марок акцизного податку, журналів обліку видачі марок акцизного податку та обліку документів, що підтверджують внесення плати за марки акцизного податку, Реєстру повернутих марок акцизного податку) для забезпечення можливості виробникам та імпортерам здійснювати замовлення марок акцизного податку</w:t>
      </w:r>
      <w:r w:rsidRPr="00C62A80">
        <w:rPr>
          <w:sz w:val="28"/>
          <w:szCs w:val="28"/>
          <w:lang w:val="uk-UA"/>
        </w:rPr>
        <w:t>;</w:t>
      </w:r>
    </w:p>
    <w:p w14:paraId="459C7CEC" w14:textId="77777777" w:rsidR="00B11B8A" w:rsidRPr="00C62A80" w:rsidRDefault="00B11B8A" w:rsidP="00B11B8A">
      <w:pPr>
        <w:ind w:firstLine="567"/>
        <w:jc w:val="both"/>
        <w:rPr>
          <w:sz w:val="28"/>
          <w:szCs w:val="28"/>
          <w:lang w:val="uk-UA"/>
        </w:rPr>
      </w:pPr>
      <w:r w:rsidRPr="00C62A80">
        <w:rPr>
          <w:sz w:val="28"/>
          <w:szCs w:val="28"/>
          <w:lang w:val="uk-UA"/>
        </w:rPr>
        <w:t>впорядкування питання взаємодії між суб’єктами господарювання і податковими органами у сфері виробництва та обігу алкогольних напоїв, тютюнових виробів та рідин, що використовуються в електронних сигаретах.</w:t>
      </w:r>
    </w:p>
    <w:p w14:paraId="1F713557" w14:textId="77777777" w:rsidR="00B11B8A" w:rsidRPr="00C62A80" w:rsidRDefault="00B11B8A" w:rsidP="00B11B8A">
      <w:pPr>
        <w:pStyle w:val="Default"/>
        <w:ind w:firstLine="567"/>
        <w:jc w:val="both"/>
        <w:rPr>
          <w:b/>
          <w:color w:val="auto"/>
          <w:sz w:val="28"/>
          <w:szCs w:val="28"/>
          <w:lang w:val="uk-UA"/>
        </w:rPr>
      </w:pPr>
      <w:r w:rsidRPr="00C62A80">
        <w:rPr>
          <w:color w:val="auto"/>
          <w:sz w:val="28"/>
          <w:szCs w:val="28"/>
          <w:lang w:val="uk-UA"/>
        </w:rPr>
        <w:lastRenderedPageBreak/>
        <w:t>Проект наказу розроблено на виконання норм Кодексу та постанови Кабінету Міністрів України від 27.12.2010 № 1251 «Про затвердження Положення про виготовлення, зберігання, продаж марок акцизного податку та маркування алкогольних напоїв і тютюнових виробів» (далі – постанова № 1251).</w:t>
      </w:r>
    </w:p>
    <w:p w14:paraId="551808A5" w14:textId="77777777" w:rsidR="00B11B8A" w:rsidRPr="00C62A80" w:rsidRDefault="00B11B8A" w:rsidP="00B11B8A">
      <w:pPr>
        <w:spacing w:before="240"/>
        <w:ind w:right="-284" w:firstLine="709"/>
        <w:jc w:val="center"/>
        <w:rPr>
          <w:b/>
          <w:sz w:val="28"/>
          <w:szCs w:val="28"/>
          <w:lang w:val="uk-UA"/>
        </w:rPr>
      </w:pPr>
      <w:r w:rsidRPr="00C62A80">
        <w:rPr>
          <w:b/>
          <w:sz w:val="28"/>
          <w:szCs w:val="28"/>
          <w:lang w:val="uk-UA"/>
        </w:rPr>
        <w:t xml:space="preserve">III. Визначення та оцінка альтернативних способів </w:t>
      </w:r>
    </w:p>
    <w:p w14:paraId="16108B12" w14:textId="77777777" w:rsidR="00B11B8A" w:rsidRPr="00C62A80" w:rsidRDefault="00B11B8A" w:rsidP="00B11B8A">
      <w:pPr>
        <w:ind w:right="-284" w:firstLine="709"/>
        <w:jc w:val="center"/>
        <w:rPr>
          <w:b/>
          <w:sz w:val="28"/>
          <w:szCs w:val="28"/>
          <w:lang w:val="uk-UA"/>
        </w:rPr>
      </w:pPr>
      <w:r w:rsidRPr="00C62A80">
        <w:rPr>
          <w:b/>
          <w:sz w:val="28"/>
          <w:szCs w:val="28"/>
          <w:lang w:val="uk-UA"/>
        </w:rPr>
        <w:t>досягнення цілей</w:t>
      </w:r>
    </w:p>
    <w:p w14:paraId="13B3DEF3" w14:textId="77777777" w:rsidR="00B11B8A" w:rsidRPr="00C62A80" w:rsidRDefault="00B11B8A" w:rsidP="00B11B8A">
      <w:pPr>
        <w:pStyle w:val="a9"/>
        <w:widowControl w:val="0"/>
        <w:numPr>
          <w:ilvl w:val="0"/>
          <w:numId w:val="1"/>
        </w:numPr>
        <w:spacing w:before="120" w:beforeAutospacing="0" w:after="0" w:afterAutospacing="0"/>
        <w:ind w:left="0" w:firstLine="567"/>
        <w:jc w:val="both"/>
        <w:rPr>
          <w:sz w:val="28"/>
          <w:szCs w:val="28"/>
          <w:lang w:val="uk-UA"/>
        </w:rPr>
      </w:pPr>
      <w:r w:rsidRPr="00C62A80">
        <w:rPr>
          <w:sz w:val="28"/>
          <w:szCs w:val="28"/>
          <w:lang w:val="uk-UA"/>
        </w:rPr>
        <w:t>Альтернативні способи досягнення цілей державного регулювання</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3"/>
        <w:gridCol w:w="7720"/>
      </w:tblGrid>
      <w:tr w:rsidR="00C62A80" w:rsidRPr="00C62A80" w14:paraId="2AC27441" w14:textId="77777777" w:rsidTr="0039655F">
        <w:trPr>
          <w:tblCellSpacing w:w="30" w:type="dxa"/>
        </w:trPr>
        <w:tc>
          <w:tcPr>
            <w:tcW w:w="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67CC699" w14:textId="77777777" w:rsidR="00B11B8A" w:rsidRPr="00C62A80" w:rsidRDefault="00B11B8A" w:rsidP="0039655F">
            <w:pPr>
              <w:spacing w:before="120" w:after="100" w:afterAutospacing="1"/>
              <w:jc w:val="center"/>
              <w:rPr>
                <w:rFonts w:eastAsia="Calibri"/>
                <w:lang w:val="uk-UA" w:eastAsia="en-US"/>
              </w:rPr>
            </w:pPr>
            <w:r w:rsidRPr="00C62A80">
              <w:rPr>
                <w:rFonts w:eastAsia="Calibri"/>
                <w:lang w:val="uk-UA" w:eastAsia="en-US"/>
              </w:rPr>
              <w:t>Вид альтернативи</w:t>
            </w:r>
          </w:p>
        </w:tc>
        <w:tc>
          <w:tcPr>
            <w:tcW w:w="39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BDBCFDF" w14:textId="77777777" w:rsidR="00B11B8A" w:rsidRPr="00C62A80" w:rsidRDefault="00B11B8A" w:rsidP="0039655F">
            <w:pPr>
              <w:spacing w:before="120" w:after="100" w:afterAutospacing="1"/>
              <w:jc w:val="center"/>
              <w:rPr>
                <w:rFonts w:eastAsia="Calibri"/>
                <w:lang w:val="uk-UA" w:eastAsia="en-US"/>
              </w:rPr>
            </w:pPr>
            <w:r w:rsidRPr="00C62A80">
              <w:rPr>
                <w:rFonts w:eastAsia="Calibri"/>
                <w:lang w:val="uk-UA" w:eastAsia="en-US"/>
              </w:rPr>
              <w:t>Опис альтернативи</w:t>
            </w:r>
          </w:p>
        </w:tc>
      </w:tr>
      <w:tr w:rsidR="00C62A80" w:rsidRPr="00C62A80" w14:paraId="61688780" w14:textId="77777777" w:rsidTr="0039655F">
        <w:trPr>
          <w:tblCellSpacing w:w="30" w:type="dxa"/>
        </w:trPr>
        <w:tc>
          <w:tcPr>
            <w:tcW w:w="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00F2BE14" w14:textId="77777777" w:rsidR="00B11B8A" w:rsidRPr="00C62A80" w:rsidRDefault="00B11B8A" w:rsidP="0039655F">
            <w:pPr>
              <w:spacing w:before="100" w:beforeAutospacing="1" w:after="100" w:afterAutospacing="1"/>
              <w:ind w:right="-68"/>
              <w:rPr>
                <w:rFonts w:eastAsia="Calibri"/>
                <w:lang w:val="uk-UA" w:eastAsia="en-US"/>
              </w:rPr>
            </w:pPr>
            <w:r w:rsidRPr="00C62A80">
              <w:rPr>
                <w:rFonts w:eastAsia="Calibri"/>
                <w:lang w:val="uk-UA" w:eastAsia="en-US"/>
              </w:rPr>
              <w:t>Альтернатива 1</w:t>
            </w:r>
          </w:p>
        </w:tc>
        <w:tc>
          <w:tcPr>
            <w:tcW w:w="39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B72BE48" w14:textId="77777777" w:rsidR="00B11B8A" w:rsidRPr="00C62A80" w:rsidRDefault="00B11B8A" w:rsidP="0039655F">
            <w:pPr>
              <w:ind w:firstLine="290"/>
              <w:jc w:val="both"/>
              <w:rPr>
                <w:rFonts w:eastAsia="Calibri"/>
                <w:lang w:val="uk-UA" w:eastAsia="en-US"/>
              </w:rPr>
            </w:pPr>
            <w:r w:rsidRPr="00C62A80">
              <w:rPr>
                <w:rFonts w:eastAsia="Calibri"/>
                <w:lang w:val="uk-UA" w:eastAsia="en-US"/>
              </w:rPr>
              <w:t>Затвердити розроблений проект наказу</w:t>
            </w:r>
          </w:p>
          <w:p w14:paraId="7BFAD91F" w14:textId="77777777" w:rsidR="00B11B8A" w:rsidRPr="00C62A80" w:rsidRDefault="00B11B8A" w:rsidP="0039655F">
            <w:pPr>
              <w:ind w:firstLine="290"/>
              <w:jc w:val="both"/>
              <w:rPr>
                <w:rFonts w:eastAsia="Calibri"/>
                <w:lang w:val="uk-UA" w:eastAsia="en-US"/>
              </w:rPr>
            </w:pPr>
          </w:p>
        </w:tc>
      </w:tr>
      <w:tr w:rsidR="00C62A80" w:rsidRPr="00C62A80" w14:paraId="0D1E851A" w14:textId="77777777" w:rsidTr="0039655F">
        <w:trPr>
          <w:tblCellSpacing w:w="30" w:type="dxa"/>
        </w:trPr>
        <w:tc>
          <w:tcPr>
            <w:tcW w:w="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0223227B" w14:textId="77777777" w:rsidR="00B11B8A" w:rsidRPr="00C62A80" w:rsidRDefault="00B11B8A" w:rsidP="0039655F">
            <w:pPr>
              <w:spacing w:before="100" w:beforeAutospacing="1" w:after="100" w:afterAutospacing="1"/>
              <w:ind w:right="-67"/>
              <w:rPr>
                <w:rFonts w:eastAsia="Calibri"/>
                <w:lang w:val="uk-UA" w:eastAsia="en-US"/>
              </w:rPr>
            </w:pPr>
            <w:r w:rsidRPr="00C62A80">
              <w:rPr>
                <w:rFonts w:eastAsia="Calibri"/>
                <w:lang w:val="uk-UA" w:eastAsia="en-US"/>
              </w:rPr>
              <w:t>Альтернатива 2</w:t>
            </w:r>
          </w:p>
        </w:tc>
        <w:tc>
          <w:tcPr>
            <w:tcW w:w="39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8EE6828" w14:textId="77777777" w:rsidR="00B11B8A" w:rsidRPr="00C62A80" w:rsidRDefault="00B11B8A" w:rsidP="0039655F">
            <w:pPr>
              <w:ind w:firstLine="290"/>
              <w:jc w:val="both"/>
              <w:rPr>
                <w:rFonts w:eastAsia="Calibri"/>
                <w:lang w:val="uk-UA" w:eastAsia="en-US"/>
              </w:rPr>
            </w:pPr>
            <w:r w:rsidRPr="00C62A80">
              <w:rPr>
                <w:rFonts w:eastAsia="Calibri"/>
                <w:lang w:val="uk-UA" w:eastAsia="en-US"/>
              </w:rPr>
              <w:t xml:space="preserve">Залишити чинний наказ № 428 </w:t>
            </w:r>
          </w:p>
        </w:tc>
      </w:tr>
    </w:tbl>
    <w:p w14:paraId="66E4F442" w14:textId="77777777" w:rsidR="00B11B8A" w:rsidRPr="00C62A80" w:rsidRDefault="00B11B8A" w:rsidP="00B11B8A">
      <w:pPr>
        <w:pStyle w:val="a9"/>
        <w:widowControl w:val="0"/>
        <w:spacing w:before="60" w:beforeAutospacing="0" w:after="0" w:afterAutospacing="0"/>
        <w:ind w:firstLine="567"/>
        <w:jc w:val="both"/>
        <w:rPr>
          <w:sz w:val="28"/>
          <w:szCs w:val="28"/>
          <w:lang w:val="uk-UA"/>
        </w:rPr>
      </w:pPr>
      <w:r w:rsidRPr="00C62A80">
        <w:rPr>
          <w:sz w:val="28"/>
          <w:szCs w:val="28"/>
          <w:lang w:val="uk-UA"/>
        </w:rPr>
        <w:t>Інших альтернативних способів досягнення основної мети, ніж прийняття зазначеного регуляторного акта, не існує.</w:t>
      </w:r>
    </w:p>
    <w:p w14:paraId="787B828E" w14:textId="77777777" w:rsidR="00B11B8A" w:rsidRPr="00C62A80" w:rsidRDefault="00B11B8A" w:rsidP="00B11B8A">
      <w:pPr>
        <w:pStyle w:val="a9"/>
        <w:widowControl w:val="0"/>
        <w:spacing w:before="60" w:beforeAutospacing="0" w:after="0" w:afterAutospacing="0"/>
        <w:ind w:left="1080"/>
        <w:jc w:val="both"/>
        <w:rPr>
          <w:sz w:val="28"/>
          <w:szCs w:val="28"/>
          <w:lang w:val="uk-UA"/>
        </w:rPr>
      </w:pPr>
    </w:p>
    <w:p w14:paraId="354C8815" w14:textId="77777777" w:rsidR="00B11B8A" w:rsidRPr="00C62A80" w:rsidRDefault="00B11B8A" w:rsidP="00B11B8A">
      <w:pPr>
        <w:pStyle w:val="a9"/>
        <w:widowControl w:val="0"/>
        <w:spacing w:before="0" w:beforeAutospacing="0" w:after="0" w:afterAutospacing="0"/>
        <w:ind w:firstLine="567"/>
        <w:jc w:val="both"/>
        <w:rPr>
          <w:sz w:val="28"/>
          <w:szCs w:val="28"/>
          <w:lang w:val="uk-UA"/>
        </w:rPr>
      </w:pPr>
      <w:r w:rsidRPr="00C62A80">
        <w:rPr>
          <w:sz w:val="28"/>
          <w:szCs w:val="28"/>
          <w:lang w:val="uk-UA"/>
        </w:rPr>
        <w:t xml:space="preserve">2. Оцінка вибраних альтернативних способів досягнення цілей </w:t>
      </w:r>
    </w:p>
    <w:p w14:paraId="540D6944" w14:textId="77777777" w:rsidR="00B11B8A" w:rsidRPr="00C62A80" w:rsidRDefault="00B11B8A" w:rsidP="00B11B8A">
      <w:pPr>
        <w:pStyle w:val="a9"/>
        <w:widowControl w:val="0"/>
        <w:spacing w:before="0" w:beforeAutospacing="0" w:after="0" w:afterAutospacing="0"/>
        <w:ind w:firstLine="567"/>
        <w:jc w:val="both"/>
        <w:rPr>
          <w:i/>
          <w:sz w:val="28"/>
          <w:szCs w:val="28"/>
          <w:lang w:val="uk-UA"/>
        </w:rPr>
      </w:pPr>
      <w:r w:rsidRPr="00C62A80">
        <w:rPr>
          <w:i/>
          <w:sz w:val="28"/>
          <w:szCs w:val="28"/>
          <w:lang w:val="uk-UA"/>
        </w:rPr>
        <w:t>Оцінка впливу на сферу інтересів держави</w:t>
      </w:r>
    </w:p>
    <w:p w14:paraId="218C352A" w14:textId="77777777" w:rsidR="00B11B8A" w:rsidRPr="00C62A80" w:rsidRDefault="00B11B8A" w:rsidP="00B11B8A">
      <w:pPr>
        <w:pStyle w:val="a9"/>
        <w:widowControl w:val="0"/>
        <w:spacing w:before="0" w:beforeAutospacing="0" w:after="0" w:afterAutospacing="0"/>
        <w:ind w:firstLine="720"/>
        <w:jc w:val="both"/>
        <w:rPr>
          <w:sz w:val="28"/>
          <w:szCs w:val="28"/>
          <w:lang w:val="uk-UA"/>
        </w:rPr>
      </w:pP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2"/>
        <w:gridCol w:w="4433"/>
        <w:gridCol w:w="3288"/>
      </w:tblGrid>
      <w:tr w:rsidR="00C62A80" w:rsidRPr="00C62A80" w14:paraId="1AE724DB" w14:textId="77777777" w:rsidTr="0039655F">
        <w:trPr>
          <w:tblCellSpacing w:w="30" w:type="dxa"/>
        </w:trPr>
        <w:tc>
          <w:tcPr>
            <w:tcW w:w="9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AE04F79" w14:textId="77777777" w:rsidR="00B11B8A" w:rsidRPr="00C62A80" w:rsidRDefault="00B11B8A" w:rsidP="0039655F">
            <w:pPr>
              <w:spacing w:before="100" w:beforeAutospacing="1" w:after="100" w:afterAutospacing="1"/>
              <w:jc w:val="center"/>
              <w:rPr>
                <w:rFonts w:eastAsia="Calibri"/>
                <w:lang w:val="uk-UA" w:eastAsia="en-US"/>
              </w:rPr>
            </w:pPr>
            <w:r w:rsidRPr="00C62A80">
              <w:rPr>
                <w:rFonts w:eastAsia="Calibri"/>
                <w:lang w:val="uk-UA" w:eastAsia="en-US"/>
              </w:rPr>
              <w:t>Вид альтернативи</w:t>
            </w:r>
          </w:p>
        </w:tc>
        <w:tc>
          <w:tcPr>
            <w:tcW w:w="22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A5585D0" w14:textId="77777777" w:rsidR="00B11B8A" w:rsidRPr="00C62A80" w:rsidRDefault="00B11B8A" w:rsidP="0039655F">
            <w:pPr>
              <w:spacing w:before="100" w:beforeAutospacing="1" w:after="100" w:afterAutospacing="1"/>
              <w:jc w:val="center"/>
              <w:rPr>
                <w:rFonts w:eastAsia="Calibri"/>
                <w:lang w:val="uk-UA" w:eastAsia="en-US"/>
              </w:rPr>
            </w:pPr>
            <w:r w:rsidRPr="00C62A80">
              <w:rPr>
                <w:rFonts w:eastAsia="Calibri"/>
                <w:lang w:val="uk-UA" w:eastAsia="en-US"/>
              </w:rPr>
              <w:t>Вигоди</w:t>
            </w:r>
          </w:p>
        </w:tc>
        <w:tc>
          <w:tcPr>
            <w:tcW w:w="16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DFB4086" w14:textId="77777777" w:rsidR="00B11B8A" w:rsidRPr="00C62A80" w:rsidRDefault="00B11B8A" w:rsidP="0039655F">
            <w:pPr>
              <w:spacing w:before="100" w:beforeAutospacing="1" w:after="100" w:afterAutospacing="1"/>
              <w:jc w:val="center"/>
              <w:rPr>
                <w:rFonts w:eastAsia="Calibri"/>
                <w:lang w:val="uk-UA" w:eastAsia="en-US"/>
              </w:rPr>
            </w:pPr>
            <w:r w:rsidRPr="00C62A80">
              <w:rPr>
                <w:rFonts w:eastAsia="Calibri"/>
                <w:lang w:val="uk-UA" w:eastAsia="en-US"/>
              </w:rPr>
              <w:t>Витрати</w:t>
            </w:r>
          </w:p>
        </w:tc>
      </w:tr>
      <w:tr w:rsidR="00C62A80" w:rsidRPr="00C62A80" w14:paraId="2343E1A6" w14:textId="77777777" w:rsidTr="0039655F">
        <w:trPr>
          <w:tblCellSpacing w:w="30" w:type="dxa"/>
        </w:trPr>
        <w:tc>
          <w:tcPr>
            <w:tcW w:w="9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07DA6AC" w14:textId="77777777" w:rsidR="00B11B8A" w:rsidRPr="00C62A80" w:rsidRDefault="00B11B8A" w:rsidP="0039655F">
            <w:pPr>
              <w:spacing w:before="100" w:beforeAutospacing="1" w:after="100" w:afterAutospacing="1"/>
              <w:rPr>
                <w:rFonts w:eastAsia="Calibri"/>
                <w:lang w:val="uk-UA" w:eastAsia="en-US"/>
              </w:rPr>
            </w:pPr>
            <w:r w:rsidRPr="00C62A80">
              <w:rPr>
                <w:rFonts w:eastAsia="Calibri"/>
                <w:lang w:val="uk-UA" w:eastAsia="en-US"/>
              </w:rPr>
              <w:t>Альтернатива 1</w:t>
            </w:r>
          </w:p>
        </w:tc>
        <w:tc>
          <w:tcPr>
            <w:tcW w:w="22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F6FE867" w14:textId="77777777" w:rsidR="00B11B8A" w:rsidRPr="00C62A80" w:rsidRDefault="00B11B8A" w:rsidP="0039655F">
            <w:pPr>
              <w:pStyle w:val="ac"/>
              <w:ind w:firstLine="353"/>
              <w:jc w:val="both"/>
              <w:rPr>
                <w:rFonts w:ascii="Times New Roman" w:hAnsi="Times New Roman"/>
                <w:sz w:val="24"/>
                <w:szCs w:val="24"/>
              </w:rPr>
            </w:pPr>
            <w:r w:rsidRPr="00C62A80">
              <w:rPr>
                <w:rFonts w:ascii="Times New Roman" w:hAnsi="Times New Roman"/>
                <w:sz w:val="24"/>
                <w:szCs w:val="24"/>
              </w:rPr>
              <w:t xml:space="preserve">Прийняття проекту наказу забезпечить виконання вимог Кодексу, зокрема дозволить суб’єктам господарювання замовляти та здійснювати маркування отриманими марками акцизного податку: </w:t>
            </w:r>
          </w:p>
          <w:p w14:paraId="6333A20A" w14:textId="77777777" w:rsidR="00B11B8A" w:rsidRPr="00C62A80" w:rsidRDefault="00B11B8A" w:rsidP="0039655F">
            <w:pPr>
              <w:pStyle w:val="ac"/>
              <w:ind w:firstLine="353"/>
              <w:jc w:val="both"/>
              <w:rPr>
                <w:rFonts w:ascii="Times New Roman" w:hAnsi="Times New Roman"/>
                <w:sz w:val="24"/>
                <w:szCs w:val="24"/>
              </w:rPr>
            </w:pPr>
            <w:r w:rsidRPr="00C62A80">
              <w:rPr>
                <w:rFonts w:ascii="Times New Roman" w:hAnsi="Times New Roman"/>
                <w:sz w:val="24"/>
                <w:szCs w:val="24"/>
              </w:rPr>
              <w:t xml:space="preserve">ємностей (упаковок) з рідиною, що використовуються в електронних сигаретах; </w:t>
            </w:r>
          </w:p>
          <w:p w14:paraId="4EDC45AE" w14:textId="77777777" w:rsidR="00B11B8A" w:rsidRPr="00C62A80" w:rsidRDefault="00B11B8A" w:rsidP="0039655F">
            <w:pPr>
              <w:pStyle w:val="ac"/>
              <w:ind w:firstLine="353"/>
              <w:jc w:val="both"/>
              <w:rPr>
                <w:rFonts w:ascii="Times New Roman" w:hAnsi="Times New Roman"/>
                <w:sz w:val="24"/>
                <w:szCs w:val="24"/>
              </w:rPr>
            </w:pPr>
            <w:r w:rsidRPr="00C62A80">
              <w:rPr>
                <w:rFonts w:ascii="Times New Roman" w:hAnsi="Times New Roman"/>
                <w:sz w:val="24"/>
                <w:szCs w:val="24"/>
              </w:rPr>
              <w:t>пачок (упаковок) сигарил, тютюновмісних виробів для електричного нагрівання (ТВЕН) за допомогою підігрівача з електронним управлінням;</w:t>
            </w:r>
          </w:p>
          <w:p w14:paraId="7369FB33" w14:textId="77777777" w:rsidR="00B11B8A" w:rsidRPr="00C62A80" w:rsidRDefault="00B11B8A" w:rsidP="0039655F">
            <w:pPr>
              <w:ind w:firstLine="353"/>
              <w:jc w:val="both"/>
              <w:rPr>
                <w:lang w:val="uk-UA"/>
              </w:rPr>
            </w:pPr>
            <w:r w:rsidRPr="00C62A80">
              <w:rPr>
                <w:lang w:val="uk-UA"/>
              </w:rPr>
              <w:t>та є можливість замовлення марок акцизного податку на сигарети, цигарки та сигарили, на які нанесено інформацію щодо кількості виробів у пачці (упаковці), та маркування такими марками підакцизних товарів.</w:t>
            </w:r>
          </w:p>
          <w:p w14:paraId="43D6CF4F" w14:textId="77777777" w:rsidR="00B11B8A" w:rsidRPr="00C62A80" w:rsidRDefault="00B11B8A" w:rsidP="0039655F">
            <w:pPr>
              <w:ind w:firstLine="353"/>
              <w:jc w:val="both"/>
              <w:rPr>
                <w:rFonts w:eastAsia="Calibri"/>
                <w:lang w:val="uk-UA" w:eastAsia="en-US"/>
              </w:rPr>
            </w:pPr>
            <w:r w:rsidRPr="00C62A80">
              <w:rPr>
                <w:rFonts w:eastAsia="Calibri"/>
                <w:lang w:val="uk-UA" w:eastAsia="en-US"/>
              </w:rPr>
              <w:t xml:space="preserve">При цьому запровадження альтернативи сприятиме підвищенню </w:t>
            </w:r>
            <w:r w:rsidRPr="00C62A80">
              <w:rPr>
                <w:rFonts w:eastAsia="Calibri"/>
                <w:lang w:val="uk-UA" w:eastAsia="en-US"/>
              </w:rPr>
              <w:lastRenderedPageBreak/>
              <w:t>контролю за виробництвом та обігом підакцизних товарів</w:t>
            </w:r>
          </w:p>
        </w:tc>
        <w:tc>
          <w:tcPr>
            <w:tcW w:w="16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2DBE63D" w14:textId="77777777" w:rsidR="00B11B8A" w:rsidRPr="00C62A80" w:rsidRDefault="00B11B8A" w:rsidP="0039655F">
            <w:pPr>
              <w:pStyle w:val="ac"/>
              <w:ind w:firstLine="350"/>
              <w:jc w:val="both"/>
              <w:rPr>
                <w:rFonts w:ascii="Times New Roman" w:hAnsi="Times New Roman"/>
                <w:sz w:val="24"/>
                <w:szCs w:val="24"/>
              </w:rPr>
            </w:pPr>
            <w:r w:rsidRPr="00C62A80">
              <w:rPr>
                <w:rFonts w:ascii="Times New Roman" w:hAnsi="Times New Roman"/>
                <w:sz w:val="24"/>
                <w:szCs w:val="24"/>
              </w:rPr>
              <w:lastRenderedPageBreak/>
              <w:t>Витрати відсутні.</w:t>
            </w:r>
          </w:p>
          <w:p w14:paraId="691C7226" w14:textId="77777777" w:rsidR="00B11B8A" w:rsidRPr="00C62A80" w:rsidRDefault="00B11B8A" w:rsidP="0039655F">
            <w:pPr>
              <w:pStyle w:val="ac"/>
              <w:ind w:firstLine="350"/>
              <w:jc w:val="both"/>
              <w:rPr>
                <w:rFonts w:ascii="Times New Roman" w:hAnsi="Times New Roman"/>
                <w:sz w:val="24"/>
                <w:szCs w:val="24"/>
              </w:rPr>
            </w:pPr>
            <w:r w:rsidRPr="00C62A80">
              <w:rPr>
                <w:rFonts w:ascii="Times New Roman" w:hAnsi="Times New Roman"/>
                <w:sz w:val="24"/>
                <w:szCs w:val="24"/>
              </w:rPr>
              <w:t>Оновлення програмного забезпечення здійснюється в межах фінансування ДПС без потреби додаткового залучення кадрів</w:t>
            </w:r>
          </w:p>
          <w:p w14:paraId="0353FA4B" w14:textId="77777777" w:rsidR="00B11B8A" w:rsidRPr="00C62A80" w:rsidRDefault="00B11B8A" w:rsidP="0039655F">
            <w:pPr>
              <w:pStyle w:val="ac"/>
              <w:ind w:firstLine="350"/>
              <w:jc w:val="both"/>
              <w:rPr>
                <w:rFonts w:ascii="Times New Roman" w:hAnsi="Times New Roman"/>
                <w:sz w:val="24"/>
                <w:szCs w:val="24"/>
              </w:rPr>
            </w:pPr>
          </w:p>
          <w:p w14:paraId="47B5C498" w14:textId="77777777" w:rsidR="00B11B8A" w:rsidRPr="00C62A80" w:rsidRDefault="00B11B8A" w:rsidP="0039655F">
            <w:pPr>
              <w:pStyle w:val="ac"/>
              <w:ind w:firstLine="350"/>
              <w:jc w:val="both"/>
              <w:rPr>
                <w:sz w:val="24"/>
                <w:szCs w:val="24"/>
              </w:rPr>
            </w:pPr>
          </w:p>
        </w:tc>
      </w:tr>
      <w:tr w:rsidR="00C62A80" w:rsidRPr="00C62A80" w14:paraId="56D64068" w14:textId="77777777" w:rsidTr="0039655F">
        <w:trPr>
          <w:tblCellSpacing w:w="30" w:type="dxa"/>
        </w:trPr>
        <w:tc>
          <w:tcPr>
            <w:tcW w:w="9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E347365" w14:textId="77777777" w:rsidR="00B11B8A" w:rsidRPr="00C62A80" w:rsidRDefault="00B11B8A" w:rsidP="0039655F">
            <w:pPr>
              <w:spacing w:before="100" w:beforeAutospacing="1" w:after="100" w:afterAutospacing="1"/>
              <w:rPr>
                <w:rFonts w:eastAsia="Calibri"/>
                <w:lang w:val="uk-UA" w:eastAsia="en-US"/>
              </w:rPr>
            </w:pPr>
            <w:r w:rsidRPr="00C62A80">
              <w:rPr>
                <w:rFonts w:eastAsia="Calibri"/>
                <w:lang w:val="uk-UA" w:eastAsia="en-US"/>
              </w:rPr>
              <w:t>Альтернатива 2</w:t>
            </w:r>
          </w:p>
        </w:tc>
        <w:tc>
          <w:tcPr>
            <w:tcW w:w="22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D3BDE94" w14:textId="77777777" w:rsidR="00B11B8A" w:rsidRPr="00C62A80" w:rsidRDefault="00B11B8A" w:rsidP="0039655F">
            <w:pPr>
              <w:ind w:firstLine="353"/>
              <w:rPr>
                <w:rFonts w:eastAsia="Calibri"/>
                <w:lang w:val="uk-UA" w:eastAsia="en-US"/>
              </w:rPr>
            </w:pPr>
            <w:r w:rsidRPr="00C62A80">
              <w:rPr>
                <w:rFonts w:eastAsia="Calibri"/>
                <w:lang w:val="uk-UA" w:eastAsia="en-US"/>
              </w:rPr>
              <w:t>Вигоди відсутні.</w:t>
            </w:r>
          </w:p>
          <w:p w14:paraId="3CD6BB64" w14:textId="77777777" w:rsidR="00B11B8A" w:rsidRPr="00C62A80" w:rsidRDefault="00B11B8A" w:rsidP="0039655F">
            <w:pPr>
              <w:pStyle w:val="a9"/>
              <w:tabs>
                <w:tab w:val="left" w:pos="720"/>
              </w:tabs>
              <w:spacing w:before="0" w:beforeAutospacing="0" w:after="0" w:afterAutospacing="0"/>
              <w:ind w:firstLine="356"/>
              <w:jc w:val="both"/>
              <w:rPr>
                <w:lang w:val="uk-UA"/>
              </w:rPr>
            </w:pPr>
            <w:r w:rsidRPr="00C62A80">
              <w:rPr>
                <w:lang w:val="uk-UA"/>
              </w:rPr>
              <w:t>Залишення ситуації без змін призведе до:</w:t>
            </w:r>
          </w:p>
          <w:p w14:paraId="14DFCD30" w14:textId="77777777" w:rsidR="00B11B8A" w:rsidRPr="00C62A80" w:rsidRDefault="00B11B8A" w:rsidP="0039655F">
            <w:pPr>
              <w:pStyle w:val="a9"/>
              <w:tabs>
                <w:tab w:val="left" w:pos="720"/>
              </w:tabs>
              <w:spacing w:before="0" w:beforeAutospacing="0" w:after="0" w:afterAutospacing="0"/>
              <w:ind w:firstLine="356"/>
              <w:jc w:val="both"/>
              <w:rPr>
                <w:lang w:val="uk-UA"/>
              </w:rPr>
            </w:pPr>
            <w:r w:rsidRPr="00C62A80">
              <w:rPr>
                <w:lang w:val="uk-UA"/>
              </w:rPr>
              <w:t>невиконання норм Кодексу та постанови № 1251;</w:t>
            </w:r>
          </w:p>
          <w:p w14:paraId="68CF6674" w14:textId="77777777" w:rsidR="00B11B8A" w:rsidRPr="00C62A80" w:rsidRDefault="00B11B8A" w:rsidP="0039655F">
            <w:pPr>
              <w:pStyle w:val="a9"/>
              <w:tabs>
                <w:tab w:val="left" w:pos="720"/>
              </w:tabs>
              <w:spacing w:before="0" w:beforeAutospacing="0" w:after="0" w:afterAutospacing="0"/>
              <w:ind w:firstLine="357"/>
              <w:jc w:val="both"/>
              <w:rPr>
                <w:lang w:val="uk-UA"/>
              </w:rPr>
            </w:pPr>
            <w:r w:rsidRPr="00C62A80">
              <w:rPr>
                <w:lang w:val="uk-UA"/>
              </w:rPr>
              <w:t>неможливості суб’єктами господарювання здійснювати маркування марками акцизного податку: ємностей (упаковок) з рідиною, що використовуються в електронних сигаретах пачок (упаковок), сигарил, тютюновмісних виробів для електричного нагрівання (ТВЕН) за допомогою підігрівача з електронним управлінням;</w:t>
            </w:r>
          </w:p>
          <w:p w14:paraId="779A5CEF" w14:textId="77777777" w:rsidR="00B11B8A" w:rsidRPr="00C62A80" w:rsidRDefault="00B11B8A" w:rsidP="0039655F">
            <w:pPr>
              <w:pStyle w:val="a9"/>
              <w:tabs>
                <w:tab w:val="left" w:pos="720"/>
              </w:tabs>
              <w:spacing w:before="0" w:beforeAutospacing="0" w:after="0" w:afterAutospacing="0"/>
              <w:ind w:firstLine="357"/>
              <w:jc w:val="both"/>
              <w:rPr>
                <w:lang w:val="uk-UA"/>
              </w:rPr>
            </w:pPr>
            <w:r w:rsidRPr="00C62A80">
              <w:rPr>
                <w:lang w:val="uk-UA"/>
              </w:rPr>
              <w:t xml:space="preserve">неможливості замовлення марок акцизного податку на сигарети, цигарки та сигарили, на які нанесено інформацію щодо кількості виробів у пачці (упаковці), та маркування такими марками підакцизних товарів; </w:t>
            </w:r>
          </w:p>
          <w:p w14:paraId="77EC3322" w14:textId="77777777" w:rsidR="00B11B8A" w:rsidRPr="00C62A80" w:rsidRDefault="00B11B8A" w:rsidP="0039655F">
            <w:pPr>
              <w:pStyle w:val="a9"/>
              <w:tabs>
                <w:tab w:val="left" w:pos="720"/>
              </w:tabs>
              <w:spacing w:before="0" w:beforeAutospacing="0" w:after="0" w:afterAutospacing="0"/>
              <w:ind w:firstLine="357"/>
              <w:jc w:val="both"/>
              <w:rPr>
                <w:lang w:val="uk-UA"/>
              </w:rPr>
            </w:pPr>
            <w:r w:rsidRPr="00C62A80">
              <w:rPr>
                <w:lang w:val="uk-UA"/>
              </w:rPr>
              <w:t>неможливості ДПС у повному обсязі виконувати функції, визначені підпунктом 19</w:t>
            </w:r>
            <w:r w:rsidRPr="00C62A80">
              <w:rPr>
                <w:vertAlign w:val="superscript"/>
                <w:lang w:val="uk-UA"/>
              </w:rPr>
              <w:t>1</w:t>
            </w:r>
            <w:r w:rsidRPr="00C62A80">
              <w:rPr>
                <w:lang w:val="uk-UA"/>
              </w:rPr>
              <w:t>.1.18 п. 19</w:t>
            </w:r>
            <w:r w:rsidRPr="00C62A80">
              <w:rPr>
                <w:vertAlign w:val="superscript"/>
                <w:lang w:val="uk-UA"/>
              </w:rPr>
              <w:t>1</w:t>
            </w:r>
            <w:r w:rsidRPr="00C62A80">
              <w:rPr>
                <w:lang w:val="uk-UA"/>
              </w:rPr>
              <w:t>.1 ст. 19</w:t>
            </w:r>
            <w:r w:rsidRPr="00C62A80">
              <w:rPr>
                <w:vertAlign w:val="superscript"/>
                <w:lang w:val="uk-UA"/>
              </w:rPr>
              <w:t xml:space="preserve">1 </w:t>
            </w:r>
            <w:r w:rsidRPr="00C62A80">
              <w:rPr>
                <w:lang w:val="uk-UA"/>
              </w:rPr>
              <w:t>Кодексу, а саме щодо організації роботи, пов’язаної із замовленням марок акцизного податку, їх зберіганням, продажем, відбором зразків, з метою проведення експертизи щодо їх автентичності та здійснення контролю за наявністю таких марок на пляшках (упаковках) з алкогольними напоями і пачках (упаковках) тютюнових виробів під час їх транспортування, зберігання і реалізації.</w:t>
            </w:r>
          </w:p>
        </w:tc>
        <w:tc>
          <w:tcPr>
            <w:tcW w:w="16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B72985D" w14:textId="77777777" w:rsidR="00B11B8A" w:rsidRPr="00C62A80" w:rsidRDefault="00B11B8A" w:rsidP="0039655F">
            <w:pPr>
              <w:ind w:firstLine="353"/>
              <w:jc w:val="both"/>
              <w:rPr>
                <w:rFonts w:eastAsia="Calibri"/>
                <w:lang w:val="uk-UA" w:eastAsia="en-US"/>
              </w:rPr>
            </w:pPr>
            <w:r w:rsidRPr="00C62A80">
              <w:rPr>
                <w:rFonts w:eastAsia="Calibri"/>
                <w:lang w:val="uk-UA" w:eastAsia="en-US"/>
              </w:rPr>
              <w:t>Збереження недонадходжень до бюджету внаслідок:</w:t>
            </w:r>
          </w:p>
          <w:p w14:paraId="364BE8C0" w14:textId="77777777" w:rsidR="00B11B8A" w:rsidRPr="00C62A80" w:rsidRDefault="00B11B8A" w:rsidP="0039655F">
            <w:pPr>
              <w:ind w:firstLine="353"/>
              <w:jc w:val="both"/>
              <w:rPr>
                <w:rFonts w:eastAsia="Calibri"/>
                <w:lang w:val="uk-UA" w:eastAsia="en-US"/>
              </w:rPr>
            </w:pPr>
            <w:r w:rsidRPr="00C62A80">
              <w:rPr>
                <w:rFonts w:eastAsia="Calibri"/>
                <w:lang w:val="uk-UA" w:eastAsia="en-US"/>
              </w:rPr>
              <w:t>недостатнього контролю за обігом підакцизних товарів;</w:t>
            </w:r>
          </w:p>
          <w:p w14:paraId="192CD3BC" w14:textId="77777777" w:rsidR="00B11B8A" w:rsidRPr="00C62A80" w:rsidRDefault="00B11B8A" w:rsidP="0039655F">
            <w:pPr>
              <w:ind w:firstLine="353"/>
              <w:jc w:val="both"/>
              <w:rPr>
                <w:lang w:val="uk-UA"/>
              </w:rPr>
            </w:pPr>
            <w:r w:rsidRPr="00C62A80">
              <w:rPr>
                <w:lang w:val="uk-UA"/>
              </w:rPr>
              <w:t>неможливості суб’єктами господарювання подати попередню/додаткову попередню заявку-розрахунок про потребу в марках акцизного податку, заявку-розрахунок на придбання марок акцизного податку для маркування, звіту про використання марок акцизного податку, реєстру повернутих марок акцизного податку, зокрема, для маркування тютюнових виробів та рідин, що використовуються в електронних сигаретах;</w:t>
            </w:r>
          </w:p>
          <w:p w14:paraId="67C39FCC" w14:textId="77777777" w:rsidR="00B11B8A" w:rsidRPr="00C62A80" w:rsidRDefault="00B11B8A" w:rsidP="0039655F">
            <w:pPr>
              <w:ind w:firstLine="353"/>
              <w:jc w:val="both"/>
              <w:rPr>
                <w:rFonts w:eastAsia="Calibri"/>
                <w:lang w:val="uk-UA" w:eastAsia="en-US"/>
              </w:rPr>
            </w:pPr>
            <w:r w:rsidRPr="00C62A80">
              <w:rPr>
                <w:lang w:val="uk-UA"/>
              </w:rPr>
              <w:t>неможливості ДПС подати зведену заявку-розрахунок на виготовлення необхідної кількості марок акцизного податку для тютюнових виробів та рідин, що використовуються в електронних сигаретах</w:t>
            </w:r>
          </w:p>
        </w:tc>
      </w:tr>
    </w:tbl>
    <w:p w14:paraId="7471B3D0" w14:textId="77777777" w:rsidR="00B11B8A" w:rsidRPr="00C62A80" w:rsidRDefault="00B11B8A" w:rsidP="00B11B8A">
      <w:pPr>
        <w:pStyle w:val="ac"/>
        <w:rPr>
          <w:sz w:val="10"/>
        </w:rPr>
      </w:pP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65"/>
        <w:gridCol w:w="2458"/>
      </w:tblGrid>
      <w:tr w:rsidR="00C62A80" w:rsidRPr="00C62A80" w14:paraId="5A5E2CCD" w14:textId="77777777" w:rsidTr="0039655F">
        <w:trPr>
          <w:tblCellSpacing w:w="30" w:type="dxa"/>
        </w:trPr>
        <w:tc>
          <w:tcPr>
            <w:tcW w:w="367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90C3131" w14:textId="77777777" w:rsidR="00B11B8A" w:rsidRPr="00C62A80" w:rsidRDefault="00B11B8A" w:rsidP="0039655F">
            <w:pPr>
              <w:spacing w:before="120" w:after="100" w:afterAutospacing="1"/>
              <w:jc w:val="center"/>
              <w:rPr>
                <w:rFonts w:eastAsia="Calibri"/>
                <w:lang w:val="uk-UA" w:eastAsia="en-US"/>
              </w:rPr>
            </w:pPr>
            <w:r w:rsidRPr="00C62A80">
              <w:rPr>
                <w:rFonts w:eastAsia="Calibri"/>
                <w:lang w:val="uk-UA" w:eastAsia="en-US"/>
              </w:rPr>
              <w:t>Сумарні витрати за альтернативами</w:t>
            </w:r>
          </w:p>
        </w:tc>
        <w:tc>
          <w:tcPr>
            <w:tcW w:w="123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3C7FDBD" w14:textId="77777777" w:rsidR="00B11B8A" w:rsidRPr="00C62A80" w:rsidRDefault="00B11B8A" w:rsidP="0039655F">
            <w:pPr>
              <w:spacing w:before="120" w:after="100" w:afterAutospacing="1"/>
              <w:jc w:val="center"/>
              <w:rPr>
                <w:rFonts w:eastAsia="Calibri"/>
                <w:lang w:val="uk-UA" w:eastAsia="en-US"/>
              </w:rPr>
            </w:pPr>
            <w:r w:rsidRPr="00C62A80">
              <w:rPr>
                <w:rFonts w:eastAsia="Calibri"/>
                <w:lang w:val="uk-UA" w:eastAsia="en-US"/>
              </w:rPr>
              <w:t>Сума витрат, гривень</w:t>
            </w:r>
          </w:p>
        </w:tc>
      </w:tr>
      <w:tr w:rsidR="00C62A80" w:rsidRPr="00C62A80" w14:paraId="45C8A05C" w14:textId="77777777" w:rsidTr="0039655F">
        <w:trPr>
          <w:tblCellSpacing w:w="30" w:type="dxa"/>
        </w:trPr>
        <w:tc>
          <w:tcPr>
            <w:tcW w:w="367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9E99919" w14:textId="77777777" w:rsidR="00B11B8A" w:rsidRPr="00C62A80" w:rsidRDefault="00B11B8A" w:rsidP="0039655F">
            <w:pPr>
              <w:pStyle w:val="ac"/>
              <w:rPr>
                <w:rFonts w:ascii="Times New Roman" w:hAnsi="Times New Roman"/>
                <w:sz w:val="24"/>
              </w:rPr>
            </w:pPr>
            <w:r w:rsidRPr="00C62A80">
              <w:rPr>
                <w:rFonts w:ascii="Times New Roman" w:hAnsi="Times New Roman"/>
                <w:sz w:val="24"/>
              </w:rPr>
              <w:t>Альтернатива 1</w:t>
            </w:r>
          </w:p>
          <w:p w14:paraId="41A3521D" w14:textId="77777777" w:rsidR="00B11B8A" w:rsidRPr="00C62A80" w:rsidRDefault="00B11B8A" w:rsidP="0039655F">
            <w:pPr>
              <w:pStyle w:val="ac"/>
              <w:jc w:val="both"/>
            </w:pPr>
            <w:r w:rsidRPr="00C62A80">
              <w:rPr>
                <w:rFonts w:ascii="Times New Roman" w:hAnsi="Times New Roman"/>
                <w:sz w:val="24"/>
              </w:rPr>
              <w:t>Оновлення програмного забезпечення не є затратним. Запропоновані зміни не вплинуть на господарську діяльність платників. Також відповідні зміни не зачіпають інтереси сумлінних платників</w:t>
            </w:r>
          </w:p>
        </w:tc>
        <w:tc>
          <w:tcPr>
            <w:tcW w:w="123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3191E9F1" w14:textId="77777777" w:rsidR="00B11B8A" w:rsidRPr="00C62A80" w:rsidRDefault="00B11B8A" w:rsidP="0039655F">
            <w:pPr>
              <w:ind w:firstLine="290"/>
              <w:jc w:val="center"/>
              <w:rPr>
                <w:rFonts w:eastAsia="Calibri"/>
                <w:lang w:val="uk-UA" w:eastAsia="en-US"/>
              </w:rPr>
            </w:pPr>
            <w:r w:rsidRPr="00C62A80">
              <w:rPr>
                <w:lang w:val="uk-UA"/>
              </w:rPr>
              <w:t>36 792</w:t>
            </w:r>
          </w:p>
        </w:tc>
      </w:tr>
      <w:tr w:rsidR="00C62A80" w:rsidRPr="00C62A80" w14:paraId="327F044D" w14:textId="77777777" w:rsidTr="0039655F">
        <w:trPr>
          <w:tblCellSpacing w:w="30" w:type="dxa"/>
        </w:trPr>
        <w:tc>
          <w:tcPr>
            <w:tcW w:w="367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CBCD325" w14:textId="77777777" w:rsidR="00B11B8A" w:rsidRPr="00C62A80" w:rsidRDefault="00B11B8A" w:rsidP="0039655F">
            <w:pPr>
              <w:spacing w:before="100" w:beforeAutospacing="1" w:after="100" w:afterAutospacing="1"/>
              <w:ind w:right="-67"/>
              <w:rPr>
                <w:rFonts w:eastAsia="Calibri"/>
                <w:lang w:val="uk-UA" w:eastAsia="en-US"/>
              </w:rPr>
            </w:pPr>
            <w:r w:rsidRPr="00C62A80">
              <w:rPr>
                <w:rFonts w:eastAsia="Calibri"/>
                <w:lang w:val="uk-UA" w:eastAsia="en-US"/>
              </w:rPr>
              <w:t>Альтернатива 2</w:t>
            </w:r>
          </w:p>
        </w:tc>
        <w:tc>
          <w:tcPr>
            <w:tcW w:w="123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2FD1799" w14:textId="77777777" w:rsidR="00B11B8A" w:rsidRPr="00C62A80" w:rsidRDefault="00B11B8A" w:rsidP="0039655F">
            <w:pPr>
              <w:ind w:firstLine="290"/>
              <w:jc w:val="center"/>
              <w:rPr>
                <w:rFonts w:eastAsia="Calibri"/>
                <w:lang w:val="uk-UA" w:eastAsia="en-US"/>
              </w:rPr>
            </w:pPr>
            <w:commentRangeStart w:id="1"/>
            <w:r w:rsidRPr="00C62A80">
              <w:rPr>
                <w:lang w:val="uk-UA"/>
              </w:rPr>
              <w:t>36 792</w:t>
            </w:r>
            <w:commentRangeEnd w:id="1"/>
            <w:r w:rsidRPr="00C62A80">
              <w:rPr>
                <w:rStyle w:val="ad"/>
                <w:lang w:val="uk-UA"/>
              </w:rPr>
              <w:commentReference w:id="1"/>
            </w:r>
          </w:p>
        </w:tc>
      </w:tr>
    </w:tbl>
    <w:p w14:paraId="4DD4CEE5" w14:textId="77777777" w:rsidR="00B11B8A" w:rsidRPr="00C62A80" w:rsidRDefault="00B11B8A" w:rsidP="00B11B8A">
      <w:pPr>
        <w:pStyle w:val="ac"/>
        <w:rPr>
          <w:sz w:val="10"/>
        </w:rPr>
      </w:pPr>
    </w:p>
    <w:p w14:paraId="7812079F" w14:textId="77777777" w:rsidR="00B11B8A" w:rsidRPr="00C62A80" w:rsidRDefault="00B11B8A" w:rsidP="00B11B8A">
      <w:pPr>
        <w:pStyle w:val="ac"/>
        <w:rPr>
          <w:sz w:val="10"/>
        </w:rPr>
      </w:pPr>
    </w:p>
    <w:p w14:paraId="66BB5632" w14:textId="77777777" w:rsidR="00B11B8A" w:rsidRPr="00C62A80" w:rsidRDefault="00B11B8A" w:rsidP="00B11B8A">
      <w:pPr>
        <w:pStyle w:val="ac"/>
        <w:rPr>
          <w:sz w:val="10"/>
        </w:rPr>
      </w:pPr>
    </w:p>
    <w:p w14:paraId="3BE6AAAF" w14:textId="77777777" w:rsidR="00B11B8A" w:rsidRPr="00C62A80" w:rsidRDefault="00B11B8A" w:rsidP="00B11B8A">
      <w:pPr>
        <w:pStyle w:val="ac"/>
        <w:rPr>
          <w:sz w:val="10"/>
        </w:rPr>
      </w:pPr>
    </w:p>
    <w:p w14:paraId="1B2ED258" w14:textId="77777777" w:rsidR="00B11B8A" w:rsidRPr="00C62A80" w:rsidRDefault="00B11B8A" w:rsidP="00B11B8A">
      <w:pPr>
        <w:pStyle w:val="a9"/>
        <w:spacing w:before="240" w:beforeAutospacing="0" w:after="60" w:afterAutospacing="0"/>
        <w:ind w:firstLine="567"/>
        <w:jc w:val="both"/>
        <w:rPr>
          <w:sz w:val="28"/>
          <w:szCs w:val="28"/>
          <w:lang w:val="uk-UA"/>
        </w:rPr>
      </w:pPr>
      <w:r w:rsidRPr="00C62A80">
        <w:rPr>
          <w:sz w:val="28"/>
          <w:szCs w:val="28"/>
          <w:lang w:val="uk-UA"/>
        </w:rPr>
        <w:lastRenderedPageBreak/>
        <w:t>3. Проект наказу не впливає на сферу інтересів громадян.</w:t>
      </w:r>
    </w:p>
    <w:p w14:paraId="6E483A7B" w14:textId="77777777" w:rsidR="00B11B8A" w:rsidRPr="00C62A80" w:rsidRDefault="00B11B8A" w:rsidP="00B11B8A">
      <w:pPr>
        <w:pStyle w:val="ac"/>
        <w:rPr>
          <w:rFonts w:ascii="Times New Roman" w:hAnsi="Times New Roman"/>
        </w:rPr>
      </w:pPr>
    </w:p>
    <w:p w14:paraId="63F86995" w14:textId="77777777" w:rsidR="00B11B8A" w:rsidRPr="00C62A80" w:rsidRDefault="00B11B8A" w:rsidP="00B11B8A">
      <w:pPr>
        <w:pStyle w:val="a9"/>
        <w:spacing w:after="0" w:afterAutospacing="0"/>
        <w:ind w:firstLine="567"/>
        <w:jc w:val="both"/>
        <w:rPr>
          <w:lang w:val="uk-UA"/>
        </w:rPr>
      </w:pPr>
      <w:r w:rsidRPr="00C62A80">
        <w:rPr>
          <w:sz w:val="28"/>
          <w:szCs w:val="28"/>
          <w:lang w:val="uk-UA"/>
        </w:rPr>
        <w:t>4. Оцінка впливу на сферу інтересів суб’єктів господарювання</w:t>
      </w:r>
    </w:p>
    <w:p w14:paraId="4BF75E5B" w14:textId="77777777" w:rsidR="00B11B8A" w:rsidRPr="00C62A80" w:rsidRDefault="00B11B8A" w:rsidP="00B11B8A">
      <w:pPr>
        <w:ind w:firstLine="567"/>
        <w:jc w:val="both"/>
        <w:rPr>
          <w:sz w:val="14"/>
          <w:szCs w:val="28"/>
          <w:lang w:val="uk-UA"/>
        </w:rPr>
      </w:pPr>
    </w:p>
    <w:p w14:paraId="6BEBB21B" w14:textId="77777777" w:rsidR="00B11B8A" w:rsidRPr="00C62A80" w:rsidRDefault="00B11B8A" w:rsidP="00B11B8A">
      <w:pPr>
        <w:ind w:firstLine="720"/>
        <w:jc w:val="right"/>
        <w:rPr>
          <w:szCs w:val="28"/>
          <w:lang w:val="uk-UA"/>
        </w:rPr>
      </w:pPr>
      <w:r w:rsidRPr="00C62A80">
        <w:rPr>
          <w:szCs w:val="28"/>
          <w:lang w:val="uk-UA"/>
        </w:rPr>
        <w:t>Станом на 23.10.2020</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2"/>
        <w:gridCol w:w="3656"/>
        <w:gridCol w:w="4185"/>
      </w:tblGrid>
      <w:tr w:rsidR="00C62A80" w:rsidRPr="003E69C5" w14:paraId="028B3958" w14:textId="77777777" w:rsidTr="0039655F">
        <w:trPr>
          <w:tblCellSpacing w:w="30" w:type="dxa"/>
        </w:trPr>
        <w:tc>
          <w:tcPr>
            <w:tcW w:w="4939" w:type="pct"/>
            <w:gridSpan w:val="3"/>
            <w:tcBorders>
              <w:top w:val="outset" w:sz="6" w:space="0" w:color="auto"/>
              <w:left w:val="outset" w:sz="6" w:space="0" w:color="auto"/>
              <w:bottom w:val="outset" w:sz="6" w:space="0" w:color="auto"/>
              <w:right w:val="outset" w:sz="6" w:space="0" w:color="A0A0A0"/>
            </w:tcBorders>
            <w:tcMar>
              <w:top w:w="30" w:type="dxa"/>
              <w:left w:w="30" w:type="dxa"/>
              <w:bottom w:w="30" w:type="dxa"/>
              <w:right w:w="30" w:type="dxa"/>
            </w:tcMar>
            <w:vAlign w:val="center"/>
          </w:tcPr>
          <w:p w14:paraId="4C1CA8F9" w14:textId="77777777" w:rsidR="00B11B8A" w:rsidRPr="00C62A80" w:rsidRDefault="00B11B8A" w:rsidP="0039655F">
            <w:pPr>
              <w:spacing w:before="100" w:beforeAutospacing="1" w:after="100" w:afterAutospacing="1"/>
              <w:jc w:val="center"/>
              <w:rPr>
                <w:rFonts w:eastAsia="Calibri"/>
                <w:lang w:val="uk-UA" w:eastAsia="en-US"/>
              </w:rPr>
            </w:pPr>
            <w:r w:rsidRPr="00C62A80">
              <w:rPr>
                <w:rFonts w:eastAsia="Calibri"/>
                <w:lang w:val="uk-UA" w:eastAsia="en-US"/>
              </w:rPr>
              <w:t>Кількість суб’єктів господарювання, що підпадають під дію регулювання*</w:t>
            </w:r>
          </w:p>
        </w:tc>
      </w:tr>
      <w:tr w:rsidR="00C62A80" w:rsidRPr="00C62A80" w14:paraId="5CDA2125" w14:textId="77777777" w:rsidTr="0039655F">
        <w:trPr>
          <w:trHeight w:val="364"/>
          <w:tblCellSpacing w:w="30" w:type="dxa"/>
        </w:trPr>
        <w:tc>
          <w:tcPr>
            <w:tcW w:w="891" w:type="pct"/>
            <w:vMerge w:val="restart"/>
            <w:tcBorders>
              <w:top w:val="outset" w:sz="6" w:space="0" w:color="auto"/>
              <w:left w:val="outset" w:sz="6" w:space="0" w:color="auto"/>
              <w:right w:val="outset" w:sz="6" w:space="0" w:color="auto"/>
            </w:tcBorders>
            <w:tcMar>
              <w:top w:w="30" w:type="dxa"/>
              <w:left w:w="30" w:type="dxa"/>
              <w:bottom w:w="30" w:type="dxa"/>
              <w:right w:w="30" w:type="dxa"/>
            </w:tcMar>
            <w:vAlign w:val="center"/>
          </w:tcPr>
          <w:p w14:paraId="32239320" w14:textId="77777777" w:rsidR="00B11B8A" w:rsidRPr="00C62A80" w:rsidRDefault="00B11B8A" w:rsidP="0039655F">
            <w:pPr>
              <w:spacing w:before="100" w:beforeAutospacing="1" w:after="100" w:afterAutospacing="1"/>
              <w:jc w:val="center"/>
              <w:rPr>
                <w:rFonts w:eastAsia="Calibri"/>
                <w:lang w:val="uk-UA" w:eastAsia="en-US"/>
              </w:rPr>
            </w:pPr>
            <w:r w:rsidRPr="00C62A80">
              <w:rPr>
                <w:rFonts w:eastAsia="Calibri"/>
                <w:lang w:val="uk-UA" w:eastAsia="en-US"/>
              </w:rPr>
              <w:t>Всього</w:t>
            </w:r>
          </w:p>
        </w:tc>
        <w:tc>
          <w:tcPr>
            <w:tcW w:w="4018" w:type="pct"/>
            <w:gridSpan w:val="2"/>
            <w:tcBorders>
              <w:top w:val="outset" w:sz="6" w:space="0" w:color="auto"/>
              <w:left w:val="outset" w:sz="6" w:space="0" w:color="auto"/>
              <w:bottom w:val="outset" w:sz="6" w:space="0" w:color="auto"/>
              <w:right w:val="outset" w:sz="6" w:space="0" w:color="A0A0A0"/>
            </w:tcBorders>
            <w:tcMar>
              <w:top w:w="30" w:type="dxa"/>
              <w:left w:w="30" w:type="dxa"/>
              <w:bottom w:w="30" w:type="dxa"/>
              <w:right w:w="30" w:type="dxa"/>
            </w:tcMar>
            <w:vAlign w:val="center"/>
          </w:tcPr>
          <w:p w14:paraId="19D00846" w14:textId="77777777" w:rsidR="00B11B8A" w:rsidRPr="00C62A80" w:rsidRDefault="00B11B8A" w:rsidP="0039655F">
            <w:pPr>
              <w:spacing w:before="100" w:beforeAutospacing="1" w:after="100" w:afterAutospacing="1"/>
              <w:ind w:firstLine="353"/>
              <w:jc w:val="center"/>
              <w:rPr>
                <w:rFonts w:eastAsia="Calibri"/>
                <w:lang w:val="uk-UA" w:eastAsia="en-US"/>
              </w:rPr>
            </w:pPr>
            <w:r w:rsidRPr="00C62A80">
              <w:rPr>
                <w:lang w:val="uk-UA"/>
              </w:rPr>
              <w:t>у тому числі:</w:t>
            </w:r>
          </w:p>
        </w:tc>
      </w:tr>
      <w:tr w:rsidR="00C62A80" w:rsidRPr="00C62A80" w14:paraId="588486B1" w14:textId="77777777" w:rsidTr="0039655F">
        <w:trPr>
          <w:trHeight w:val="402"/>
          <w:tblCellSpacing w:w="30" w:type="dxa"/>
        </w:trPr>
        <w:tc>
          <w:tcPr>
            <w:tcW w:w="891" w:type="pct"/>
            <w:vMerge/>
            <w:tcBorders>
              <w:left w:val="outset" w:sz="6" w:space="0" w:color="auto"/>
              <w:bottom w:val="outset" w:sz="6" w:space="0" w:color="auto"/>
              <w:right w:val="outset" w:sz="6" w:space="0" w:color="auto"/>
            </w:tcBorders>
            <w:tcMar>
              <w:top w:w="30" w:type="dxa"/>
              <w:left w:w="30" w:type="dxa"/>
              <w:bottom w:w="30" w:type="dxa"/>
              <w:right w:w="30" w:type="dxa"/>
            </w:tcMar>
            <w:vAlign w:val="center"/>
          </w:tcPr>
          <w:p w14:paraId="37367FBA" w14:textId="77777777" w:rsidR="00B11B8A" w:rsidRPr="00C62A80" w:rsidRDefault="00B11B8A" w:rsidP="0039655F">
            <w:pPr>
              <w:spacing w:before="100" w:beforeAutospacing="1" w:after="100" w:afterAutospacing="1"/>
              <w:jc w:val="center"/>
              <w:rPr>
                <w:rFonts w:eastAsia="Calibri"/>
                <w:lang w:val="uk-UA" w:eastAsia="en-US"/>
              </w:rPr>
            </w:pPr>
          </w:p>
        </w:tc>
        <w:tc>
          <w:tcPr>
            <w:tcW w:w="189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40CEE301" w14:textId="77777777" w:rsidR="00B11B8A" w:rsidRPr="00C62A80" w:rsidRDefault="00B11B8A" w:rsidP="0039655F">
            <w:pPr>
              <w:pStyle w:val="ac"/>
              <w:ind w:firstLine="567"/>
              <w:jc w:val="center"/>
              <w:rPr>
                <w:rFonts w:ascii="Times New Roman" w:hAnsi="Times New Roman"/>
                <w:sz w:val="24"/>
                <w:szCs w:val="24"/>
              </w:rPr>
            </w:pPr>
            <w:r w:rsidRPr="00C62A80">
              <w:rPr>
                <w:rFonts w:ascii="Times New Roman" w:hAnsi="Times New Roman"/>
                <w:sz w:val="24"/>
                <w:szCs w:val="24"/>
              </w:rPr>
              <w:t>юридичних осіб</w:t>
            </w:r>
          </w:p>
        </w:tc>
        <w:tc>
          <w:tcPr>
            <w:tcW w:w="20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5BE76E6F" w14:textId="77777777" w:rsidR="00B11B8A" w:rsidRPr="00C62A80" w:rsidRDefault="00B11B8A" w:rsidP="0039655F">
            <w:pPr>
              <w:spacing w:before="100" w:beforeAutospacing="1" w:after="100" w:afterAutospacing="1"/>
              <w:ind w:firstLine="353"/>
              <w:jc w:val="center"/>
              <w:rPr>
                <w:lang w:val="uk-UA"/>
              </w:rPr>
            </w:pPr>
            <w:r w:rsidRPr="00C62A80">
              <w:rPr>
                <w:lang w:val="uk-UA"/>
              </w:rPr>
              <w:t>фізичних осіб-підприємців</w:t>
            </w:r>
          </w:p>
        </w:tc>
      </w:tr>
      <w:tr w:rsidR="00C62A80" w:rsidRPr="00C62A80" w14:paraId="10CDCBF7" w14:textId="77777777" w:rsidTr="0039655F">
        <w:trPr>
          <w:trHeight w:val="437"/>
          <w:tblCellSpacing w:w="30" w:type="dxa"/>
        </w:trPr>
        <w:tc>
          <w:tcPr>
            <w:tcW w:w="8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6F30237E" w14:textId="77777777" w:rsidR="00B11B8A" w:rsidRPr="00C62A80" w:rsidRDefault="00B11B8A" w:rsidP="0039655F">
            <w:pPr>
              <w:spacing w:before="100" w:beforeAutospacing="1" w:after="100" w:afterAutospacing="1"/>
              <w:jc w:val="center"/>
              <w:rPr>
                <w:rFonts w:eastAsia="Calibri"/>
                <w:lang w:val="uk-UA" w:eastAsia="en-US"/>
              </w:rPr>
            </w:pPr>
            <w:r w:rsidRPr="00C62A80">
              <w:rPr>
                <w:rFonts w:eastAsia="Calibri"/>
                <w:lang w:val="uk-UA" w:eastAsia="en-US"/>
              </w:rPr>
              <w:t>210</w:t>
            </w:r>
          </w:p>
        </w:tc>
        <w:tc>
          <w:tcPr>
            <w:tcW w:w="189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24CE87E5" w14:textId="77777777" w:rsidR="00B11B8A" w:rsidRPr="00C62A80" w:rsidRDefault="00B11B8A" w:rsidP="0039655F">
            <w:pPr>
              <w:ind w:firstLine="353"/>
              <w:jc w:val="center"/>
              <w:rPr>
                <w:lang w:val="uk-UA"/>
              </w:rPr>
            </w:pPr>
            <w:r w:rsidRPr="00C62A80">
              <w:rPr>
                <w:lang w:val="uk-UA"/>
              </w:rPr>
              <w:t>203</w:t>
            </w:r>
          </w:p>
        </w:tc>
        <w:tc>
          <w:tcPr>
            <w:tcW w:w="20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22401E0E" w14:textId="77777777" w:rsidR="00B11B8A" w:rsidRPr="00C62A80" w:rsidRDefault="00B11B8A" w:rsidP="0039655F">
            <w:pPr>
              <w:spacing w:before="100" w:beforeAutospacing="1" w:after="100" w:afterAutospacing="1"/>
              <w:ind w:firstLine="353"/>
              <w:jc w:val="center"/>
              <w:rPr>
                <w:lang w:val="uk-UA"/>
              </w:rPr>
            </w:pPr>
            <w:r w:rsidRPr="00C62A80">
              <w:rPr>
                <w:lang w:val="uk-UA"/>
              </w:rPr>
              <w:t>7</w:t>
            </w:r>
          </w:p>
        </w:tc>
      </w:tr>
    </w:tbl>
    <w:p w14:paraId="42168425" w14:textId="77777777" w:rsidR="00B11B8A" w:rsidRPr="00C62A80" w:rsidRDefault="00B11B8A" w:rsidP="00B11B8A">
      <w:pPr>
        <w:ind w:firstLine="567"/>
        <w:jc w:val="both"/>
        <w:rPr>
          <w:szCs w:val="28"/>
          <w:lang w:val="uk-UA"/>
        </w:rPr>
      </w:pPr>
    </w:p>
    <w:p w14:paraId="74D848DE" w14:textId="77777777" w:rsidR="00B11B8A" w:rsidRPr="00C62A80" w:rsidRDefault="00B11B8A" w:rsidP="00B11B8A">
      <w:pPr>
        <w:ind w:firstLine="567"/>
        <w:jc w:val="both"/>
        <w:rPr>
          <w:sz w:val="22"/>
          <w:szCs w:val="28"/>
          <w:lang w:val="uk-UA"/>
        </w:rPr>
      </w:pPr>
      <w:r w:rsidRPr="00C62A80">
        <w:rPr>
          <w:sz w:val="22"/>
          <w:szCs w:val="28"/>
          <w:lang w:val="uk-UA"/>
        </w:rPr>
        <w:t xml:space="preserve">* Кількість суб’єктів господарювання, що підпадають під дію регулювання (алкогольних напоїв, тютюнових виробів), у розрізі великих, середніх, малих та мікропідприємств вказати неможливо, оскільки проблема однаково впливає на всіх суб’єктів господарювання незалежно від форми власності та рівня доходу. </w:t>
      </w:r>
    </w:p>
    <w:p w14:paraId="28706D27" w14:textId="77777777" w:rsidR="00B11B8A" w:rsidRPr="00C62A80" w:rsidRDefault="00B11B8A" w:rsidP="00B11B8A">
      <w:pPr>
        <w:ind w:firstLine="567"/>
        <w:jc w:val="both"/>
        <w:rPr>
          <w:sz w:val="22"/>
          <w:szCs w:val="28"/>
          <w:lang w:val="uk-UA"/>
        </w:rPr>
      </w:pPr>
    </w:p>
    <w:p w14:paraId="7C18386C" w14:textId="77777777" w:rsidR="00B11B8A" w:rsidRPr="00C62A80" w:rsidRDefault="00B11B8A" w:rsidP="00B11B8A">
      <w:pPr>
        <w:ind w:firstLine="567"/>
        <w:jc w:val="both"/>
        <w:rPr>
          <w:sz w:val="28"/>
          <w:szCs w:val="28"/>
          <w:lang w:val="uk-UA"/>
        </w:rPr>
      </w:pPr>
      <w:r w:rsidRPr="00C62A80">
        <w:rPr>
          <w:sz w:val="28"/>
          <w:szCs w:val="28"/>
          <w:lang w:val="uk-UA"/>
        </w:rPr>
        <w:t>Неможливо визначити кількість суб’єктів господарювання, які будуть здійснювати виробництво або імпорт ємностей (упаковок) з рідиною, що використовується в електронних сигаретах, оскільки окремий облік таких суб’єктів чинним законодавством не передбачений.</w:t>
      </w:r>
    </w:p>
    <w:p w14:paraId="48397D79" w14:textId="77777777" w:rsidR="00B11B8A" w:rsidRPr="00C62A80" w:rsidRDefault="00B11B8A" w:rsidP="00B11B8A">
      <w:pPr>
        <w:ind w:firstLine="567"/>
        <w:jc w:val="both"/>
        <w:rPr>
          <w:sz w:val="28"/>
          <w:szCs w:val="28"/>
          <w:lang w:val="uk-UA"/>
        </w:rPr>
      </w:pPr>
      <w:r w:rsidRPr="00C62A80">
        <w:rPr>
          <w:sz w:val="28"/>
          <w:szCs w:val="28"/>
          <w:lang w:val="uk-UA"/>
        </w:rPr>
        <w:t>Кількість суб’єктів господарювання, які будуть замовляти марки акцизного податку для маркування (алкогольних напоїв та тютюнових виробів та рідин, що використовуються в електронних сигаретах), у разі подання замовлення на виготовлення та здійснення маркування марками акцизного податку підакцизних товарів становитиме близько 200 платників.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83"/>
        <w:gridCol w:w="3906"/>
        <w:gridCol w:w="3840"/>
      </w:tblGrid>
      <w:tr w:rsidR="00C62A80" w:rsidRPr="00C62A80" w14:paraId="77D2AD89" w14:textId="77777777" w:rsidTr="0039655F">
        <w:trPr>
          <w:tblCellSpacing w:w="22" w:type="dxa"/>
        </w:trPr>
        <w:tc>
          <w:tcPr>
            <w:tcW w:w="944" w:type="pct"/>
            <w:tcBorders>
              <w:top w:val="single" w:sz="4" w:space="0" w:color="auto"/>
              <w:left w:val="single" w:sz="4" w:space="0" w:color="auto"/>
              <w:bottom w:val="single" w:sz="4" w:space="0" w:color="auto"/>
              <w:right w:val="single" w:sz="4" w:space="0" w:color="auto"/>
            </w:tcBorders>
          </w:tcPr>
          <w:p w14:paraId="608F56B5" w14:textId="77777777" w:rsidR="00B11B8A" w:rsidRPr="00C62A80" w:rsidRDefault="00B11B8A" w:rsidP="0039655F">
            <w:pPr>
              <w:pStyle w:val="a9"/>
              <w:jc w:val="center"/>
              <w:rPr>
                <w:lang w:val="uk-UA"/>
              </w:rPr>
            </w:pPr>
            <w:r w:rsidRPr="00C62A80">
              <w:rPr>
                <w:lang w:val="uk-UA"/>
              </w:rPr>
              <w:t>Вид альтернативи</w:t>
            </w:r>
          </w:p>
        </w:tc>
        <w:tc>
          <w:tcPr>
            <w:tcW w:w="2006" w:type="pct"/>
            <w:tcBorders>
              <w:top w:val="single" w:sz="4" w:space="0" w:color="auto"/>
              <w:left w:val="single" w:sz="4" w:space="0" w:color="auto"/>
              <w:bottom w:val="single" w:sz="4" w:space="0" w:color="auto"/>
              <w:right w:val="single" w:sz="4" w:space="0" w:color="auto"/>
            </w:tcBorders>
          </w:tcPr>
          <w:p w14:paraId="75FE5017" w14:textId="77777777" w:rsidR="00B11B8A" w:rsidRPr="00C62A80" w:rsidRDefault="00B11B8A" w:rsidP="0039655F">
            <w:pPr>
              <w:pStyle w:val="a9"/>
              <w:ind w:firstLine="567"/>
              <w:jc w:val="center"/>
              <w:rPr>
                <w:lang w:val="uk-UA"/>
              </w:rPr>
            </w:pPr>
            <w:r w:rsidRPr="00C62A80">
              <w:rPr>
                <w:lang w:val="uk-UA"/>
              </w:rPr>
              <w:t>Вигоди</w:t>
            </w:r>
          </w:p>
        </w:tc>
        <w:tc>
          <w:tcPr>
            <w:tcW w:w="1960" w:type="pct"/>
            <w:tcBorders>
              <w:top w:val="single" w:sz="4" w:space="0" w:color="auto"/>
              <w:left w:val="single" w:sz="4" w:space="0" w:color="auto"/>
              <w:bottom w:val="single" w:sz="4" w:space="0" w:color="auto"/>
              <w:right w:val="single" w:sz="4" w:space="0" w:color="auto"/>
            </w:tcBorders>
          </w:tcPr>
          <w:p w14:paraId="3853899A" w14:textId="77777777" w:rsidR="00B11B8A" w:rsidRPr="00C62A80" w:rsidRDefault="00B11B8A" w:rsidP="0039655F">
            <w:pPr>
              <w:pStyle w:val="a9"/>
              <w:ind w:firstLine="567"/>
              <w:jc w:val="center"/>
              <w:rPr>
                <w:lang w:val="uk-UA"/>
              </w:rPr>
            </w:pPr>
            <w:r w:rsidRPr="00C62A80">
              <w:rPr>
                <w:lang w:val="uk-UA"/>
              </w:rPr>
              <w:t>Витрати</w:t>
            </w:r>
          </w:p>
        </w:tc>
      </w:tr>
      <w:tr w:rsidR="00C62A80" w:rsidRPr="00C62A80" w14:paraId="54276577" w14:textId="77777777" w:rsidTr="0039655F">
        <w:trPr>
          <w:tblCellSpacing w:w="22" w:type="dxa"/>
        </w:trPr>
        <w:tc>
          <w:tcPr>
            <w:tcW w:w="944" w:type="pct"/>
            <w:tcBorders>
              <w:top w:val="single" w:sz="4" w:space="0" w:color="auto"/>
              <w:left w:val="single" w:sz="4" w:space="0" w:color="auto"/>
              <w:bottom w:val="single" w:sz="4" w:space="0" w:color="auto"/>
              <w:right w:val="single" w:sz="4" w:space="0" w:color="auto"/>
            </w:tcBorders>
          </w:tcPr>
          <w:p w14:paraId="685863BE" w14:textId="77777777" w:rsidR="00B11B8A" w:rsidRPr="00C62A80" w:rsidRDefault="00B11B8A" w:rsidP="0039655F">
            <w:pPr>
              <w:pStyle w:val="a9"/>
              <w:rPr>
                <w:lang w:val="uk-UA"/>
              </w:rPr>
            </w:pPr>
            <w:r w:rsidRPr="00C62A80">
              <w:rPr>
                <w:lang w:val="uk-UA"/>
              </w:rPr>
              <w:t>Альтернатива 1</w:t>
            </w:r>
          </w:p>
        </w:tc>
        <w:tc>
          <w:tcPr>
            <w:tcW w:w="2006" w:type="pct"/>
            <w:tcBorders>
              <w:top w:val="single" w:sz="4" w:space="0" w:color="auto"/>
              <w:left w:val="single" w:sz="4" w:space="0" w:color="auto"/>
              <w:bottom w:val="single" w:sz="4" w:space="0" w:color="auto"/>
              <w:right w:val="single" w:sz="4" w:space="0" w:color="auto"/>
            </w:tcBorders>
          </w:tcPr>
          <w:p w14:paraId="21F75D59" w14:textId="77777777" w:rsidR="00B11B8A" w:rsidRPr="00C62A80" w:rsidRDefault="00B11B8A" w:rsidP="0039655F">
            <w:pPr>
              <w:ind w:firstLine="353"/>
              <w:jc w:val="both"/>
              <w:rPr>
                <w:rFonts w:eastAsia="Calibri"/>
                <w:lang w:val="uk-UA" w:eastAsia="en-US"/>
              </w:rPr>
            </w:pPr>
            <w:r w:rsidRPr="00C62A80">
              <w:rPr>
                <w:rFonts w:eastAsia="Calibri"/>
                <w:lang w:val="uk-UA" w:eastAsia="en-US"/>
              </w:rPr>
              <w:t>Прийняття проекту регуляторного акта забезпечить виконання вимог Кодексу та постанови № 1251, зокрема, дасть змогу платникам податків здійснювати замовлення марок акцизного податку для маркування підакцизних товарів.</w:t>
            </w:r>
          </w:p>
          <w:p w14:paraId="29C4D355" w14:textId="77777777" w:rsidR="00B11B8A" w:rsidRPr="00C62A80" w:rsidRDefault="00B11B8A" w:rsidP="0039655F">
            <w:pPr>
              <w:ind w:firstLine="353"/>
              <w:jc w:val="both"/>
              <w:rPr>
                <w:lang w:val="uk-UA"/>
              </w:rPr>
            </w:pPr>
            <w:r w:rsidRPr="00C62A80">
              <w:rPr>
                <w:rFonts w:eastAsia="Calibri"/>
                <w:lang w:val="uk-UA" w:eastAsia="en-US"/>
              </w:rPr>
              <w:t>При цьому запровадження альтернативи сприятиме підвищенню контролю за виробництвом та обігом підакцизних товарів</w:t>
            </w:r>
          </w:p>
        </w:tc>
        <w:tc>
          <w:tcPr>
            <w:tcW w:w="1960" w:type="pct"/>
            <w:tcBorders>
              <w:top w:val="single" w:sz="4" w:space="0" w:color="auto"/>
              <w:left w:val="single" w:sz="4" w:space="0" w:color="auto"/>
              <w:bottom w:val="single" w:sz="4" w:space="0" w:color="auto"/>
              <w:right w:val="single" w:sz="4" w:space="0" w:color="auto"/>
            </w:tcBorders>
          </w:tcPr>
          <w:p w14:paraId="7EEC3FF6" w14:textId="77777777" w:rsidR="00B11B8A" w:rsidRPr="00C62A80" w:rsidRDefault="00B11B8A" w:rsidP="0039655F">
            <w:pPr>
              <w:ind w:firstLine="404"/>
              <w:jc w:val="both"/>
              <w:rPr>
                <w:lang w:val="uk-UA"/>
              </w:rPr>
            </w:pPr>
            <w:r w:rsidRPr="00C62A80">
              <w:rPr>
                <w:lang w:val="uk-UA"/>
              </w:rPr>
              <w:t>Додаткові витрати відсутні.</w:t>
            </w:r>
          </w:p>
          <w:p w14:paraId="485EC9A3" w14:textId="77777777" w:rsidR="00B11B8A" w:rsidRPr="00C62A80" w:rsidRDefault="00B11B8A" w:rsidP="0039655F">
            <w:pPr>
              <w:ind w:firstLine="404"/>
              <w:jc w:val="both"/>
              <w:rPr>
                <w:lang w:val="uk-UA"/>
              </w:rPr>
            </w:pPr>
            <w:r w:rsidRPr="00C62A80">
              <w:rPr>
                <w:lang w:val="uk-UA"/>
              </w:rPr>
              <w:t>Оновлення програмного забезпечення не є затратним.</w:t>
            </w:r>
          </w:p>
          <w:p w14:paraId="776A430F" w14:textId="77777777" w:rsidR="00B11B8A" w:rsidRPr="00C62A80" w:rsidRDefault="00B11B8A" w:rsidP="0039655F">
            <w:pPr>
              <w:ind w:firstLine="404"/>
              <w:jc w:val="both"/>
              <w:rPr>
                <w:lang w:val="uk-UA"/>
              </w:rPr>
            </w:pPr>
            <w:r w:rsidRPr="00C62A80">
              <w:rPr>
                <w:lang w:val="uk-UA"/>
              </w:rPr>
              <w:t>Запропоновані зміни не вплинуть на господарську діяльність платників. Також відповідні зміни не зачіпають інтереси сумлінних платників.</w:t>
            </w:r>
          </w:p>
          <w:p w14:paraId="429B9647" w14:textId="77777777" w:rsidR="00B11B8A" w:rsidRPr="00C62A80" w:rsidRDefault="00B11B8A" w:rsidP="0039655F">
            <w:pPr>
              <w:ind w:firstLine="404"/>
              <w:jc w:val="both"/>
              <w:rPr>
                <w:sz w:val="12"/>
                <w:lang w:val="uk-UA"/>
              </w:rPr>
            </w:pPr>
          </w:p>
          <w:p w14:paraId="65E0F722" w14:textId="77777777" w:rsidR="00B11B8A" w:rsidRPr="00C62A80" w:rsidRDefault="00B11B8A" w:rsidP="0039655F">
            <w:pPr>
              <w:ind w:firstLine="404"/>
              <w:jc w:val="both"/>
              <w:rPr>
                <w:lang w:val="uk-UA"/>
              </w:rPr>
            </w:pPr>
            <w:r w:rsidRPr="00C62A80">
              <w:rPr>
                <w:lang w:val="uk-UA"/>
              </w:rPr>
              <w:t xml:space="preserve">Основні витрати суб’єктами господарювання, що складатимуть попередню/додаткову попередню заявку-розрахунок про потребу в марках акцизного податку, заявку-розрахунок на придбання марок акцизного податку для маркування, звіту про використання марок акцизного податку, реєстру повернутих марок акцизного </w:t>
            </w:r>
            <w:r w:rsidRPr="00C62A80">
              <w:rPr>
                <w:lang w:val="uk-UA"/>
              </w:rPr>
              <w:lastRenderedPageBreak/>
              <w:t xml:space="preserve">податку, будуть пов’язані зі складанням та надсиланням засобами електронного зв’язку цих документів. </w:t>
            </w:r>
          </w:p>
          <w:p w14:paraId="0275CF49" w14:textId="77777777" w:rsidR="00B11B8A" w:rsidRPr="00C62A80" w:rsidRDefault="00B11B8A" w:rsidP="0039655F">
            <w:pPr>
              <w:ind w:firstLine="404"/>
              <w:jc w:val="both"/>
              <w:rPr>
                <w:sz w:val="12"/>
                <w:szCs w:val="12"/>
                <w:lang w:val="uk-UA"/>
              </w:rPr>
            </w:pPr>
          </w:p>
          <w:p w14:paraId="7C9DE7A0" w14:textId="77777777" w:rsidR="00B11B8A" w:rsidRPr="00C62A80" w:rsidRDefault="00B11B8A" w:rsidP="0039655F">
            <w:pPr>
              <w:ind w:firstLine="404"/>
              <w:jc w:val="both"/>
              <w:rPr>
                <w:lang w:val="uk-UA"/>
              </w:rPr>
            </w:pPr>
            <w:r w:rsidRPr="00C62A80">
              <w:rPr>
                <w:lang w:val="uk-UA"/>
              </w:rPr>
              <w:t>Витрати на складання суб’єктами господарювання однієї попередньої/додаткової попередньої заявки-розрахунку про потребу в марках акцизного податку, заявки-розрахунку на придбання марок акцизного податку для маркування, звіту про використання марок акцизного податку, реєстру повернутих марок акцизного податку:</w:t>
            </w:r>
          </w:p>
          <w:p w14:paraId="50CBE99A" w14:textId="77777777" w:rsidR="00B11B8A" w:rsidRPr="00C62A80" w:rsidRDefault="00B11B8A" w:rsidP="0039655F">
            <w:pPr>
              <w:ind w:firstLine="404"/>
              <w:jc w:val="both"/>
              <w:rPr>
                <w:sz w:val="12"/>
                <w:szCs w:val="12"/>
                <w:lang w:val="uk-UA"/>
              </w:rPr>
            </w:pPr>
          </w:p>
          <w:p w14:paraId="39CD88E5" w14:textId="77777777" w:rsidR="00B11B8A" w:rsidRPr="00C62A80" w:rsidRDefault="00B11B8A" w:rsidP="0039655F">
            <w:pPr>
              <w:pStyle w:val="a9"/>
              <w:spacing w:before="0" w:beforeAutospacing="0" w:after="0" w:afterAutospacing="0"/>
              <w:jc w:val="both"/>
              <w:rPr>
                <w:lang w:val="uk-UA"/>
              </w:rPr>
            </w:pPr>
            <w:r w:rsidRPr="00C62A80">
              <w:rPr>
                <w:lang w:val="uk-UA"/>
              </w:rPr>
              <w:t>0,5 год × 29,20 грн за год = 14,6 грн</w:t>
            </w:r>
          </w:p>
          <w:p w14:paraId="1D098BC4" w14:textId="77777777" w:rsidR="00B11B8A" w:rsidRPr="00C62A80" w:rsidRDefault="00B11B8A" w:rsidP="0039655F">
            <w:pPr>
              <w:pStyle w:val="a9"/>
              <w:spacing w:before="0" w:beforeAutospacing="0" w:after="0" w:afterAutospacing="0"/>
              <w:ind w:firstLine="404"/>
              <w:jc w:val="both"/>
              <w:rPr>
                <w:sz w:val="12"/>
                <w:szCs w:val="12"/>
                <w:lang w:val="uk-UA"/>
              </w:rPr>
            </w:pPr>
          </w:p>
          <w:p w14:paraId="12439820" w14:textId="77777777" w:rsidR="00B11B8A" w:rsidRPr="00C62A80" w:rsidRDefault="00B11B8A" w:rsidP="0039655F">
            <w:pPr>
              <w:ind w:firstLine="388"/>
              <w:jc w:val="both"/>
              <w:rPr>
                <w:szCs w:val="22"/>
                <w:lang w:val="uk-UA"/>
              </w:rPr>
            </w:pPr>
            <w:r w:rsidRPr="00C62A80">
              <w:rPr>
                <w:szCs w:val="22"/>
                <w:lang w:val="uk-UA"/>
              </w:rPr>
              <w:t xml:space="preserve">Суб’єкти господарювання в середньому за місяць складають та направляють всього 1 050 документів, у т.ч. попередніх  заявок-розрахунків про потребу в марках акцизного податку, звітів про використання марок акцизного податку, додаткових попередніх заявок-розрахунків про потребу в марках акцизного податку, </w:t>
            </w:r>
            <w:r w:rsidRPr="00C62A80">
              <w:rPr>
                <w:lang w:val="uk-UA"/>
              </w:rPr>
              <w:t>заявку-розрахунок на придбання марок акцизного податку для маркування* та реєстру повернутих марок акцизного податку*</w:t>
            </w:r>
            <w:r w:rsidRPr="00C62A80">
              <w:rPr>
                <w:szCs w:val="22"/>
                <w:lang w:val="uk-UA"/>
              </w:rPr>
              <w:t>.</w:t>
            </w:r>
          </w:p>
          <w:p w14:paraId="462FC6C3" w14:textId="77777777" w:rsidR="00B11B8A" w:rsidRPr="00C62A80" w:rsidRDefault="00B11B8A" w:rsidP="0039655F">
            <w:pPr>
              <w:ind w:firstLine="388"/>
              <w:jc w:val="both"/>
              <w:rPr>
                <w:sz w:val="12"/>
                <w:szCs w:val="22"/>
                <w:lang w:val="uk-UA"/>
              </w:rPr>
            </w:pPr>
          </w:p>
          <w:p w14:paraId="31E8F717" w14:textId="77777777" w:rsidR="00B11B8A" w:rsidRPr="00C62A80" w:rsidRDefault="00B11B8A" w:rsidP="0039655F">
            <w:pPr>
              <w:jc w:val="both"/>
              <w:rPr>
                <w:sz w:val="22"/>
                <w:szCs w:val="22"/>
                <w:lang w:val="uk-UA"/>
              </w:rPr>
            </w:pPr>
            <w:r w:rsidRPr="00C62A80">
              <w:rPr>
                <w:sz w:val="22"/>
                <w:szCs w:val="22"/>
                <w:lang w:val="uk-UA"/>
              </w:rPr>
              <w:t>* залежно від потреб платників</w:t>
            </w:r>
          </w:p>
          <w:p w14:paraId="515BF570" w14:textId="77777777" w:rsidR="00B11B8A" w:rsidRPr="00C62A80" w:rsidRDefault="00B11B8A" w:rsidP="0039655F">
            <w:pPr>
              <w:jc w:val="both"/>
              <w:rPr>
                <w:sz w:val="22"/>
                <w:szCs w:val="22"/>
                <w:lang w:val="uk-UA"/>
              </w:rPr>
            </w:pPr>
          </w:p>
          <w:p w14:paraId="4FE3997C" w14:textId="77777777" w:rsidR="00B11B8A" w:rsidRPr="00C62A80" w:rsidRDefault="00B11B8A" w:rsidP="0039655F">
            <w:pPr>
              <w:ind w:firstLine="388"/>
              <w:jc w:val="both"/>
              <w:rPr>
                <w:szCs w:val="22"/>
                <w:lang w:val="uk-UA"/>
              </w:rPr>
            </w:pPr>
            <w:r w:rsidRPr="00C62A80">
              <w:rPr>
                <w:szCs w:val="22"/>
                <w:lang w:val="uk-UA"/>
              </w:rPr>
              <w:t>Середні витрати на їх складання на одного суб’єкта в місяць становитимуть 73 грн:</w:t>
            </w:r>
          </w:p>
          <w:p w14:paraId="6984150B" w14:textId="77777777" w:rsidR="00B11B8A" w:rsidRPr="00C62A80" w:rsidRDefault="00B11B8A" w:rsidP="0039655F">
            <w:pPr>
              <w:ind w:firstLine="388"/>
              <w:jc w:val="both"/>
              <w:rPr>
                <w:sz w:val="12"/>
                <w:szCs w:val="12"/>
                <w:lang w:val="uk-UA"/>
              </w:rPr>
            </w:pPr>
          </w:p>
          <w:p w14:paraId="0B282F86" w14:textId="77777777" w:rsidR="00B11B8A" w:rsidRPr="00C62A80" w:rsidRDefault="00B11B8A" w:rsidP="0039655F">
            <w:pPr>
              <w:jc w:val="both"/>
              <w:rPr>
                <w:szCs w:val="22"/>
                <w:lang w:val="uk-UA"/>
              </w:rPr>
            </w:pPr>
            <w:r w:rsidRPr="00C62A80">
              <w:rPr>
                <w:szCs w:val="22"/>
                <w:lang w:val="uk-UA"/>
              </w:rPr>
              <w:t xml:space="preserve">(1 050 шт. </w:t>
            </w:r>
            <w:commentRangeStart w:id="2"/>
            <w:r w:rsidRPr="00C62A80">
              <w:rPr>
                <w:szCs w:val="22"/>
                <w:lang w:val="uk-UA"/>
              </w:rPr>
              <w:t xml:space="preserve">× </w:t>
            </w:r>
            <w:commentRangeEnd w:id="2"/>
            <w:r w:rsidRPr="00C62A80">
              <w:rPr>
                <w:rStyle w:val="ad"/>
                <w:lang w:val="uk-UA"/>
              </w:rPr>
              <w:commentReference w:id="2"/>
            </w:r>
            <w:r w:rsidRPr="00C62A80">
              <w:rPr>
                <w:szCs w:val="22"/>
                <w:lang w:val="uk-UA"/>
              </w:rPr>
              <w:t>14,6 грн/210 платників)</w:t>
            </w:r>
          </w:p>
          <w:p w14:paraId="1FB3EA12" w14:textId="77777777" w:rsidR="00B11B8A" w:rsidRPr="00C62A80" w:rsidRDefault="00B11B8A" w:rsidP="0039655F">
            <w:pPr>
              <w:ind w:firstLine="404"/>
              <w:jc w:val="both"/>
              <w:rPr>
                <w:lang w:val="uk-UA"/>
              </w:rPr>
            </w:pPr>
          </w:p>
        </w:tc>
      </w:tr>
      <w:tr w:rsidR="00C62A80" w:rsidRPr="003E69C5" w14:paraId="03A409D1" w14:textId="77777777" w:rsidTr="0039655F">
        <w:trPr>
          <w:tblCellSpacing w:w="22" w:type="dxa"/>
        </w:trPr>
        <w:tc>
          <w:tcPr>
            <w:tcW w:w="944" w:type="pct"/>
            <w:tcBorders>
              <w:top w:val="single" w:sz="4" w:space="0" w:color="auto"/>
              <w:left w:val="single" w:sz="4" w:space="0" w:color="auto"/>
              <w:bottom w:val="single" w:sz="4" w:space="0" w:color="auto"/>
              <w:right w:val="single" w:sz="4" w:space="0" w:color="auto"/>
            </w:tcBorders>
          </w:tcPr>
          <w:p w14:paraId="066C7787" w14:textId="77777777" w:rsidR="00B11B8A" w:rsidRPr="00C62A80" w:rsidRDefault="00B11B8A" w:rsidP="0039655F">
            <w:pPr>
              <w:pStyle w:val="a9"/>
              <w:rPr>
                <w:lang w:val="uk-UA"/>
              </w:rPr>
            </w:pPr>
            <w:r w:rsidRPr="00C62A80">
              <w:rPr>
                <w:lang w:val="uk-UA"/>
              </w:rPr>
              <w:lastRenderedPageBreak/>
              <w:t>Альтернатива 2</w:t>
            </w:r>
          </w:p>
        </w:tc>
        <w:tc>
          <w:tcPr>
            <w:tcW w:w="2006" w:type="pct"/>
            <w:tcBorders>
              <w:top w:val="single" w:sz="4" w:space="0" w:color="auto"/>
              <w:left w:val="single" w:sz="4" w:space="0" w:color="auto"/>
              <w:bottom w:val="single" w:sz="4" w:space="0" w:color="auto"/>
              <w:right w:val="single" w:sz="4" w:space="0" w:color="auto"/>
            </w:tcBorders>
          </w:tcPr>
          <w:p w14:paraId="0A321BBC" w14:textId="77777777" w:rsidR="00B11B8A" w:rsidRPr="00C62A80" w:rsidRDefault="00B11B8A" w:rsidP="0039655F">
            <w:pPr>
              <w:ind w:firstLine="567"/>
              <w:jc w:val="both"/>
              <w:rPr>
                <w:lang w:val="uk-UA"/>
              </w:rPr>
            </w:pPr>
            <w:r w:rsidRPr="00C62A80">
              <w:rPr>
                <w:lang w:val="uk-UA"/>
              </w:rPr>
              <w:t>Вигоди відсутні</w:t>
            </w:r>
          </w:p>
        </w:tc>
        <w:tc>
          <w:tcPr>
            <w:tcW w:w="1960" w:type="pct"/>
            <w:tcBorders>
              <w:top w:val="single" w:sz="4" w:space="0" w:color="auto"/>
              <w:left w:val="single" w:sz="4" w:space="0" w:color="auto"/>
              <w:bottom w:val="single" w:sz="4" w:space="0" w:color="auto"/>
              <w:right w:val="single" w:sz="4" w:space="0" w:color="auto"/>
            </w:tcBorders>
            <w:vAlign w:val="center"/>
          </w:tcPr>
          <w:p w14:paraId="3F5EBCC9" w14:textId="77777777" w:rsidR="00B11B8A" w:rsidRPr="00C62A80" w:rsidRDefault="00B11B8A" w:rsidP="0039655F">
            <w:pPr>
              <w:ind w:firstLine="404"/>
              <w:jc w:val="both"/>
              <w:rPr>
                <w:lang w:val="uk-UA"/>
              </w:rPr>
            </w:pPr>
            <w:r w:rsidRPr="00C62A80">
              <w:rPr>
                <w:lang w:val="uk-UA"/>
              </w:rPr>
              <w:t>Витрати відсутні.</w:t>
            </w:r>
          </w:p>
          <w:p w14:paraId="307D3B6B" w14:textId="77777777" w:rsidR="00B11B8A" w:rsidRPr="00C62A80" w:rsidRDefault="00B11B8A" w:rsidP="0039655F">
            <w:pPr>
              <w:ind w:firstLine="404"/>
              <w:jc w:val="both"/>
              <w:rPr>
                <w:lang w:val="uk-UA"/>
              </w:rPr>
            </w:pPr>
            <w:r w:rsidRPr="00C62A80">
              <w:rPr>
                <w:lang w:val="uk-UA"/>
              </w:rPr>
              <w:t>Залишення форм заявок-розрахунків на виготовлення та придбання марок акцизного податку, звіту про використання марок акцизного податку та журналів для обліку марок акцизного податку у редакції наказу № 428 може призвести до:</w:t>
            </w:r>
          </w:p>
          <w:p w14:paraId="4F5D4DE3" w14:textId="77777777" w:rsidR="00B11B8A" w:rsidRPr="00C62A80" w:rsidRDefault="00B11B8A" w:rsidP="0039655F">
            <w:pPr>
              <w:ind w:left="13" w:firstLine="404"/>
              <w:jc w:val="both"/>
              <w:outlineLvl w:val="2"/>
              <w:rPr>
                <w:lang w:val="uk-UA"/>
              </w:rPr>
            </w:pPr>
            <w:r w:rsidRPr="00C62A80">
              <w:rPr>
                <w:lang w:val="uk-UA"/>
              </w:rPr>
              <w:t xml:space="preserve">1) неможливості </w:t>
            </w:r>
            <w:r w:rsidRPr="00C62A80">
              <w:rPr>
                <w:szCs w:val="22"/>
                <w:lang w:val="uk-UA"/>
              </w:rPr>
              <w:t xml:space="preserve">суб’єктам господарювання </w:t>
            </w:r>
            <w:r w:rsidRPr="00C62A80">
              <w:rPr>
                <w:lang w:val="uk-UA"/>
              </w:rPr>
              <w:t xml:space="preserve">замовляти  марки </w:t>
            </w:r>
            <w:r w:rsidRPr="00C62A80">
              <w:rPr>
                <w:lang w:val="uk-UA"/>
              </w:rPr>
              <w:lastRenderedPageBreak/>
              <w:t xml:space="preserve">акцизного податку на всі види підакцизних товарів, які підлягають маркуванню марками акцизного податку, та марки акцизного податку, в яких наявна вся передбачена Кодексом інформація; </w:t>
            </w:r>
          </w:p>
          <w:p w14:paraId="4981EB62" w14:textId="77777777" w:rsidR="00B11B8A" w:rsidRPr="00C62A80" w:rsidRDefault="00B11B8A" w:rsidP="0039655F">
            <w:pPr>
              <w:pStyle w:val="a9"/>
              <w:spacing w:before="0" w:beforeAutospacing="0" w:after="0" w:afterAutospacing="0"/>
              <w:contextualSpacing/>
              <w:jc w:val="both"/>
              <w:rPr>
                <w:lang w:val="uk-UA"/>
              </w:rPr>
            </w:pPr>
            <w:r w:rsidRPr="00C62A80">
              <w:rPr>
                <w:lang w:val="uk-UA"/>
              </w:rPr>
              <w:t xml:space="preserve">2) застосування податковими органами фінансових санкцій у вигляді штрафів у разі: </w:t>
            </w:r>
          </w:p>
          <w:p w14:paraId="182FFA5A" w14:textId="77777777" w:rsidR="00B11B8A" w:rsidRPr="00C62A80" w:rsidRDefault="00B11B8A" w:rsidP="0039655F">
            <w:pPr>
              <w:ind w:firstLine="404"/>
              <w:jc w:val="both"/>
              <w:rPr>
                <w:lang w:val="uk-UA"/>
              </w:rPr>
            </w:pPr>
            <w:r w:rsidRPr="00C62A80">
              <w:rPr>
                <w:lang w:val="uk-UA"/>
              </w:rPr>
              <w:t>виробництва, зберігання, транспортування, реалізації фальсифікованих алкогольних напоїв чи тютюнових виробів; алкогольних напоїв чи тютюнових виробів без марок акцизного податку встановленого зразка або з підробленими марками акцизного податку, – 200 відсотків вартості товару, але не менше 17000 гривень (абзац двадцятий частини другої статті 17 Закону України від 19.12.1995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у редакції Закону України від 16.01.2020 № 465-IX).</w:t>
            </w:r>
          </w:p>
        </w:tc>
      </w:tr>
    </w:tbl>
    <w:p w14:paraId="47195677" w14:textId="77777777" w:rsidR="00B11B8A" w:rsidRPr="00C62A80" w:rsidRDefault="00B11B8A" w:rsidP="00B11B8A">
      <w:pPr>
        <w:ind w:firstLine="720"/>
        <w:jc w:val="both"/>
        <w:rPr>
          <w:sz w:val="28"/>
          <w:szCs w:val="28"/>
          <w:lang w:val="uk-UA"/>
        </w:rPr>
      </w:pPr>
    </w:p>
    <w:p w14:paraId="3216EE45" w14:textId="77777777" w:rsidR="00B11B8A" w:rsidRPr="00C62A80" w:rsidRDefault="00B11B8A" w:rsidP="00B11B8A">
      <w:pPr>
        <w:pStyle w:val="3"/>
        <w:widowControl w:val="0"/>
        <w:spacing w:before="0" w:beforeAutospacing="0" w:after="120" w:afterAutospacing="0"/>
        <w:jc w:val="center"/>
        <w:rPr>
          <w:sz w:val="28"/>
          <w:szCs w:val="28"/>
          <w:lang w:val="uk-UA"/>
        </w:rPr>
      </w:pPr>
      <w:r w:rsidRPr="00C62A80">
        <w:rPr>
          <w:sz w:val="28"/>
          <w:szCs w:val="28"/>
          <w:lang w:val="uk-UA"/>
        </w:rPr>
        <w:t>IV. Вибір найбільш оптимального альтернативного способу досягнення цілей</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5"/>
        <w:gridCol w:w="1969"/>
        <w:gridCol w:w="5579"/>
      </w:tblGrid>
      <w:tr w:rsidR="00C62A80" w:rsidRPr="00C62A80" w14:paraId="03BB8E4D" w14:textId="77777777" w:rsidTr="0039655F">
        <w:trPr>
          <w:tblCellSpacing w:w="30" w:type="dxa"/>
        </w:trPr>
        <w:tc>
          <w:tcPr>
            <w:tcW w:w="10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34BF9B25" w14:textId="77777777" w:rsidR="00B11B8A" w:rsidRPr="00C62A80" w:rsidRDefault="00B11B8A" w:rsidP="0039655F">
            <w:pPr>
              <w:spacing w:before="100" w:beforeAutospacing="1" w:after="100" w:afterAutospacing="1"/>
              <w:jc w:val="center"/>
              <w:rPr>
                <w:rFonts w:eastAsia="Calibri"/>
                <w:lang w:val="uk-UA" w:eastAsia="en-US"/>
              </w:rPr>
            </w:pPr>
            <w:r w:rsidRPr="00C62A80">
              <w:rPr>
                <w:rFonts w:eastAsia="Calibri"/>
                <w:lang w:val="uk-UA" w:eastAsia="en-US"/>
              </w:rPr>
              <w:t>Рейтинг результативності (досягнення цілей під час розв’язання проблеми)</w:t>
            </w:r>
          </w:p>
        </w:tc>
        <w:tc>
          <w:tcPr>
            <w:tcW w:w="9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35AF9842" w14:textId="77777777" w:rsidR="00B11B8A" w:rsidRPr="00C62A80" w:rsidRDefault="00B11B8A" w:rsidP="0039655F">
            <w:pPr>
              <w:spacing w:before="100" w:beforeAutospacing="1" w:after="100" w:afterAutospacing="1"/>
              <w:ind w:left="-45"/>
              <w:jc w:val="center"/>
              <w:rPr>
                <w:rFonts w:eastAsia="Calibri"/>
                <w:lang w:val="uk-UA" w:eastAsia="en-US"/>
              </w:rPr>
            </w:pPr>
            <w:r w:rsidRPr="00C62A80">
              <w:rPr>
                <w:rFonts w:eastAsia="Calibri"/>
                <w:lang w:val="uk-UA" w:eastAsia="en-US"/>
              </w:rPr>
              <w:t>Бал результативності (за чотирибальною системою оцінки)</w:t>
            </w:r>
          </w:p>
        </w:tc>
        <w:tc>
          <w:tcPr>
            <w:tcW w:w="28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2C70F033" w14:textId="77777777" w:rsidR="00B11B8A" w:rsidRPr="00C62A80" w:rsidRDefault="00B11B8A" w:rsidP="0039655F">
            <w:pPr>
              <w:spacing w:before="100" w:beforeAutospacing="1" w:after="100" w:afterAutospacing="1"/>
              <w:jc w:val="center"/>
              <w:rPr>
                <w:rFonts w:eastAsia="Calibri"/>
                <w:lang w:val="uk-UA" w:eastAsia="en-US"/>
              </w:rPr>
            </w:pPr>
            <w:r w:rsidRPr="00C62A80">
              <w:rPr>
                <w:rFonts w:eastAsia="Calibri"/>
                <w:lang w:val="uk-UA" w:eastAsia="en-US"/>
              </w:rPr>
              <w:t>Коментарі щодо присвоєння відповідного бала</w:t>
            </w:r>
          </w:p>
        </w:tc>
      </w:tr>
      <w:tr w:rsidR="00C62A80" w:rsidRPr="00C62A80" w14:paraId="658D6982" w14:textId="77777777" w:rsidTr="0039655F">
        <w:trPr>
          <w:tblCellSpacing w:w="30" w:type="dxa"/>
        </w:trPr>
        <w:tc>
          <w:tcPr>
            <w:tcW w:w="10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D4ED52C" w14:textId="77777777" w:rsidR="00B11B8A" w:rsidRPr="00C62A80" w:rsidRDefault="00B11B8A" w:rsidP="0039655F">
            <w:pPr>
              <w:spacing w:before="100" w:beforeAutospacing="1" w:after="100" w:afterAutospacing="1"/>
              <w:rPr>
                <w:rFonts w:eastAsia="Calibri"/>
                <w:lang w:val="uk-UA" w:eastAsia="en-US"/>
              </w:rPr>
            </w:pPr>
            <w:r w:rsidRPr="00C62A80">
              <w:rPr>
                <w:rFonts w:eastAsia="Calibri"/>
                <w:lang w:val="uk-UA" w:eastAsia="en-US"/>
              </w:rPr>
              <w:t>Альтернатива 1</w:t>
            </w:r>
          </w:p>
        </w:tc>
        <w:tc>
          <w:tcPr>
            <w:tcW w:w="9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454D179" w14:textId="77777777" w:rsidR="00B11B8A" w:rsidRPr="00C62A80" w:rsidRDefault="00B11B8A" w:rsidP="0039655F">
            <w:pPr>
              <w:spacing w:before="100" w:beforeAutospacing="1" w:after="100" w:afterAutospacing="1"/>
              <w:jc w:val="center"/>
              <w:rPr>
                <w:rFonts w:eastAsia="Calibri"/>
                <w:lang w:val="uk-UA" w:eastAsia="en-US"/>
              </w:rPr>
            </w:pPr>
            <w:r w:rsidRPr="00C62A80">
              <w:rPr>
                <w:rFonts w:eastAsia="Calibri"/>
                <w:lang w:val="uk-UA" w:eastAsia="en-US"/>
              </w:rPr>
              <w:t>4</w:t>
            </w:r>
          </w:p>
        </w:tc>
        <w:tc>
          <w:tcPr>
            <w:tcW w:w="28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4F4FCA7" w14:textId="77777777" w:rsidR="00B11B8A" w:rsidRPr="00C62A80" w:rsidRDefault="00B11B8A" w:rsidP="0039655F">
            <w:pPr>
              <w:spacing w:before="100" w:beforeAutospacing="1" w:after="100" w:afterAutospacing="1"/>
              <w:ind w:firstLine="331"/>
              <w:jc w:val="both"/>
              <w:rPr>
                <w:rFonts w:eastAsia="Calibri"/>
                <w:lang w:val="uk-UA" w:eastAsia="en-US"/>
              </w:rPr>
            </w:pPr>
            <w:r w:rsidRPr="00C62A80">
              <w:rPr>
                <w:rFonts w:eastAsia="Calibri"/>
                <w:lang w:val="uk-UA" w:eastAsia="en-US"/>
              </w:rPr>
              <w:t>Альтернатива 1 дає змогу повністю досягнути поставлених цілей державного регулювання з мінімальними витратами</w:t>
            </w:r>
          </w:p>
        </w:tc>
      </w:tr>
      <w:tr w:rsidR="00C62A80" w:rsidRPr="00C62A80" w14:paraId="67936BF0" w14:textId="77777777" w:rsidTr="0039655F">
        <w:trPr>
          <w:tblCellSpacing w:w="30" w:type="dxa"/>
        </w:trPr>
        <w:tc>
          <w:tcPr>
            <w:tcW w:w="10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D158E11" w14:textId="77777777" w:rsidR="00B11B8A" w:rsidRPr="00C62A80" w:rsidRDefault="00B11B8A" w:rsidP="0039655F">
            <w:pPr>
              <w:spacing w:before="100" w:beforeAutospacing="1" w:after="100" w:afterAutospacing="1"/>
              <w:rPr>
                <w:rFonts w:eastAsia="Calibri"/>
                <w:lang w:val="uk-UA" w:eastAsia="en-US"/>
              </w:rPr>
            </w:pPr>
            <w:r w:rsidRPr="00C62A80">
              <w:rPr>
                <w:rFonts w:eastAsia="Calibri"/>
                <w:lang w:val="uk-UA" w:eastAsia="en-US"/>
              </w:rPr>
              <w:t>Альтернатива 2</w:t>
            </w:r>
          </w:p>
        </w:tc>
        <w:tc>
          <w:tcPr>
            <w:tcW w:w="9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EF82D51" w14:textId="77777777" w:rsidR="00B11B8A" w:rsidRPr="00C62A80" w:rsidRDefault="00B11B8A" w:rsidP="0039655F">
            <w:pPr>
              <w:spacing w:before="100" w:beforeAutospacing="1" w:after="100" w:afterAutospacing="1"/>
              <w:jc w:val="center"/>
              <w:rPr>
                <w:rFonts w:eastAsia="Calibri"/>
                <w:lang w:val="uk-UA" w:eastAsia="en-US"/>
              </w:rPr>
            </w:pPr>
            <w:r w:rsidRPr="00C62A80">
              <w:rPr>
                <w:rFonts w:eastAsia="Calibri"/>
                <w:lang w:val="uk-UA" w:eastAsia="en-US"/>
              </w:rPr>
              <w:t>1</w:t>
            </w:r>
          </w:p>
        </w:tc>
        <w:tc>
          <w:tcPr>
            <w:tcW w:w="28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1EF621A" w14:textId="77777777" w:rsidR="00B11B8A" w:rsidRPr="00C62A80" w:rsidRDefault="00B11B8A" w:rsidP="0039655F">
            <w:pPr>
              <w:ind w:firstLine="331"/>
              <w:jc w:val="both"/>
              <w:rPr>
                <w:rFonts w:eastAsia="Calibri"/>
                <w:lang w:val="uk-UA" w:eastAsia="en-US"/>
              </w:rPr>
            </w:pPr>
            <w:r w:rsidRPr="00C62A80">
              <w:rPr>
                <w:rFonts w:eastAsia="Calibri"/>
                <w:lang w:val="uk-UA" w:eastAsia="en-US"/>
              </w:rPr>
              <w:t>Альтернатива 2 не дає змоги досягнути поставлених цілей державного регулювання та залишить ситуацію без змін</w:t>
            </w:r>
          </w:p>
        </w:tc>
      </w:tr>
    </w:tbl>
    <w:p w14:paraId="1DA0D6FE" w14:textId="77777777" w:rsidR="00B11B8A" w:rsidRPr="00C62A80" w:rsidRDefault="00B11B8A" w:rsidP="00B11B8A">
      <w:pPr>
        <w:pStyle w:val="a9"/>
        <w:widowControl w:val="0"/>
        <w:spacing w:before="0" w:beforeAutospacing="0" w:after="0" w:afterAutospacing="0"/>
        <w:jc w:val="both"/>
        <w:rPr>
          <w:sz w:val="20"/>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25"/>
        <w:gridCol w:w="2748"/>
        <w:gridCol w:w="2639"/>
        <w:gridCol w:w="2311"/>
      </w:tblGrid>
      <w:tr w:rsidR="00C62A80" w:rsidRPr="00C62A80" w14:paraId="47DDF6D6" w14:textId="77777777" w:rsidTr="0039655F">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14:paraId="3E648AF7" w14:textId="77777777" w:rsidR="00B11B8A" w:rsidRPr="00C62A80" w:rsidRDefault="00B11B8A" w:rsidP="0039655F">
            <w:pPr>
              <w:pStyle w:val="a9"/>
              <w:widowControl w:val="0"/>
              <w:spacing w:before="0" w:beforeAutospacing="0" w:after="0" w:afterAutospacing="0"/>
              <w:jc w:val="center"/>
              <w:rPr>
                <w:lang w:val="uk-UA"/>
              </w:rPr>
            </w:pPr>
            <w:r w:rsidRPr="00C62A80">
              <w:rPr>
                <w:lang w:val="uk-UA"/>
              </w:rPr>
              <w:lastRenderedPageBreak/>
              <w:t>Рейтинг результативності</w:t>
            </w:r>
          </w:p>
        </w:tc>
        <w:tc>
          <w:tcPr>
            <w:tcW w:w="1406" w:type="pct"/>
            <w:tcBorders>
              <w:top w:val="outset" w:sz="6" w:space="0" w:color="auto"/>
              <w:left w:val="outset" w:sz="6" w:space="0" w:color="auto"/>
              <w:bottom w:val="outset" w:sz="6" w:space="0" w:color="auto"/>
              <w:right w:val="outset" w:sz="6" w:space="0" w:color="auto"/>
            </w:tcBorders>
            <w:shd w:val="clear" w:color="auto" w:fill="auto"/>
          </w:tcPr>
          <w:p w14:paraId="32340484" w14:textId="77777777" w:rsidR="00B11B8A" w:rsidRPr="00C62A80" w:rsidRDefault="00B11B8A" w:rsidP="0039655F">
            <w:pPr>
              <w:pStyle w:val="a9"/>
              <w:widowControl w:val="0"/>
              <w:spacing w:before="0" w:beforeAutospacing="0" w:after="0" w:afterAutospacing="0"/>
              <w:jc w:val="center"/>
              <w:rPr>
                <w:lang w:val="uk-UA"/>
              </w:rPr>
            </w:pPr>
            <w:r w:rsidRPr="00C62A80">
              <w:rPr>
                <w:lang w:val="uk-UA"/>
              </w:rPr>
              <w:t>Вигоди (підсумок)</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109E0D2E" w14:textId="77777777" w:rsidR="00B11B8A" w:rsidRPr="00C62A80" w:rsidRDefault="00B11B8A" w:rsidP="0039655F">
            <w:pPr>
              <w:pStyle w:val="a9"/>
              <w:widowControl w:val="0"/>
              <w:spacing w:before="0" w:beforeAutospacing="0" w:after="0" w:afterAutospacing="0"/>
              <w:jc w:val="center"/>
              <w:rPr>
                <w:lang w:val="uk-UA"/>
              </w:rPr>
            </w:pPr>
            <w:r w:rsidRPr="00C62A80">
              <w:rPr>
                <w:lang w:val="uk-UA"/>
              </w:rPr>
              <w:t>Витрати (підсумок)</w:t>
            </w:r>
          </w:p>
        </w:tc>
        <w:tc>
          <w:tcPr>
            <w:tcW w:w="1167" w:type="pct"/>
            <w:tcBorders>
              <w:top w:val="outset" w:sz="6" w:space="0" w:color="auto"/>
              <w:left w:val="outset" w:sz="6" w:space="0" w:color="auto"/>
              <w:bottom w:val="outset" w:sz="6" w:space="0" w:color="auto"/>
              <w:right w:val="outset" w:sz="6" w:space="0" w:color="auto"/>
            </w:tcBorders>
            <w:shd w:val="clear" w:color="auto" w:fill="auto"/>
          </w:tcPr>
          <w:p w14:paraId="1A6C4D4B" w14:textId="77777777" w:rsidR="00B11B8A" w:rsidRPr="00C62A80" w:rsidRDefault="00B11B8A" w:rsidP="0039655F">
            <w:pPr>
              <w:pStyle w:val="a9"/>
              <w:widowControl w:val="0"/>
              <w:spacing w:before="0" w:beforeAutospacing="0" w:after="0" w:afterAutospacing="0"/>
              <w:jc w:val="center"/>
              <w:rPr>
                <w:lang w:val="uk-UA"/>
              </w:rPr>
            </w:pPr>
            <w:r w:rsidRPr="00C62A80">
              <w:rPr>
                <w:lang w:val="uk-UA"/>
              </w:rPr>
              <w:t>Обґрунтування відповідного місця альтернативи у рейтингу</w:t>
            </w:r>
          </w:p>
        </w:tc>
      </w:tr>
      <w:tr w:rsidR="00C62A80" w:rsidRPr="00C62A80" w14:paraId="0D8D08CF" w14:textId="77777777" w:rsidTr="0039655F">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14:paraId="29533940" w14:textId="77777777" w:rsidR="00B11B8A" w:rsidRPr="00C62A80" w:rsidRDefault="00B11B8A" w:rsidP="0039655F">
            <w:pPr>
              <w:pStyle w:val="a9"/>
              <w:widowControl w:val="0"/>
              <w:spacing w:before="0" w:beforeAutospacing="0" w:after="0" w:afterAutospacing="0"/>
              <w:rPr>
                <w:lang w:val="uk-UA"/>
              </w:rPr>
            </w:pPr>
            <w:r w:rsidRPr="00C62A80">
              <w:rPr>
                <w:lang w:val="uk-UA"/>
              </w:rPr>
              <w:t>Альтернатива 1</w:t>
            </w:r>
          </w:p>
        </w:tc>
        <w:tc>
          <w:tcPr>
            <w:tcW w:w="1406" w:type="pct"/>
            <w:tcBorders>
              <w:top w:val="outset" w:sz="6" w:space="0" w:color="auto"/>
              <w:left w:val="outset" w:sz="6" w:space="0" w:color="auto"/>
              <w:bottom w:val="outset" w:sz="6" w:space="0" w:color="auto"/>
              <w:right w:val="outset" w:sz="6" w:space="0" w:color="auto"/>
            </w:tcBorders>
            <w:shd w:val="clear" w:color="auto" w:fill="auto"/>
          </w:tcPr>
          <w:p w14:paraId="78C806FE" w14:textId="77777777" w:rsidR="00B11B8A" w:rsidRPr="00C62A80" w:rsidRDefault="00B11B8A" w:rsidP="0039655F">
            <w:pPr>
              <w:ind w:firstLine="353"/>
              <w:jc w:val="both"/>
              <w:rPr>
                <w:rFonts w:eastAsia="Calibri"/>
                <w:lang w:val="uk-UA" w:eastAsia="en-US"/>
              </w:rPr>
            </w:pPr>
            <w:r w:rsidRPr="00C62A80">
              <w:rPr>
                <w:rFonts w:eastAsia="Calibri"/>
                <w:lang w:val="uk-UA" w:eastAsia="en-US"/>
              </w:rPr>
              <w:t>У разі прийняття проекту регуляторного акта буде забезпечено:</w:t>
            </w:r>
          </w:p>
          <w:p w14:paraId="2CC127B3" w14:textId="77777777" w:rsidR="00B11B8A" w:rsidRPr="00C62A80" w:rsidRDefault="00B11B8A" w:rsidP="0039655F">
            <w:pPr>
              <w:ind w:firstLine="353"/>
              <w:jc w:val="both"/>
              <w:rPr>
                <w:rFonts w:eastAsia="Calibri"/>
                <w:lang w:val="uk-UA" w:eastAsia="en-US"/>
              </w:rPr>
            </w:pPr>
            <w:r w:rsidRPr="00C62A80">
              <w:rPr>
                <w:rFonts w:eastAsia="Calibri"/>
                <w:lang w:val="uk-UA" w:eastAsia="en-US"/>
              </w:rPr>
              <w:t xml:space="preserve">можливість для платників подавати </w:t>
            </w:r>
            <w:r w:rsidRPr="00C62A80">
              <w:rPr>
                <w:lang w:val="uk-UA"/>
              </w:rPr>
              <w:t>попередню/додаткову попередню заявку-розрахунок про потребу в марках акцизного податку, заявку-розрахунок на придбання марок акцизного податку для маркування, звіту про використання марок акцизного податку, реєстру повернутих марок акцизного податку;</w:t>
            </w:r>
          </w:p>
          <w:p w14:paraId="091CC763" w14:textId="77777777" w:rsidR="00B11B8A" w:rsidRPr="00C62A80" w:rsidRDefault="00B11B8A" w:rsidP="0039655F">
            <w:pPr>
              <w:pStyle w:val="ac"/>
              <w:ind w:firstLine="353"/>
              <w:jc w:val="both"/>
              <w:rPr>
                <w:rFonts w:ascii="Times New Roman" w:hAnsi="Times New Roman"/>
                <w:sz w:val="24"/>
                <w:szCs w:val="24"/>
              </w:rPr>
            </w:pPr>
            <w:r w:rsidRPr="00C62A80">
              <w:rPr>
                <w:rFonts w:ascii="Times New Roman" w:hAnsi="Times New Roman"/>
                <w:sz w:val="24"/>
                <w:szCs w:val="24"/>
              </w:rPr>
              <w:t>маркування марками акцизного податку ємностей (упаковок) з рідиною, що використовується в електронних сигаретах, пачок (упаковок) сигарил, тютюновмісних виробів для електричного нагрівання (ТВЕН) за допомогою підігрівача з електронним управлінням;</w:t>
            </w:r>
          </w:p>
          <w:p w14:paraId="3019CDC6" w14:textId="77777777" w:rsidR="00B11B8A" w:rsidRPr="00C62A80" w:rsidRDefault="00B11B8A" w:rsidP="0039655F">
            <w:pPr>
              <w:ind w:firstLine="353"/>
              <w:jc w:val="both"/>
              <w:rPr>
                <w:lang w:val="uk-UA"/>
              </w:rPr>
            </w:pPr>
            <w:r w:rsidRPr="00C62A80">
              <w:rPr>
                <w:lang w:val="uk-UA"/>
              </w:rPr>
              <w:t>можливість замовлення платниками марок акцизного податку на сигарети, цигарки та сигарили, на які нанесено інформацію щодо кількості виробів у пачці (упаковці), та маркування такими марками підакцизних товарів;</w:t>
            </w:r>
          </w:p>
          <w:p w14:paraId="68F7F03B" w14:textId="77777777" w:rsidR="00B11B8A" w:rsidRPr="00C62A80" w:rsidRDefault="00B11B8A" w:rsidP="0039655F">
            <w:pPr>
              <w:ind w:firstLine="353"/>
              <w:jc w:val="both"/>
              <w:rPr>
                <w:lang w:val="uk-UA"/>
              </w:rPr>
            </w:pPr>
            <w:r w:rsidRPr="00C62A80">
              <w:rPr>
                <w:lang w:val="uk-UA"/>
              </w:rPr>
              <w:t xml:space="preserve">можливість ДПС у повному обсязі виконувати функції, </w:t>
            </w:r>
            <w:r w:rsidRPr="00C62A80">
              <w:rPr>
                <w:lang w:val="uk-UA"/>
              </w:rPr>
              <w:lastRenderedPageBreak/>
              <w:t>визначені підпунктом 19</w:t>
            </w:r>
            <w:r w:rsidRPr="00C62A80">
              <w:rPr>
                <w:vertAlign w:val="superscript"/>
                <w:lang w:val="uk-UA"/>
              </w:rPr>
              <w:t>1</w:t>
            </w:r>
            <w:r w:rsidRPr="00C62A80">
              <w:rPr>
                <w:lang w:val="uk-UA"/>
              </w:rPr>
              <w:t>.1.18 п. 19</w:t>
            </w:r>
            <w:r w:rsidRPr="00C62A80">
              <w:rPr>
                <w:vertAlign w:val="superscript"/>
                <w:lang w:val="uk-UA"/>
              </w:rPr>
              <w:t>1</w:t>
            </w:r>
            <w:r w:rsidRPr="00C62A80">
              <w:rPr>
                <w:lang w:val="uk-UA"/>
              </w:rPr>
              <w:t>.1 ст. 19</w:t>
            </w:r>
            <w:r w:rsidRPr="00C62A80">
              <w:rPr>
                <w:vertAlign w:val="superscript"/>
                <w:lang w:val="uk-UA"/>
              </w:rPr>
              <w:t xml:space="preserve">1 </w:t>
            </w:r>
            <w:r w:rsidRPr="00C62A80">
              <w:rPr>
                <w:lang w:val="uk-UA"/>
              </w:rPr>
              <w:t>Кодексу, а саме здійснювати організацію роботи, пов’язаної із замовленням марок акцизного податку, їх зберіганням, продажем, відбором зразків, з метою проведення експертизи щодо їх автентичності та здійснення контролю за наявністю таких марок на пляшках (упаковках) з алкогольними напоями і пачках (упаковках) тютюнових виробів під час їх транспортування, зберігання і реалізації.</w:t>
            </w:r>
          </w:p>
          <w:p w14:paraId="0AC7F655" w14:textId="77777777" w:rsidR="00B11B8A" w:rsidRPr="00C62A80" w:rsidRDefault="00B11B8A" w:rsidP="0039655F">
            <w:pPr>
              <w:ind w:firstLine="353"/>
              <w:jc w:val="both"/>
              <w:rPr>
                <w:lang w:val="uk-UA"/>
              </w:rPr>
            </w:pPr>
            <w:r w:rsidRPr="00C62A80">
              <w:rPr>
                <w:rFonts w:eastAsia="Calibri"/>
                <w:lang w:val="uk-UA" w:eastAsia="en-US"/>
              </w:rPr>
              <w:t>При цьому запровадження альтернативи сприятиме підвищенню контролю за виробництвом та обігом підакцизних товарів</w:t>
            </w:r>
            <w:r w:rsidRPr="00C62A80">
              <w:rPr>
                <w:lang w:val="uk-UA"/>
              </w:rPr>
              <w:t xml:space="preserve"> </w:t>
            </w:r>
          </w:p>
          <w:p w14:paraId="3441C7C3" w14:textId="77777777" w:rsidR="00B11B8A" w:rsidRPr="00C62A80" w:rsidRDefault="00B11B8A" w:rsidP="0039655F">
            <w:pPr>
              <w:widowControl w:val="0"/>
              <w:ind w:firstLine="327"/>
              <w:jc w:val="both"/>
              <w:rPr>
                <w:lang w:val="uk-UA"/>
              </w:rPr>
            </w:pP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5A99561C" w14:textId="77777777" w:rsidR="00B11B8A" w:rsidRPr="00C62A80" w:rsidRDefault="00B11B8A" w:rsidP="0039655F">
            <w:pPr>
              <w:ind w:firstLine="388"/>
              <w:jc w:val="both"/>
              <w:rPr>
                <w:szCs w:val="22"/>
                <w:lang w:val="uk-UA"/>
              </w:rPr>
            </w:pPr>
            <w:r w:rsidRPr="00C62A80">
              <w:rPr>
                <w:szCs w:val="22"/>
                <w:lang w:val="uk-UA"/>
              </w:rPr>
              <w:lastRenderedPageBreak/>
              <w:t>Додаткових витрат у держави не виникне.</w:t>
            </w:r>
          </w:p>
          <w:p w14:paraId="47895AF2" w14:textId="77777777" w:rsidR="00B11B8A" w:rsidRPr="00C62A80" w:rsidRDefault="00B11B8A" w:rsidP="0039655F">
            <w:pPr>
              <w:ind w:firstLine="388"/>
              <w:jc w:val="both"/>
              <w:rPr>
                <w:szCs w:val="22"/>
                <w:lang w:val="uk-UA"/>
              </w:rPr>
            </w:pPr>
            <w:r w:rsidRPr="00C62A80">
              <w:rPr>
                <w:szCs w:val="22"/>
                <w:lang w:val="uk-UA"/>
              </w:rPr>
              <w:t>Оновлення програмного забезпечення здійснюється в межах фінансування ДПС без потреби залучення кадрів.</w:t>
            </w:r>
          </w:p>
          <w:p w14:paraId="7B72C988" w14:textId="77777777" w:rsidR="00B11B8A" w:rsidRPr="00C62A80" w:rsidRDefault="00B11B8A" w:rsidP="0039655F">
            <w:pPr>
              <w:ind w:firstLine="404"/>
              <w:jc w:val="both"/>
              <w:rPr>
                <w:lang w:val="uk-UA"/>
              </w:rPr>
            </w:pPr>
            <w:r w:rsidRPr="00C62A80">
              <w:rPr>
                <w:szCs w:val="22"/>
                <w:lang w:val="uk-UA"/>
              </w:rPr>
              <w:t xml:space="preserve">Витрати на складання суб’єктами господарювання однієї </w:t>
            </w:r>
            <w:r w:rsidRPr="00C62A80">
              <w:rPr>
                <w:lang w:val="uk-UA"/>
              </w:rPr>
              <w:t>попередньої/додаткової попередньої заявки-розрахунку про потребу в марках акцизного податку, заявки-розрахунку на придбання марок акцизного податку для маркування, звіту про використання марок акцизного податку, реєстру повернутих марок акцизного податку:</w:t>
            </w:r>
          </w:p>
          <w:p w14:paraId="7DAA5B84" w14:textId="77777777" w:rsidR="00B11B8A" w:rsidRPr="00C62A80" w:rsidRDefault="00B11B8A" w:rsidP="0039655F">
            <w:pPr>
              <w:ind w:firstLine="404"/>
              <w:jc w:val="both"/>
              <w:rPr>
                <w:sz w:val="12"/>
                <w:szCs w:val="12"/>
                <w:lang w:val="uk-UA"/>
              </w:rPr>
            </w:pPr>
          </w:p>
          <w:p w14:paraId="0B85D390" w14:textId="77777777" w:rsidR="00B11B8A" w:rsidRPr="00C62A80" w:rsidRDefault="00B11B8A" w:rsidP="0039655F">
            <w:pPr>
              <w:pStyle w:val="a9"/>
              <w:spacing w:before="0" w:beforeAutospacing="0" w:after="0" w:afterAutospacing="0"/>
              <w:jc w:val="both"/>
              <w:rPr>
                <w:lang w:val="uk-UA"/>
              </w:rPr>
            </w:pPr>
            <w:r w:rsidRPr="00C62A80">
              <w:rPr>
                <w:lang w:val="uk-UA"/>
              </w:rPr>
              <w:t>0,5 год × 29,20 грн за год = 14,6 грн</w:t>
            </w:r>
          </w:p>
          <w:p w14:paraId="2811F17D" w14:textId="77777777" w:rsidR="00B11B8A" w:rsidRPr="00C62A80" w:rsidRDefault="00B11B8A" w:rsidP="0039655F">
            <w:pPr>
              <w:pStyle w:val="a9"/>
              <w:spacing w:before="0" w:beforeAutospacing="0" w:after="0" w:afterAutospacing="0"/>
              <w:ind w:firstLine="388"/>
              <w:jc w:val="both"/>
              <w:rPr>
                <w:szCs w:val="22"/>
                <w:lang w:val="uk-UA"/>
              </w:rPr>
            </w:pPr>
          </w:p>
          <w:p w14:paraId="536A0866" w14:textId="77777777" w:rsidR="00B11B8A" w:rsidRPr="00C62A80" w:rsidRDefault="00B11B8A" w:rsidP="0039655F">
            <w:pPr>
              <w:ind w:firstLine="388"/>
              <w:jc w:val="both"/>
              <w:rPr>
                <w:szCs w:val="22"/>
                <w:lang w:val="uk-UA"/>
              </w:rPr>
            </w:pPr>
            <w:r w:rsidRPr="00C62A80">
              <w:rPr>
                <w:szCs w:val="22"/>
                <w:lang w:val="uk-UA"/>
              </w:rPr>
              <w:t xml:space="preserve">Суб’єкти господарювання в середньому за місяць складають та направляють всього 1 050 документів*, у т.ч. попередніх заявок-розрахунків про потребу в марках акцизного податку*, звітів про використання марок акцизного податку*, додаткових попередніх заявок-розрахунків про потребу в марках акцизного податку*,  </w:t>
            </w:r>
            <w:r w:rsidRPr="00C62A80">
              <w:rPr>
                <w:lang w:val="uk-UA"/>
              </w:rPr>
              <w:lastRenderedPageBreak/>
              <w:t>заявок-розрахунків на придбання марок акцизного податку для маркування* та реєстру повернутих марок акцизного податку*</w:t>
            </w:r>
            <w:r w:rsidRPr="00C62A80">
              <w:rPr>
                <w:szCs w:val="22"/>
                <w:lang w:val="uk-UA"/>
              </w:rPr>
              <w:t>.</w:t>
            </w:r>
          </w:p>
          <w:p w14:paraId="25D10F8B" w14:textId="77777777" w:rsidR="00B11B8A" w:rsidRPr="00C62A80" w:rsidRDefault="00B11B8A" w:rsidP="0039655F">
            <w:pPr>
              <w:ind w:firstLine="388"/>
              <w:jc w:val="both"/>
              <w:rPr>
                <w:sz w:val="12"/>
                <w:szCs w:val="22"/>
                <w:lang w:val="uk-UA"/>
              </w:rPr>
            </w:pPr>
          </w:p>
          <w:p w14:paraId="604DFCD8" w14:textId="77777777" w:rsidR="00B11B8A" w:rsidRPr="00C62A80" w:rsidRDefault="00B11B8A" w:rsidP="0039655F">
            <w:pPr>
              <w:ind w:firstLine="388"/>
              <w:jc w:val="both"/>
              <w:rPr>
                <w:szCs w:val="22"/>
                <w:lang w:val="uk-UA"/>
              </w:rPr>
            </w:pPr>
            <w:r w:rsidRPr="00C62A80">
              <w:rPr>
                <w:szCs w:val="22"/>
                <w:lang w:val="uk-UA"/>
              </w:rPr>
              <w:t>Середні витрати на їх складання (5 шт.*) на одного суб’єкта в місяць становитиме 73 грн:</w:t>
            </w:r>
          </w:p>
          <w:p w14:paraId="2AE9D0E6" w14:textId="77777777" w:rsidR="00B11B8A" w:rsidRPr="00C62A80" w:rsidRDefault="00B11B8A" w:rsidP="0039655F">
            <w:pPr>
              <w:ind w:firstLine="388"/>
              <w:jc w:val="both"/>
              <w:rPr>
                <w:sz w:val="4"/>
                <w:szCs w:val="22"/>
                <w:lang w:val="uk-UA"/>
              </w:rPr>
            </w:pPr>
          </w:p>
          <w:p w14:paraId="66FFC6A4" w14:textId="77777777" w:rsidR="00B11B8A" w:rsidRPr="00C62A80" w:rsidRDefault="00B11B8A" w:rsidP="0039655F">
            <w:pPr>
              <w:pStyle w:val="ac"/>
              <w:rPr>
                <w:rFonts w:ascii="Times New Roman" w:hAnsi="Times New Roman"/>
                <w:sz w:val="20"/>
                <w:szCs w:val="20"/>
              </w:rPr>
            </w:pPr>
            <w:r w:rsidRPr="00C62A80">
              <w:rPr>
                <w:rFonts w:ascii="Times New Roman" w:hAnsi="Times New Roman"/>
                <w:sz w:val="20"/>
                <w:szCs w:val="20"/>
              </w:rPr>
              <w:t>* залежно від потреб платників</w:t>
            </w:r>
          </w:p>
          <w:p w14:paraId="7D747F87" w14:textId="77777777" w:rsidR="00B11B8A" w:rsidRPr="00C62A80" w:rsidRDefault="00B11B8A" w:rsidP="0039655F">
            <w:pPr>
              <w:ind w:firstLine="388"/>
              <w:jc w:val="both"/>
              <w:rPr>
                <w:sz w:val="12"/>
                <w:szCs w:val="12"/>
                <w:lang w:val="uk-UA"/>
              </w:rPr>
            </w:pPr>
          </w:p>
          <w:p w14:paraId="794D6B34" w14:textId="77777777" w:rsidR="00B11B8A" w:rsidRPr="00C62A80" w:rsidRDefault="00B11B8A" w:rsidP="0039655F">
            <w:pPr>
              <w:jc w:val="both"/>
              <w:rPr>
                <w:szCs w:val="22"/>
                <w:lang w:val="uk-UA"/>
              </w:rPr>
            </w:pPr>
            <w:r w:rsidRPr="00C62A80">
              <w:rPr>
                <w:szCs w:val="22"/>
                <w:lang w:val="uk-UA"/>
              </w:rPr>
              <w:t xml:space="preserve">(1 050 шт. </w:t>
            </w:r>
            <w:commentRangeStart w:id="3"/>
            <w:r w:rsidRPr="00C62A80">
              <w:rPr>
                <w:szCs w:val="22"/>
                <w:lang w:val="uk-UA"/>
              </w:rPr>
              <w:t>*</w:t>
            </w:r>
            <w:commentRangeEnd w:id="3"/>
            <w:r w:rsidRPr="00C62A80">
              <w:rPr>
                <w:rStyle w:val="ad"/>
                <w:lang w:val="uk-UA"/>
              </w:rPr>
              <w:commentReference w:id="3"/>
            </w:r>
            <w:r w:rsidRPr="00C62A80">
              <w:rPr>
                <w:szCs w:val="22"/>
                <w:lang w:val="uk-UA"/>
              </w:rPr>
              <w:t xml:space="preserve"> 14,6 грн/210 платників)</w:t>
            </w:r>
          </w:p>
          <w:p w14:paraId="2A16B230" w14:textId="77777777" w:rsidR="00B11B8A" w:rsidRPr="00C62A80" w:rsidRDefault="00B11B8A" w:rsidP="0039655F">
            <w:pPr>
              <w:jc w:val="both"/>
              <w:rPr>
                <w:szCs w:val="22"/>
                <w:lang w:val="uk-UA"/>
              </w:rPr>
            </w:pPr>
          </w:p>
          <w:p w14:paraId="43BE9E80" w14:textId="77777777" w:rsidR="00B11B8A" w:rsidRPr="00C62A80" w:rsidRDefault="00B11B8A" w:rsidP="0039655F">
            <w:pPr>
              <w:ind w:firstLine="388"/>
              <w:jc w:val="both"/>
              <w:rPr>
                <w:lang w:val="uk-UA"/>
              </w:rPr>
            </w:pPr>
            <w:r w:rsidRPr="00C62A80">
              <w:rPr>
                <w:szCs w:val="22"/>
                <w:lang w:val="uk-UA"/>
              </w:rPr>
              <w:t>Запропоновані зміни не вплинуть на господарську діяльність платників та не зачіпають інтереси сумлінних платників</w:t>
            </w:r>
          </w:p>
          <w:p w14:paraId="02D35DC9" w14:textId="77777777" w:rsidR="00B11B8A" w:rsidRPr="00C62A80" w:rsidRDefault="00B11B8A" w:rsidP="0039655F">
            <w:pPr>
              <w:widowControl w:val="0"/>
              <w:ind w:firstLine="327"/>
              <w:jc w:val="both"/>
              <w:rPr>
                <w:lang w:val="uk-UA"/>
              </w:rPr>
            </w:pPr>
          </w:p>
        </w:tc>
        <w:tc>
          <w:tcPr>
            <w:tcW w:w="1167" w:type="pct"/>
            <w:tcBorders>
              <w:top w:val="outset" w:sz="6" w:space="0" w:color="auto"/>
              <w:left w:val="outset" w:sz="6" w:space="0" w:color="auto"/>
              <w:bottom w:val="outset" w:sz="6" w:space="0" w:color="auto"/>
              <w:right w:val="outset" w:sz="6" w:space="0" w:color="auto"/>
            </w:tcBorders>
            <w:shd w:val="clear" w:color="auto" w:fill="auto"/>
          </w:tcPr>
          <w:p w14:paraId="01C18DDD" w14:textId="77777777" w:rsidR="00B11B8A" w:rsidRPr="00C62A80" w:rsidRDefault="00B11B8A" w:rsidP="0039655F">
            <w:pPr>
              <w:pStyle w:val="a9"/>
              <w:widowControl w:val="0"/>
              <w:spacing w:before="0" w:beforeAutospacing="0" w:after="0" w:afterAutospacing="0"/>
              <w:ind w:firstLine="327"/>
              <w:jc w:val="both"/>
              <w:rPr>
                <w:rFonts w:eastAsia="Calibri"/>
                <w:lang w:val="uk-UA"/>
              </w:rPr>
            </w:pPr>
            <w:r w:rsidRPr="00C62A80">
              <w:rPr>
                <w:rFonts w:eastAsia="Calibri"/>
                <w:lang w:val="uk-UA"/>
              </w:rPr>
              <w:lastRenderedPageBreak/>
              <w:t>Є кращою серед запропонованих альтернатив, оскільки:</w:t>
            </w:r>
          </w:p>
          <w:p w14:paraId="796C0058" w14:textId="77777777" w:rsidR="00B11B8A" w:rsidRPr="00C62A80" w:rsidRDefault="00B11B8A" w:rsidP="0039655F">
            <w:pPr>
              <w:pStyle w:val="a9"/>
              <w:widowControl w:val="0"/>
              <w:spacing w:before="0" w:beforeAutospacing="0" w:after="0" w:afterAutospacing="0"/>
              <w:ind w:firstLine="327"/>
              <w:jc w:val="both"/>
              <w:rPr>
                <w:rFonts w:eastAsia="Calibri"/>
                <w:lang w:val="uk-UA"/>
              </w:rPr>
            </w:pPr>
            <w:r w:rsidRPr="00C62A80">
              <w:rPr>
                <w:rFonts w:eastAsia="Calibri"/>
                <w:lang w:val="uk-UA"/>
              </w:rPr>
              <w:t>дає змогу досягнути поставлених цілей державного регулювання без будь-яких додаткових витрат;</w:t>
            </w:r>
          </w:p>
          <w:p w14:paraId="3F56357D" w14:textId="77777777" w:rsidR="00B11B8A" w:rsidRPr="00C62A80" w:rsidRDefault="00B11B8A" w:rsidP="0039655F">
            <w:pPr>
              <w:pStyle w:val="a9"/>
              <w:widowControl w:val="0"/>
              <w:spacing w:before="0" w:beforeAutospacing="0" w:after="0" w:afterAutospacing="0"/>
              <w:ind w:firstLine="327"/>
              <w:jc w:val="both"/>
              <w:rPr>
                <w:rFonts w:eastAsia="Calibri"/>
                <w:lang w:val="uk-UA"/>
              </w:rPr>
            </w:pPr>
            <w:r w:rsidRPr="00C62A80">
              <w:rPr>
                <w:rFonts w:eastAsia="Calibri"/>
                <w:lang w:val="uk-UA"/>
              </w:rPr>
              <w:t>узгоджується з вимогами чинного законодавства</w:t>
            </w:r>
          </w:p>
          <w:p w14:paraId="694EC29E" w14:textId="77777777" w:rsidR="00B11B8A" w:rsidRPr="00C62A80" w:rsidRDefault="00B11B8A" w:rsidP="0039655F">
            <w:pPr>
              <w:pStyle w:val="a9"/>
              <w:widowControl w:val="0"/>
              <w:spacing w:before="0" w:beforeAutospacing="0" w:after="0" w:afterAutospacing="0"/>
              <w:ind w:firstLine="327"/>
              <w:jc w:val="both"/>
              <w:rPr>
                <w:lang w:val="uk-UA"/>
              </w:rPr>
            </w:pPr>
          </w:p>
        </w:tc>
      </w:tr>
      <w:tr w:rsidR="00C62A80" w:rsidRPr="00C62A80" w14:paraId="6618E6F3" w14:textId="77777777" w:rsidTr="0039655F">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14:paraId="7697A5C4" w14:textId="77777777" w:rsidR="00B11B8A" w:rsidRPr="00C62A80" w:rsidRDefault="00B11B8A" w:rsidP="0039655F">
            <w:pPr>
              <w:pStyle w:val="a9"/>
              <w:widowControl w:val="0"/>
              <w:spacing w:before="0" w:beforeAutospacing="0" w:after="0" w:afterAutospacing="0"/>
              <w:rPr>
                <w:lang w:val="uk-UA"/>
              </w:rPr>
            </w:pPr>
            <w:r w:rsidRPr="00C62A80">
              <w:rPr>
                <w:lang w:val="uk-UA"/>
              </w:rPr>
              <w:t>Альтернатива 2</w:t>
            </w:r>
          </w:p>
        </w:tc>
        <w:tc>
          <w:tcPr>
            <w:tcW w:w="1406" w:type="pct"/>
            <w:tcBorders>
              <w:top w:val="outset" w:sz="6" w:space="0" w:color="auto"/>
              <w:left w:val="outset" w:sz="6" w:space="0" w:color="auto"/>
              <w:bottom w:val="outset" w:sz="6" w:space="0" w:color="auto"/>
              <w:right w:val="outset" w:sz="6" w:space="0" w:color="auto"/>
            </w:tcBorders>
            <w:shd w:val="clear" w:color="auto" w:fill="auto"/>
          </w:tcPr>
          <w:p w14:paraId="32BF55BA" w14:textId="77777777" w:rsidR="00B11B8A" w:rsidRPr="00C62A80" w:rsidRDefault="00B11B8A" w:rsidP="0039655F">
            <w:pPr>
              <w:pStyle w:val="a9"/>
              <w:widowControl w:val="0"/>
              <w:spacing w:before="0" w:beforeAutospacing="0" w:after="0" w:afterAutospacing="0"/>
              <w:ind w:firstLine="327"/>
              <w:jc w:val="both"/>
              <w:rPr>
                <w:lang w:val="uk-UA"/>
              </w:rPr>
            </w:pPr>
            <w:r w:rsidRPr="00C62A80">
              <w:rPr>
                <w:lang w:val="uk-UA"/>
              </w:rPr>
              <w:t>Відсутні</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71488E6B" w14:textId="77777777" w:rsidR="00B11B8A" w:rsidRPr="00C62A80" w:rsidRDefault="00B11B8A" w:rsidP="0039655F">
            <w:pPr>
              <w:pStyle w:val="Default"/>
              <w:ind w:firstLine="327"/>
              <w:jc w:val="both"/>
              <w:rPr>
                <w:color w:val="auto"/>
                <w:lang w:val="uk-UA"/>
              </w:rPr>
            </w:pPr>
            <w:r w:rsidRPr="00C62A80">
              <w:rPr>
                <w:color w:val="auto"/>
                <w:lang w:val="uk-UA"/>
              </w:rPr>
              <w:t xml:space="preserve">У разі відсутності нормативно-правового акта не буде досягнуто поставлених цілей державного регулювання </w:t>
            </w:r>
          </w:p>
        </w:tc>
        <w:tc>
          <w:tcPr>
            <w:tcW w:w="1167" w:type="pct"/>
            <w:tcBorders>
              <w:top w:val="outset" w:sz="6" w:space="0" w:color="auto"/>
              <w:left w:val="outset" w:sz="6" w:space="0" w:color="auto"/>
              <w:bottom w:val="outset" w:sz="6" w:space="0" w:color="auto"/>
              <w:right w:val="outset" w:sz="6" w:space="0" w:color="auto"/>
            </w:tcBorders>
            <w:shd w:val="clear" w:color="auto" w:fill="auto"/>
          </w:tcPr>
          <w:p w14:paraId="078C9483" w14:textId="77777777" w:rsidR="00B11B8A" w:rsidRPr="00C62A80" w:rsidRDefault="00B11B8A" w:rsidP="0039655F">
            <w:pPr>
              <w:widowControl w:val="0"/>
              <w:ind w:firstLine="327"/>
              <w:jc w:val="both"/>
              <w:rPr>
                <w:lang w:val="uk-UA"/>
              </w:rPr>
            </w:pPr>
            <w:r w:rsidRPr="00C62A80">
              <w:rPr>
                <w:lang w:val="uk-UA"/>
              </w:rPr>
              <w:t>Є гіршою серед запропонованих альтернатив, оскільки не дає змоги досягнути поставлених цілей державного регулювання оптимальним способом</w:t>
            </w:r>
          </w:p>
          <w:p w14:paraId="372A1FF6" w14:textId="77777777" w:rsidR="00B11B8A" w:rsidRPr="00C62A80" w:rsidRDefault="00B11B8A" w:rsidP="0039655F">
            <w:pPr>
              <w:widowControl w:val="0"/>
              <w:ind w:firstLine="327"/>
              <w:jc w:val="both"/>
              <w:rPr>
                <w:lang w:val="uk-UA"/>
              </w:rPr>
            </w:pPr>
          </w:p>
        </w:tc>
      </w:tr>
    </w:tbl>
    <w:p w14:paraId="6460D629" w14:textId="77777777" w:rsidR="00B11B8A" w:rsidRPr="00C62A80" w:rsidRDefault="00B11B8A" w:rsidP="00B11B8A">
      <w:pPr>
        <w:pStyle w:val="a9"/>
        <w:widowControl w:val="0"/>
        <w:spacing w:before="60" w:beforeAutospacing="0" w:after="0" w:afterAutospacing="0"/>
        <w:jc w:val="both"/>
        <w:rPr>
          <w:sz w:val="16"/>
          <w:szCs w:val="28"/>
          <w:lang w:val="uk-UA"/>
        </w:rPr>
      </w:pPr>
    </w:p>
    <w:tbl>
      <w:tblPr>
        <w:tblW w:w="4999"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89"/>
        <w:gridCol w:w="5269"/>
        <w:gridCol w:w="2263"/>
      </w:tblGrid>
      <w:tr w:rsidR="00C62A80" w:rsidRPr="00C62A80" w14:paraId="109A38FD" w14:textId="77777777" w:rsidTr="0039655F">
        <w:trPr>
          <w:tblCellSpacing w:w="22" w:type="dxa"/>
        </w:trPr>
        <w:tc>
          <w:tcPr>
            <w:tcW w:w="1052" w:type="pct"/>
            <w:tcBorders>
              <w:top w:val="outset" w:sz="6" w:space="0" w:color="auto"/>
              <w:left w:val="outset" w:sz="6" w:space="0" w:color="auto"/>
              <w:bottom w:val="outset" w:sz="6" w:space="0" w:color="auto"/>
              <w:right w:val="outset" w:sz="6" w:space="0" w:color="auto"/>
            </w:tcBorders>
            <w:shd w:val="clear" w:color="auto" w:fill="auto"/>
            <w:vAlign w:val="center"/>
          </w:tcPr>
          <w:p w14:paraId="7204D395" w14:textId="77777777" w:rsidR="00B11B8A" w:rsidRPr="00C62A80" w:rsidRDefault="00B11B8A" w:rsidP="0039655F">
            <w:pPr>
              <w:pStyle w:val="a9"/>
              <w:widowControl w:val="0"/>
              <w:spacing w:before="0" w:beforeAutospacing="0" w:after="0" w:afterAutospacing="0"/>
              <w:jc w:val="center"/>
              <w:rPr>
                <w:lang w:val="uk-UA"/>
              </w:rPr>
            </w:pPr>
            <w:r w:rsidRPr="00C62A80">
              <w:rPr>
                <w:lang w:val="uk-UA"/>
              </w:rPr>
              <w:t>Рейтинг</w:t>
            </w:r>
          </w:p>
        </w:tc>
        <w:tc>
          <w:tcPr>
            <w:tcW w:w="2716" w:type="pct"/>
            <w:tcBorders>
              <w:top w:val="outset" w:sz="6" w:space="0" w:color="auto"/>
              <w:left w:val="outset" w:sz="6" w:space="0" w:color="auto"/>
              <w:bottom w:val="outset" w:sz="6" w:space="0" w:color="auto"/>
              <w:right w:val="outset" w:sz="6" w:space="0" w:color="auto"/>
            </w:tcBorders>
            <w:shd w:val="clear" w:color="auto" w:fill="auto"/>
            <w:vAlign w:val="center"/>
          </w:tcPr>
          <w:p w14:paraId="3E360286" w14:textId="77777777" w:rsidR="00B11B8A" w:rsidRPr="00C62A80" w:rsidRDefault="00B11B8A" w:rsidP="0039655F">
            <w:pPr>
              <w:pStyle w:val="a9"/>
              <w:widowControl w:val="0"/>
              <w:spacing w:before="0" w:beforeAutospacing="0" w:after="0" w:afterAutospacing="0"/>
              <w:jc w:val="center"/>
              <w:rPr>
                <w:lang w:val="uk-UA"/>
              </w:rPr>
            </w:pPr>
            <w:r w:rsidRPr="00C62A80">
              <w:rPr>
                <w:lang w:val="uk-UA"/>
              </w:rPr>
              <w:t>Аргументи щодо переваги обраної альтернативи/причини відмови від альтернативи</w:t>
            </w:r>
          </w:p>
        </w:tc>
        <w:tc>
          <w:tcPr>
            <w:tcW w:w="1142" w:type="pct"/>
            <w:tcBorders>
              <w:top w:val="outset" w:sz="6" w:space="0" w:color="auto"/>
              <w:left w:val="outset" w:sz="6" w:space="0" w:color="auto"/>
              <w:bottom w:val="outset" w:sz="6" w:space="0" w:color="auto"/>
              <w:right w:val="outset" w:sz="6" w:space="0" w:color="auto"/>
            </w:tcBorders>
            <w:shd w:val="clear" w:color="auto" w:fill="auto"/>
          </w:tcPr>
          <w:p w14:paraId="390BB136" w14:textId="77777777" w:rsidR="00B11B8A" w:rsidRPr="00C62A80" w:rsidRDefault="00B11B8A" w:rsidP="0039655F">
            <w:pPr>
              <w:pStyle w:val="a9"/>
              <w:widowControl w:val="0"/>
              <w:spacing w:before="0" w:beforeAutospacing="0" w:after="0" w:afterAutospacing="0"/>
              <w:jc w:val="center"/>
              <w:rPr>
                <w:lang w:val="uk-UA"/>
              </w:rPr>
            </w:pPr>
            <w:r w:rsidRPr="00C62A80">
              <w:rPr>
                <w:lang w:val="uk-UA"/>
              </w:rPr>
              <w:t>Оцінка ризику зовнішніх чинників на дію запропонованого регуляторного акта</w:t>
            </w:r>
          </w:p>
        </w:tc>
      </w:tr>
      <w:tr w:rsidR="00C62A80" w:rsidRPr="00C62A80" w14:paraId="5AA4F548" w14:textId="77777777" w:rsidTr="0039655F">
        <w:trPr>
          <w:tblCellSpacing w:w="22" w:type="dxa"/>
        </w:trPr>
        <w:tc>
          <w:tcPr>
            <w:tcW w:w="1052" w:type="pct"/>
            <w:tcBorders>
              <w:top w:val="outset" w:sz="6" w:space="0" w:color="auto"/>
              <w:left w:val="outset" w:sz="6" w:space="0" w:color="auto"/>
              <w:bottom w:val="outset" w:sz="6" w:space="0" w:color="auto"/>
              <w:right w:val="outset" w:sz="6" w:space="0" w:color="auto"/>
            </w:tcBorders>
            <w:shd w:val="clear" w:color="auto" w:fill="auto"/>
          </w:tcPr>
          <w:p w14:paraId="0789099F" w14:textId="77777777" w:rsidR="00B11B8A" w:rsidRPr="00C62A80" w:rsidRDefault="00B11B8A" w:rsidP="0039655F">
            <w:pPr>
              <w:pStyle w:val="a9"/>
              <w:widowControl w:val="0"/>
              <w:spacing w:before="0" w:beforeAutospacing="0" w:after="0" w:afterAutospacing="0"/>
              <w:rPr>
                <w:lang w:val="uk-UA"/>
              </w:rPr>
            </w:pPr>
            <w:r w:rsidRPr="00C62A80">
              <w:rPr>
                <w:lang w:val="uk-UA"/>
              </w:rPr>
              <w:t>Альтернатива 1</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2F42C5B8" w14:textId="77777777" w:rsidR="00B11B8A" w:rsidRPr="00C62A80" w:rsidRDefault="00B11B8A" w:rsidP="0039655F">
            <w:pPr>
              <w:pStyle w:val="a9"/>
              <w:widowControl w:val="0"/>
              <w:spacing w:before="0" w:beforeAutospacing="0" w:after="0" w:afterAutospacing="0"/>
              <w:ind w:firstLine="230"/>
              <w:jc w:val="both"/>
              <w:rPr>
                <w:lang w:val="uk-UA"/>
              </w:rPr>
            </w:pPr>
            <w:r w:rsidRPr="00C62A80">
              <w:rPr>
                <w:lang w:val="uk-UA"/>
              </w:rPr>
              <w:t>Альтернатива 1 дає змогу повністю досягнути поставлених цілей державного регулювання без будь-яких витрат суб’єктів господарювання чи держави</w:t>
            </w:r>
          </w:p>
        </w:tc>
        <w:tc>
          <w:tcPr>
            <w:tcW w:w="1142" w:type="pct"/>
            <w:tcBorders>
              <w:top w:val="outset" w:sz="6" w:space="0" w:color="auto"/>
              <w:left w:val="outset" w:sz="6" w:space="0" w:color="auto"/>
              <w:bottom w:val="outset" w:sz="6" w:space="0" w:color="auto"/>
              <w:right w:val="outset" w:sz="6" w:space="0" w:color="auto"/>
            </w:tcBorders>
            <w:shd w:val="clear" w:color="auto" w:fill="auto"/>
          </w:tcPr>
          <w:p w14:paraId="2FA7FD16" w14:textId="77777777" w:rsidR="00B11B8A" w:rsidRPr="00C62A80" w:rsidRDefault="00B11B8A" w:rsidP="0039655F">
            <w:pPr>
              <w:pStyle w:val="a9"/>
              <w:widowControl w:val="0"/>
              <w:spacing w:before="0" w:beforeAutospacing="0" w:after="0" w:afterAutospacing="0"/>
              <w:ind w:firstLine="313"/>
              <w:jc w:val="both"/>
              <w:rPr>
                <w:lang w:val="uk-UA"/>
              </w:rPr>
            </w:pPr>
            <w:r w:rsidRPr="00C62A80">
              <w:rPr>
                <w:lang w:val="uk-UA"/>
              </w:rPr>
              <w:t xml:space="preserve">Проект наказу є підзаконним актом, який може потребувати внесення змін у разі  </w:t>
            </w:r>
            <w:r w:rsidRPr="00C62A80">
              <w:rPr>
                <w:lang w:val="uk-UA"/>
              </w:rPr>
              <w:lastRenderedPageBreak/>
              <w:t xml:space="preserve">змін відповідних норм законодавства. </w:t>
            </w:r>
          </w:p>
        </w:tc>
      </w:tr>
      <w:tr w:rsidR="00C62A80" w:rsidRPr="00C62A80" w14:paraId="72EE3CC3" w14:textId="77777777" w:rsidTr="0039655F">
        <w:trPr>
          <w:tblCellSpacing w:w="22" w:type="dxa"/>
        </w:trPr>
        <w:tc>
          <w:tcPr>
            <w:tcW w:w="1052" w:type="pct"/>
            <w:tcBorders>
              <w:top w:val="outset" w:sz="6" w:space="0" w:color="auto"/>
              <w:left w:val="outset" w:sz="6" w:space="0" w:color="auto"/>
              <w:bottom w:val="outset" w:sz="6" w:space="0" w:color="auto"/>
              <w:right w:val="outset" w:sz="6" w:space="0" w:color="auto"/>
            </w:tcBorders>
            <w:shd w:val="clear" w:color="auto" w:fill="auto"/>
          </w:tcPr>
          <w:p w14:paraId="05629F28" w14:textId="77777777" w:rsidR="00B11B8A" w:rsidRPr="00C62A80" w:rsidRDefault="00B11B8A" w:rsidP="0039655F">
            <w:pPr>
              <w:pStyle w:val="a9"/>
              <w:widowControl w:val="0"/>
              <w:spacing w:before="0" w:beforeAutospacing="0" w:after="0" w:afterAutospacing="0"/>
              <w:rPr>
                <w:lang w:val="uk-UA"/>
              </w:rPr>
            </w:pPr>
            <w:r w:rsidRPr="00C62A80">
              <w:rPr>
                <w:lang w:val="uk-UA"/>
              </w:rPr>
              <w:lastRenderedPageBreak/>
              <w:t>Альтернатива 2</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33806666" w14:textId="77777777" w:rsidR="00B11B8A" w:rsidRPr="00C62A80" w:rsidRDefault="00B11B8A" w:rsidP="0039655F">
            <w:pPr>
              <w:pStyle w:val="a9"/>
              <w:widowControl w:val="0"/>
              <w:spacing w:before="0" w:beforeAutospacing="0" w:after="0" w:afterAutospacing="0"/>
              <w:ind w:firstLine="300"/>
              <w:jc w:val="both"/>
              <w:rPr>
                <w:lang w:val="uk-UA"/>
              </w:rPr>
            </w:pPr>
            <w:r w:rsidRPr="00C62A80">
              <w:rPr>
                <w:lang w:val="uk-UA"/>
              </w:rPr>
              <w:t>Альтернатива 2 не узгоджується із вимогами чинного законодавства</w:t>
            </w:r>
          </w:p>
        </w:tc>
        <w:tc>
          <w:tcPr>
            <w:tcW w:w="1142" w:type="pct"/>
            <w:tcBorders>
              <w:top w:val="outset" w:sz="6" w:space="0" w:color="auto"/>
              <w:left w:val="outset" w:sz="6" w:space="0" w:color="auto"/>
              <w:bottom w:val="outset" w:sz="6" w:space="0" w:color="auto"/>
              <w:right w:val="outset" w:sz="6" w:space="0" w:color="auto"/>
            </w:tcBorders>
            <w:shd w:val="clear" w:color="auto" w:fill="auto"/>
          </w:tcPr>
          <w:p w14:paraId="5FE5189E" w14:textId="77777777" w:rsidR="00B11B8A" w:rsidRPr="00C62A80" w:rsidRDefault="00B11B8A" w:rsidP="0039655F">
            <w:pPr>
              <w:pStyle w:val="a9"/>
              <w:widowControl w:val="0"/>
              <w:spacing w:before="0" w:beforeAutospacing="0" w:after="0" w:afterAutospacing="0"/>
              <w:ind w:firstLine="303"/>
              <w:rPr>
                <w:lang w:val="uk-UA"/>
              </w:rPr>
            </w:pPr>
            <w:r w:rsidRPr="00C62A80">
              <w:rPr>
                <w:lang w:val="uk-UA"/>
              </w:rPr>
              <w:t xml:space="preserve">Відсутні </w:t>
            </w:r>
          </w:p>
        </w:tc>
      </w:tr>
    </w:tbl>
    <w:p w14:paraId="389DFD1A" w14:textId="77777777" w:rsidR="00B11B8A" w:rsidRPr="00C62A80" w:rsidRDefault="00B11B8A" w:rsidP="00B11B8A">
      <w:pPr>
        <w:pStyle w:val="3"/>
        <w:widowControl w:val="0"/>
        <w:spacing w:before="0" w:beforeAutospacing="0" w:after="0" w:afterAutospacing="0"/>
        <w:jc w:val="center"/>
        <w:rPr>
          <w:sz w:val="28"/>
          <w:szCs w:val="28"/>
          <w:lang w:val="uk-UA"/>
        </w:rPr>
      </w:pPr>
    </w:p>
    <w:p w14:paraId="20039674" w14:textId="77777777" w:rsidR="00B11B8A" w:rsidRPr="00C62A80" w:rsidRDefault="00B11B8A" w:rsidP="00B11B8A">
      <w:pPr>
        <w:pStyle w:val="3"/>
        <w:widowControl w:val="0"/>
        <w:spacing w:before="0" w:beforeAutospacing="0" w:after="0" w:afterAutospacing="0"/>
        <w:jc w:val="center"/>
        <w:rPr>
          <w:sz w:val="28"/>
          <w:szCs w:val="28"/>
          <w:lang w:val="uk-UA"/>
        </w:rPr>
      </w:pPr>
      <w:r w:rsidRPr="00C62A80">
        <w:rPr>
          <w:sz w:val="28"/>
          <w:szCs w:val="28"/>
          <w:lang w:val="uk-UA"/>
        </w:rPr>
        <w:t>V. Механізми та заходи, які забезпечать розв’язання визначеної проблеми</w:t>
      </w:r>
    </w:p>
    <w:p w14:paraId="44AFA8F9" w14:textId="77777777" w:rsidR="00B11B8A" w:rsidRPr="00C62A80" w:rsidRDefault="00B11B8A" w:rsidP="00B11B8A">
      <w:pPr>
        <w:ind w:right="-285" w:firstLine="567"/>
        <w:jc w:val="both"/>
        <w:rPr>
          <w:sz w:val="28"/>
          <w:szCs w:val="28"/>
          <w:lang w:val="uk-UA"/>
        </w:rPr>
      </w:pPr>
    </w:p>
    <w:p w14:paraId="21F22137" w14:textId="77777777" w:rsidR="00B11B8A" w:rsidRPr="00C62A80" w:rsidRDefault="00B11B8A" w:rsidP="00B11B8A">
      <w:pPr>
        <w:tabs>
          <w:tab w:val="left" w:pos="993"/>
        </w:tabs>
        <w:ind w:firstLine="567"/>
        <w:jc w:val="both"/>
        <w:rPr>
          <w:sz w:val="28"/>
          <w:szCs w:val="28"/>
          <w:lang w:val="uk-UA"/>
        </w:rPr>
      </w:pPr>
      <w:r w:rsidRPr="00C62A80">
        <w:rPr>
          <w:sz w:val="28"/>
          <w:szCs w:val="28"/>
          <w:lang w:val="uk-UA"/>
        </w:rPr>
        <w:t>Реалізація поставлених цілей державного регулювання забезпечується прийняттям проекту регуляторного акта, яким буде забезпечено:</w:t>
      </w:r>
    </w:p>
    <w:p w14:paraId="60F0FCC4" w14:textId="77777777" w:rsidR="00B11B8A" w:rsidRPr="00C62A80" w:rsidRDefault="00B11B8A" w:rsidP="00B11B8A">
      <w:pPr>
        <w:ind w:firstLine="567"/>
        <w:jc w:val="both"/>
        <w:rPr>
          <w:sz w:val="28"/>
          <w:szCs w:val="28"/>
          <w:lang w:val="uk-UA"/>
        </w:rPr>
      </w:pPr>
      <w:r w:rsidRPr="00C62A80">
        <w:rPr>
          <w:sz w:val="28"/>
          <w:szCs w:val="28"/>
          <w:lang w:val="uk-UA" w:eastAsia="uk-UA"/>
        </w:rPr>
        <w:t xml:space="preserve">унормування форм документів (Переліку видів марок акцизного податку, </w:t>
      </w:r>
      <w:r w:rsidRPr="00C62A80">
        <w:rPr>
          <w:sz w:val="28"/>
          <w:szCs w:val="28"/>
          <w:lang w:val="uk-UA"/>
        </w:rPr>
        <w:t>переліку виданих марок акцизного податку</w:t>
      </w:r>
      <w:r w:rsidRPr="00C62A80">
        <w:rPr>
          <w:sz w:val="28"/>
          <w:szCs w:val="28"/>
          <w:lang w:val="uk-UA" w:eastAsia="uk-UA"/>
        </w:rPr>
        <w:t xml:space="preserve">, </w:t>
      </w:r>
      <w:r w:rsidRPr="00C62A80">
        <w:rPr>
          <w:sz w:val="28"/>
          <w:szCs w:val="28"/>
          <w:lang w:val="uk-UA"/>
        </w:rPr>
        <w:t xml:space="preserve">форм заявок-розрахунків про потребу в марках акцизного податку та на придбання марок акцизного податку, зведених заявок-розрахунків на виготовлення необхідної кількості марок акцизного податку, </w:t>
      </w:r>
      <w:r w:rsidRPr="00C62A80">
        <w:rPr>
          <w:sz w:val="28"/>
          <w:szCs w:val="28"/>
          <w:lang w:val="uk-UA" w:eastAsia="uk-UA"/>
        </w:rPr>
        <w:t>звіту про використання марок акцизного податку, журналів обліку видачі марок акцизного податку та обліку документів, що підтверджують внесення плати за марки акцизного податку, Реєстру повернутих марок акцизного податку) для забезпечення можливості виробникам та імпортерам здійснювати замовлення марок акцизного податку</w:t>
      </w:r>
      <w:r w:rsidRPr="00C62A80">
        <w:rPr>
          <w:sz w:val="28"/>
          <w:szCs w:val="28"/>
          <w:lang w:val="uk-UA"/>
        </w:rPr>
        <w:t>;</w:t>
      </w:r>
    </w:p>
    <w:p w14:paraId="181DD77A" w14:textId="77777777" w:rsidR="00B11B8A" w:rsidRPr="00C62A80" w:rsidRDefault="00B11B8A" w:rsidP="00B11B8A">
      <w:pPr>
        <w:ind w:firstLine="567"/>
        <w:jc w:val="both"/>
        <w:rPr>
          <w:sz w:val="28"/>
          <w:szCs w:val="28"/>
          <w:lang w:val="uk-UA"/>
        </w:rPr>
      </w:pPr>
      <w:r w:rsidRPr="00C62A80">
        <w:rPr>
          <w:sz w:val="28"/>
          <w:szCs w:val="28"/>
          <w:lang w:val="uk-UA"/>
        </w:rPr>
        <w:t>впорядкування питання взаємодії між суб’єктами господарювання і державою у сфері виробництва та обігу алкогольних напоїв, тютюнових виробів та рідин, що використовуються в електронних сигаретах;</w:t>
      </w:r>
    </w:p>
    <w:p w14:paraId="4BE028DA" w14:textId="77777777" w:rsidR="00B11B8A" w:rsidRPr="00C62A80" w:rsidRDefault="00B11B8A" w:rsidP="00B11B8A">
      <w:pPr>
        <w:ind w:firstLine="567"/>
        <w:jc w:val="both"/>
        <w:rPr>
          <w:sz w:val="28"/>
          <w:szCs w:val="28"/>
          <w:lang w:val="uk-UA"/>
        </w:rPr>
      </w:pPr>
      <w:r w:rsidRPr="00C62A80">
        <w:rPr>
          <w:sz w:val="28"/>
          <w:szCs w:val="28"/>
          <w:lang w:val="uk-UA"/>
        </w:rPr>
        <w:t>можливість для платників податків подавати попередню/додаткову попередню заявку-розрахунок про потребу в марках акцизного податку, заявку-розрахунок на придбання марок акцизного податку для маркування, звіту про використання марок акцизного податку, реєстру повернутих марок акцизного податку;</w:t>
      </w:r>
    </w:p>
    <w:p w14:paraId="718C229C" w14:textId="77777777" w:rsidR="00B11B8A" w:rsidRPr="00C62A80" w:rsidRDefault="00B11B8A" w:rsidP="00B11B8A">
      <w:pPr>
        <w:pStyle w:val="ac"/>
        <w:ind w:firstLine="567"/>
        <w:jc w:val="both"/>
        <w:rPr>
          <w:rFonts w:ascii="Times New Roman" w:hAnsi="Times New Roman"/>
          <w:sz w:val="28"/>
          <w:szCs w:val="28"/>
        </w:rPr>
      </w:pPr>
      <w:r w:rsidRPr="00C62A80">
        <w:rPr>
          <w:rFonts w:ascii="Times New Roman" w:hAnsi="Times New Roman"/>
          <w:sz w:val="28"/>
          <w:szCs w:val="28"/>
        </w:rPr>
        <w:t>маркування марками акцизного податку ємностей (упаковок) з рідиною, що використовується в електронних сигаретах, пачок (упаковок) сигарил, тютюновмісних виробів для електричного нагрівання (ТВЕН) за допомогою підігрівача з електронним управлінням;</w:t>
      </w:r>
    </w:p>
    <w:p w14:paraId="2818BEB3" w14:textId="77777777" w:rsidR="00B11B8A" w:rsidRPr="00C62A80" w:rsidRDefault="00B11B8A" w:rsidP="00B11B8A">
      <w:pPr>
        <w:tabs>
          <w:tab w:val="left" w:pos="993"/>
        </w:tabs>
        <w:ind w:firstLine="567"/>
        <w:jc w:val="both"/>
        <w:rPr>
          <w:sz w:val="28"/>
          <w:szCs w:val="28"/>
          <w:lang w:val="uk-UA"/>
        </w:rPr>
      </w:pPr>
      <w:r w:rsidRPr="00C62A80">
        <w:rPr>
          <w:sz w:val="28"/>
          <w:szCs w:val="28"/>
          <w:lang w:val="uk-UA"/>
        </w:rPr>
        <w:t>отримання марок акцизного податку на сигарети, цигарки та сигарили, на які нанесено інформацію щодо кількості штук у пачці (упаковці).</w:t>
      </w:r>
    </w:p>
    <w:p w14:paraId="58588E9A" w14:textId="77777777" w:rsidR="00B11B8A" w:rsidRPr="00C62A80" w:rsidRDefault="00B11B8A" w:rsidP="00B11B8A">
      <w:pPr>
        <w:tabs>
          <w:tab w:val="left" w:pos="993"/>
        </w:tabs>
        <w:ind w:firstLine="567"/>
        <w:jc w:val="both"/>
        <w:rPr>
          <w:sz w:val="28"/>
          <w:szCs w:val="28"/>
          <w:lang w:val="uk-UA"/>
        </w:rPr>
      </w:pPr>
      <w:r w:rsidRPr="00C62A80">
        <w:rPr>
          <w:sz w:val="28"/>
          <w:szCs w:val="28"/>
          <w:lang w:val="uk-UA"/>
        </w:rPr>
        <w:t>Організаційні заходи впровадження регуляторного акта в дію:</w:t>
      </w:r>
    </w:p>
    <w:p w14:paraId="58637EEA" w14:textId="77777777" w:rsidR="00B11B8A" w:rsidRPr="00C62A80" w:rsidRDefault="00B11B8A" w:rsidP="00B11B8A">
      <w:pPr>
        <w:tabs>
          <w:tab w:val="left" w:pos="993"/>
        </w:tabs>
        <w:ind w:firstLine="567"/>
        <w:jc w:val="both"/>
        <w:rPr>
          <w:sz w:val="28"/>
          <w:szCs w:val="28"/>
          <w:lang w:val="uk-UA"/>
        </w:rPr>
      </w:pPr>
      <w:r w:rsidRPr="00C62A80">
        <w:rPr>
          <w:sz w:val="28"/>
          <w:szCs w:val="28"/>
          <w:lang w:val="uk-UA"/>
        </w:rPr>
        <w:t>погодження проекту регуляторного акта з Державною податковою службою України, Державною регуляторною службою України, Спільним представницьким органом на національному рівні;</w:t>
      </w:r>
    </w:p>
    <w:p w14:paraId="7C08B018" w14:textId="77777777" w:rsidR="00B11B8A" w:rsidRPr="00C62A80" w:rsidRDefault="00B11B8A" w:rsidP="00B11B8A">
      <w:pPr>
        <w:tabs>
          <w:tab w:val="left" w:pos="993"/>
        </w:tabs>
        <w:ind w:firstLine="567"/>
        <w:jc w:val="both"/>
        <w:rPr>
          <w:sz w:val="28"/>
          <w:szCs w:val="28"/>
          <w:lang w:val="uk-UA"/>
        </w:rPr>
      </w:pPr>
      <w:r w:rsidRPr="00C62A80">
        <w:rPr>
          <w:sz w:val="28"/>
          <w:szCs w:val="28"/>
          <w:lang w:val="uk-UA"/>
        </w:rPr>
        <w:t>державна реєстрація проекту регуляторного акта в Міністерстві юстиції України.</w:t>
      </w:r>
    </w:p>
    <w:p w14:paraId="745887CB" w14:textId="77777777" w:rsidR="00B11B8A" w:rsidRPr="00C62A80" w:rsidRDefault="00B11B8A" w:rsidP="00B11B8A">
      <w:pPr>
        <w:tabs>
          <w:tab w:val="left" w:pos="993"/>
        </w:tabs>
        <w:ind w:firstLine="567"/>
        <w:jc w:val="both"/>
        <w:rPr>
          <w:sz w:val="28"/>
          <w:szCs w:val="28"/>
          <w:lang w:val="uk-UA"/>
        </w:rPr>
      </w:pPr>
      <w:r w:rsidRPr="00C62A80">
        <w:rPr>
          <w:sz w:val="28"/>
          <w:szCs w:val="28"/>
          <w:lang w:val="uk-UA"/>
        </w:rPr>
        <w:t>Для впровадження цього регуляторного акта потрібно забезпечити інформування громадськості про положення регуляторного акта шляхом його оприлюднення на офіційних вебсайтах Міністерства фінансів України та Державної податкової служби України.</w:t>
      </w:r>
    </w:p>
    <w:p w14:paraId="035E795A" w14:textId="77777777" w:rsidR="00B11B8A" w:rsidRPr="00C62A80" w:rsidRDefault="00B11B8A" w:rsidP="00B11B8A">
      <w:pPr>
        <w:tabs>
          <w:tab w:val="left" w:pos="993"/>
        </w:tabs>
        <w:ind w:firstLine="567"/>
        <w:jc w:val="both"/>
        <w:rPr>
          <w:sz w:val="28"/>
          <w:szCs w:val="28"/>
          <w:lang w:val="uk-UA"/>
        </w:rPr>
      </w:pPr>
      <w:r w:rsidRPr="00C62A80">
        <w:rPr>
          <w:sz w:val="28"/>
          <w:szCs w:val="28"/>
          <w:lang w:val="uk-UA"/>
        </w:rPr>
        <w:lastRenderedPageBreak/>
        <w:t>Ризику впливу зовнішніх чинників на дію проекту регуляторного акта немає.</w:t>
      </w:r>
    </w:p>
    <w:p w14:paraId="5A6215E2" w14:textId="77777777" w:rsidR="00B11B8A" w:rsidRPr="00C62A80" w:rsidRDefault="00B11B8A" w:rsidP="00B11B8A">
      <w:pPr>
        <w:tabs>
          <w:tab w:val="left" w:pos="993"/>
        </w:tabs>
        <w:ind w:firstLine="567"/>
        <w:jc w:val="both"/>
        <w:rPr>
          <w:sz w:val="28"/>
          <w:szCs w:val="28"/>
          <w:lang w:val="uk-UA"/>
        </w:rPr>
      </w:pPr>
      <w:r w:rsidRPr="00C62A80">
        <w:rPr>
          <w:sz w:val="28"/>
          <w:szCs w:val="28"/>
          <w:lang w:val="uk-UA"/>
        </w:rPr>
        <w:t>Досягнення цілей не передбачає додаткових організаційних заходів.</w:t>
      </w:r>
    </w:p>
    <w:p w14:paraId="7FEE7509" w14:textId="77777777" w:rsidR="00B11B8A" w:rsidRPr="00C62A80" w:rsidRDefault="00B11B8A" w:rsidP="00B11B8A">
      <w:pPr>
        <w:tabs>
          <w:tab w:val="left" w:pos="993"/>
        </w:tabs>
        <w:ind w:firstLine="567"/>
        <w:jc w:val="both"/>
        <w:rPr>
          <w:sz w:val="28"/>
          <w:szCs w:val="28"/>
          <w:lang w:val="uk-UA"/>
        </w:rPr>
      </w:pPr>
      <w:r w:rsidRPr="00C62A80">
        <w:rPr>
          <w:sz w:val="28"/>
          <w:szCs w:val="28"/>
          <w:lang w:val="uk-UA"/>
        </w:rPr>
        <w:t>Прийняття проекту регуляторного акта не призведе до неочікуваних результатів і не потребує додаткових витрат з державного бюджету.</w:t>
      </w:r>
    </w:p>
    <w:p w14:paraId="7A0CD6B9" w14:textId="77777777" w:rsidR="00B11B8A" w:rsidRPr="00C62A80" w:rsidRDefault="00B11B8A" w:rsidP="00B11B8A">
      <w:pPr>
        <w:tabs>
          <w:tab w:val="left" w:pos="993"/>
        </w:tabs>
        <w:ind w:firstLine="567"/>
        <w:jc w:val="both"/>
        <w:rPr>
          <w:sz w:val="28"/>
          <w:szCs w:val="28"/>
          <w:lang w:val="uk-UA"/>
        </w:rPr>
      </w:pPr>
      <w:r w:rsidRPr="00C62A80">
        <w:rPr>
          <w:sz w:val="28"/>
          <w:szCs w:val="28"/>
          <w:lang w:val="uk-UA"/>
        </w:rPr>
        <w:t>Можлива шкода у разі очікуваних наслідків дії акта не прогнозується.</w:t>
      </w:r>
    </w:p>
    <w:p w14:paraId="59966C2B" w14:textId="77777777" w:rsidR="00B11B8A" w:rsidRPr="00C62A80" w:rsidRDefault="00B11B8A" w:rsidP="00B11B8A">
      <w:pPr>
        <w:tabs>
          <w:tab w:val="left" w:pos="993"/>
        </w:tabs>
        <w:ind w:firstLine="567"/>
        <w:jc w:val="both"/>
        <w:rPr>
          <w:sz w:val="28"/>
          <w:szCs w:val="28"/>
          <w:lang w:val="uk-UA"/>
        </w:rPr>
      </w:pPr>
      <w:r w:rsidRPr="00C62A80">
        <w:rPr>
          <w:sz w:val="28"/>
          <w:szCs w:val="28"/>
          <w:lang w:val="uk-UA"/>
        </w:rPr>
        <w:t xml:space="preserve">З боку суб’єктів господарювання відсутня потреба вчинення додаткових дій, оскільки проект регуляторного акта не створює регуляторних бар’єрів щодо здійснення господарської діяльності. </w:t>
      </w:r>
    </w:p>
    <w:p w14:paraId="7AC09C49" w14:textId="77777777" w:rsidR="00B11B8A" w:rsidRPr="00C62A80" w:rsidRDefault="00B11B8A" w:rsidP="00B11B8A">
      <w:pPr>
        <w:tabs>
          <w:tab w:val="left" w:pos="993"/>
        </w:tabs>
        <w:ind w:firstLine="709"/>
        <w:jc w:val="both"/>
        <w:rPr>
          <w:sz w:val="28"/>
          <w:szCs w:val="28"/>
          <w:lang w:val="uk-UA"/>
        </w:rPr>
      </w:pPr>
    </w:p>
    <w:p w14:paraId="4A38A796" w14:textId="77777777" w:rsidR="00B11B8A" w:rsidRPr="00C62A80" w:rsidRDefault="00B11B8A" w:rsidP="00B11B8A">
      <w:pPr>
        <w:pStyle w:val="3"/>
        <w:widowControl w:val="0"/>
        <w:spacing w:before="0" w:beforeAutospacing="0" w:after="0" w:afterAutospacing="0"/>
        <w:jc w:val="center"/>
        <w:rPr>
          <w:sz w:val="28"/>
          <w:szCs w:val="28"/>
          <w:lang w:val="uk-UA"/>
        </w:rPr>
      </w:pPr>
      <w:r w:rsidRPr="00C62A80">
        <w:rPr>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мають впроваджувати або виконувати ці вимоги</w:t>
      </w:r>
    </w:p>
    <w:p w14:paraId="7A820420" w14:textId="77777777" w:rsidR="00B11B8A" w:rsidRPr="00C62A80" w:rsidRDefault="00B11B8A" w:rsidP="00B11B8A">
      <w:pPr>
        <w:pStyle w:val="3"/>
        <w:widowControl w:val="0"/>
        <w:spacing w:before="0" w:beforeAutospacing="0" w:after="0" w:afterAutospacing="0"/>
        <w:jc w:val="center"/>
        <w:rPr>
          <w:sz w:val="28"/>
          <w:szCs w:val="28"/>
          <w:lang w:val="uk-UA"/>
        </w:rPr>
      </w:pPr>
    </w:p>
    <w:p w14:paraId="68E52946" w14:textId="77777777" w:rsidR="00B11B8A" w:rsidRPr="00C62A80" w:rsidRDefault="00B11B8A" w:rsidP="00B11B8A">
      <w:pPr>
        <w:pStyle w:val="ac"/>
        <w:ind w:firstLine="567"/>
        <w:jc w:val="both"/>
        <w:rPr>
          <w:rFonts w:ascii="Times New Roman" w:hAnsi="Times New Roman"/>
          <w:sz w:val="28"/>
          <w:szCs w:val="28"/>
        </w:rPr>
      </w:pPr>
      <w:r w:rsidRPr="00C62A80">
        <w:rPr>
          <w:rFonts w:ascii="Times New Roman" w:hAnsi="Times New Roman"/>
          <w:sz w:val="28"/>
          <w:szCs w:val="28"/>
        </w:rPr>
        <w:t>Реалізація проекту регуляторного акта не передбачає додаткових фінансових витрат з боку державних органів та, відповідно, додаткових видатків бюджету.</w:t>
      </w:r>
    </w:p>
    <w:p w14:paraId="3A6D40C4" w14:textId="77777777" w:rsidR="00B11B8A" w:rsidRPr="00C62A80" w:rsidRDefault="00B11B8A" w:rsidP="00B11B8A">
      <w:pPr>
        <w:pStyle w:val="ac"/>
        <w:ind w:firstLine="567"/>
        <w:jc w:val="both"/>
        <w:rPr>
          <w:rFonts w:ascii="Times New Roman" w:hAnsi="Times New Roman"/>
          <w:sz w:val="28"/>
          <w:szCs w:val="28"/>
        </w:rPr>
      </w:pPr>
      <w:r w:rsidRPr="00C62A80">
        <w:rPr>
          <w:rFonts w:ascii="Times New Roman" w:hAnsi="Times New Roman"/>
          <w:sz w:val="28"/>
          <w:szCs w:val="28"/>
        </w:rPr>
        <w:t>Фінансування для розробки програмного забезпечення здійснюється в межах фінансування ДПС.</w:t>
      </w:r>
    </w:p>
    <w:p w14:paraId="0C5A6CFB" w14:textId="77777777" w:rsidR="00B11B8A" w:rsidRPr="00C62A80" w:rsidRDefault="00B11B8A" w:rsidP="00B11B8A">
      <w:pPr>
        <w:pStyle w:val="ac"/>
        <w:ind w:firstLine="567"/>
        <w:jc w:val="both"/>
        <w:rPr>
          <w:rFonts w:ascii="Times New Roman" w:hAnsi="Times New Roman"/>
          <w:sz w:val="28"/>
          <w:szCs w:val="28"/>
        </w:rPr>
      </w:pPr>
      <w:r w:rsidRPr="00C62A80">
        <w:rPr>
          <w:rFonts w:ascii="Times New Roman" w:hAnsi="Times New Roman"/>
          <w:sz w:val="28"/>
          <w:szCs w:val="28"/>
        </w:rPr>
        <w:t>Застосовувати додаткове або оновлювати наявне програмне забезпечення  немає потреби, оскільки воно використовується в повсякденній роботі та здебільшого є безкоштовним.</w:t>
      </w:r>
    </w:p>
    <w:p w14:paraId="0413A17E" w14:textId="77777777" w:rsidR="00B11B8A" w:rsidRPr="00C62A80" w:rsidRDefault="00B11B8A" w:rsidP="00B11B8A">
      <w:pPr>
        <w:pStyle w:val="3"/>
        <w:widowControl w:val="0"/>
        <w:spacing w:before="0" w:beforeAutospacing="0" w:after="0" w:afterAutospacing="0"/>
        <w:ind w:firstLine="720"/>
        <w:jc w:val="both"/>
        <w:rPr>
          <w:b w:val="0"/>
          <w:sz w:val="28"/>
          <w:szCs w:val="28"/>
          <w:lang w:val="uk-UA"/>
        </w:rPr>
      </w:pPr>
    </w:p>
    <w:p w14:paraId="00271D1E" w14:textId="77777777" w:rsidR="00B11B8A" w:rsidRPr="00C62A80" w:rsidRDefault="00B11B8A" w:rsidP="00B11B8A">
      <w:pPr>
        <w:pStyle w:val="3"/>
        <w:widowControl w:val="0"/>
        <w:spacing w:before="0" w:beforeAutospacing="0" w:after="0" w:afterAutospacing="0"/>
        <w:jc w:val="center"/>
        <w:rPr>
          <w:sz w:val="28"/>
          <w:szCs w:val="28"/>
          <w:lang w:val="uk-UA"/>
        </w:rPr>
      </w:pPr>
      <w:r w:rsidRPr="00C62A80">
        <w:rPr>
          <w:sz w:val="28"/>
          <w:szCs w:val="28"/>
          <w:lang w:val="uk-UA"/>
        </w:rPr>
        <w:t xml:space="preserve">VII. Обґрунтування запропонованого </w:t>
      </w:r>
      <w:commentRangeStart w:id="4"/>
      <w:r w:rsidRPr="00C62A80">
        <w:rPr>
          <w:sz w:val="28"/>
          <w:szCs w:val="28"/>
          <w:lang w:val="uk-UA"/>
        </w:rPr>
        <w:t xml:space="preserve">строку дії </w:t>
      </w:r>
      <w:commentRangeEnd w:id="4"/>
      <w:r w:rsidRPr="00C62A80">
        <w:rPr>
          <w:rStyle w:val="ad"/>
          <w:rFonts w:eastAsia="Times New Roman"/>
          <w:b w:val="0"/>
          <w:bCs w:val="0"/>
          <w:lang w:val="uk-UA"/>
        </w:rPr>
        <w:commentReference w:id="4"/>
      </w:r>
      <w:r w:rsidRPr="00C62A80">
        <w:rPr>
          <w:sz w:val="28"/>
          <w:szCs w:val="28"/>
          <w:lang w:val="uk-UA"/>
        </w:rPr>
        <w:t>регуляторного акта</w:t>
      </w:r>
    </w:p>
    <w:p w14:paraId="7794C02B" w14:textId="77777777" w:rsidR="00B11B8A" w:rsidRPr="00C62A80" w:rsidRDefault="00B11B8A" w:rsidP="00B11B8A">
      <w:pPr>
        <w:pStyle w:val="3"/>
        <w:widowControl w:val="0"/>
        <w:spacing w:before="0" w:beforeAutospacing="0" w:after="0" w:afterAutospacing="0"/>
        <w:jc w:val="center"/>
        <w:rPr>
          <w:b w:val="0"/>
          <w:sz w:val="28"/>
          <w:szCs w:val="28"/>
          <w:lang w:val="uk-UA"/>
        </w:rPr>
      </w:pPr>
    </w:p>
    <w:p w14:paraId="209D1B46" w14:textId="77777777" w:rsidR="00B11B8A" w:rsidRPr="00C62A80" w:rsidRDefault="00B11B8A" w:rsidP="00B11B8A">
      <w:pPr>
        <w:pStyle w:val="a8"/>
        <w:tabs>
          <w:tab w:val="num" w:pos="0"/>
        </w:tabs>
        <w:spacing w:before="0" w:beforeAutospacing="0" w:after="0" w:afterAutospacing="0"/>
        <w:ind w:right="-142" w:firstLine="567"/>
        <w:jc w:val="both"/>
        <w:rPr>
          <w:sz w:val="28"/>
          <w:szCs w:val="28"/>
          <w:lang w:val="uk-UA"/>
        </w:rPr>
      </w:pPr>
      <w:commentRangeStart w:id="5"/>
      <w:r w:rsidRPr="00C62A80">
        <w:rPr>
          <w:sz w:val="28"/>
          <w:szCs w:val="28"/>
          <w:lang w:val="uk-UA"/>
        </w:rPr>
        <w:t>Термін</w:t>
      </w:r>
      <w:commentRangeEnd w:id="5"/>
      <w:r w:rsidRPr="00C62A80">
        <w:rPr>
          <w:rStyle w:val="ad"/>
          <w:lang w:val="uk-UA"/>
        </w:rPr>
        <w:commentReference w:id="5"/>
      </w:r>
      <w:r w:rsidRPr="00C62A80">
        <w:rPr>
          <w:sz w:val="28"/>
          <w:szCs w:val="28"/>
          <w:lang w:val="uk-UA"/>
        </w:rPr>
        <w:t xml:space="preserve"> дії акта є необмеженим, оскільки норми Кодексу та постанови № 1251, на виконання норм яких розроблено проект наказу, мають необмежений термін дії.</w:t>
      </w:r>
    </w:p>
    <w:p w14:paraId="462C12A3" w14:textId="77777777" w:rsidR="00B11B8A" w:rsidRPr="00C62A80" w:rsidRDefault="00B11B8A" w:rsidP="00B11B8A">
      <w:pPr>
        <w:pStyle w:val="a8"/>
        <w:tabs>
          <w:tab w:val="num" w:pos="0"/>
        </w:tabs>
        <w:spacing w:before="0" w:beforeAutospacing="0" w:after="0" w:afterAutospacing="0"/>
        <w:ind w:right="-142" w:firstLine="567"/>
        <w:jc w:val="both"/>
        <w:rPr>
          <w:sz w:val="28"/>
          <w:szCs w:val="28"/>
          <w:lang w:val="uk-UA"/>
        </w:rPr>
      </w:pPr>
      <w:r w:rsidRPr="00C62A80">
        <w:rPr>
          <w:sz w:val="28"/>
          <w:szCs w:val="28"/>
          <w:lang w:val="uk-UA"/>
        </w:rPr>
        <w:t>Зміна терміну дії акта можлива в разі зміни правових актів, на виконання вимог яких розроблено проект регуляторного акта.</w:t>
      </w:r>
    </w:p>
    <w:p w14:paraId="23D3D8A0" w14:textId="77777777" w:rsidR="00B11B8A" w:rsidRPr="00C62A80" w:rsidRDefault="00B11B8A" w:rsidP="00B11B8A">
      <w:pPr>
        <w:pStyle w:val="a8"/>
        <w:tabs>
          <w:tab w:val="num" w:pos="0"/>
        </w:tabs>
        <w:spacing w:before="0" w:beforeAutospacing="0" w:after="0" w:afterAutospacing="0"/>
        <w:ind w:right="-142" w:firstLine="567"/>
        <w:jc w:val="both"/>
        <w:rPr>
          <w:sz w:val="28"/>
          <w:szCs w:val="28"/>
          <w:lang w:val="uk-UA"/>
        </w:rPr>
      </w:pPr>
      <w:r w:rsidRPr="00C62A80">
        <w:rPr>
          <w:sz w:val="28"/>
          <w:szCs w:val="28"/>
          <w:lang w:val="uk-UA"/>
        </w:rPr>
        <w:t>Термін набрання чинності регуляторним актом – відповідно до законодавства з дня офіційного опублікування цього регуляторного акта.</w:t>
      </w:r>
    </w:p>
    <w:p w14:paraId="112A2AB3" w14:textId="77777777" w:rsidR="00B11B8A" w:rsidRPr="00C62A80" w:rsidRDefault="00B11B8A" w:rsidP="00B11B8A">
      <w:pPr>
        <w:pStyle w:val="a8"/>
        <w:tabs>
          <w:tab w:val="num" w:pos="0"/>
        </w:tabs>
        <w:spacing w:before="0" w:beforeAutospacing="0" w:after="0" w:afterAutospacing="0"/>
        <w:ind w:right="-142" w:firstLine="567"/>
        <w:jc w:val="both"/>
        <w:rPr>
          <w:sz w:val="28"/>
          <w:szCs w:val="28"/>
          <w:lang w:val="uk-UA"/>
        </w:rPr>
      </w:pPr>
      <w:r w:rsidRPr="00C62A80">
        <w:rPr>
          <w:sz w:val="28"/>
          <w:szCs w:val="28"/>
          <w:lang w:val="uk-UA"/>
        </w:rPr>
        <w:t>Оскільки регуляторний акт є актом, розробленим відповідно до норм Кодексу та постанови № 1251, у разі внесення змін до вищезгаданих законодавчих актів регуляторний акт має бути приведено у відповідність до таких змін.</w:t>
      </w:r>
    </w:p>
    <w:p w14:paraId="19B4CDD3" w14:textId="77777777" w:rsidR="00B11B8A" w:rsidRPr="00C62A80" w:rsidRDefault="00B11B8A" w:rsidP="00B11B8A">
      <w:pPr>
        <w:pStyle w:val="a8"/>
        <w:tabs>
          <w:tab w:val="num" w:pos="0"/>
        </w:tabs>
        <w:spacing w:before="0" w:beforeAutospacing="0" w:after="0" w:afterAutospacing="0"/>
        <w:ind w:right="-142" w:firstLine="709"/>
        <w:jc w:val="both"/>
        <w:rPr>
          <w:sz w:val="28"/>
          <w:szCs w:val="28"/>
          <w:lang w:val="uk-UA"/>
        </w:rPr>
      </w:pPr>
    </w:p>
    <w:p w14:paraId="4848E55A" w14:textId="77777777" w:rsidR="00B11B8A" w:rsidRPr="00C62A80" w:rsidRDefault="00B11B8A" w:rsidP="00B11B8A">
      <w:pPr>
        <w:jc w:val="center"/>
        <w:rPr>
          <w:b/>
          <w:sz w:val="28"/>
          <w:szCs w:val="28"/>
          <w:lang w:val="uk-UA"/>
        </w:rPr>
      </w:pPr>
      <w:r w:rsidRPr="00C62A80">
        <w:rPr>
          <w:b/>
          <w:sz w:val="28"/>
          <w:szCs w:val="28"/>
          <w:lang w:val="uk-UA"/>
        </w:rPr>
        <w:t>VIII. Визначення показників результативності дії регуляторного акта</w:t>
      </w:r>
    </w:p>
    <w:p w14:paraId="2F939566" w14:textId="77777777" w:rsidR="00B11B8A" w:rsidRPr="00C62A80" w:rsidRDefault="00B11B8A" w:rsidP="00B11B8A">
      <w:pPr>
        <w:ind w:right="-285" w:firstLine="720"/>
        <w:jc w:val="both"/>
        <w:rPr>
          <w:sz w:val="18"/>
          <w:szCs w:val="28"/>
          <w:lang w:val="uk-UA"/>
        </w:rPr>
      </w:pPr>
    </w:p>
    <w:p w14:paraId="4BD72C84" w14:textId="77777777" w:rsidR="00B11B8A" w:rsidRPr="00C62A80" w:rsidRDefault="00B11B8A" w:rsidP="00B11B8A">
      <w:pPr>
        <w:ind w:firstLine="567"/>
        <w:jc w:val="both"/>
        <w:rPr>
          <w:rFonts w:eastAsia="Calibri"/>
          <w:sz w:val="28"/>
          <w:szCs w:val="28"/>
          <w:lang w:val="uk-UA" w:eastAsia="en-US"/>
        </w:rPr>
      </w:pPr>
      <w:r w:rsidRPr="00C62A80">
        <w:rPr>
          <w:rFonts w:eastAsia="Calibri"/>
          <w:sz w:val="28"/>
          <w:szCs w:val="28"/>
          <w:lang w:val="uk-UA" w:eastAsia="en-US"/>
        </w:rPr>
        <w:t>Щодо прогнозних значень показників результативності цього регуляторного акта потрібно зазначити таке.</w:t>
      </w:r>
    </w:p>
    <w:p w14:paraId="18D3A237" w14:textId="77777777" w:rsidR="00B11B8A" w:rsidRPr="00C62A80" w:rsidRDefault="00B11B8A" w:rsidP="00B11B8A">
      <w:pPr>
        <w:ind w:firstLine="567"/>
        <w:jc w:val="both"/>
        <w:rPr>
          <w:rFonts w:eastAsia="Calibri"/>
          <w:sz w:val="28"/>
          <w:szCs w:val="28"/>
          <w:lang w:val="uk-UA" w:eastAsia="en-US"/>
        </w:rPr>
      </w:pPr>
      <w:r w:rsidRPr="00C62A80">
        <w:rPr>
          <w:rFonts w:eastAsia="Calibri"/>
          <w:sz w:val="28"/>
          <w:szCs w:val="28"/>
          <w:lang w:val="uk-UA" w:eastAsia="en-US"/>
        </w:rPr>
        <w:t>Показником результативності регуляторного акта, які можливо буде отримати через рік після набрання ним чинності, є інформація про:</w:t>
      </w:r>
    </w:p>
    <w:p w14:paraId="0A02DECB" w14:textId="77777777" w:rsidR="00B11B8A" w:rsidRPr="00C62A80" w:rsidRDefault="00B11B8A" w:rsidP="00B11B8A">
      <w:pPr>
        <w:ind w:firstLine="567"/>
        <w:jc w:val="both"/>
        <w:rPr>
          <w:bCs/>
          <w:sz w:val="28"/>
          <w:szCs w:val="28"/>
          <w:lang w:val="uk-UA"/>
        </w:rPr>
      </w:pPr>
      <w:r w:rsidRPr="00C62A80">
        <w:rPr>
          <w:bCs/>
          <w:sz w:val="28"/>
          <w:szCs w:val="28"/>
          <w:lang w:val="uk-UA"/>
        </w:rPr>
        <w:t xml:space="preserve">розмір надходжень до бюджету акцизного податку; </w:t>
      </w:r>
    </w:p>
    <w:p w14:paraId="2B29B7D0" w14:textId="77777777" w:rsidR="00B11B8A" w:rsidRPr="00C62A80" w:rsidRDefault="00B11B8A" w:rsidP="00B11B8A">
      <w:pPr>
        <w:ind w:firstLine="567"/>
        <w:jc w:val="both"/>
        <w:rPr>
          <w:bCs/>
          <w:sz w:val="28"/>
          <w:szCs w:val="28"/>
          <w:lang w:val="uk-UA"/>
        </w:rPr>
      </w:pPr>
      <w:r w:rsidRPr="00C62A80">
        <w:rPr>
          <w:bCs/>
          <w:sz w:val="28"/>
          <w:szCs w:val="28"/>
          <w:lang w:val="uk-UA"/>
        </w:rPr>
        <w:lastRenderedPageBreak/>
        <w:t>кількість суб’єктів господарювання, на яких поширюється дія акта.</w:t>
      </w:r>
    </w:p>
    <w:p w14:paraId="7A7D6486" w14:textId="77777777" w:rsidR="00B11B8A" w:rsidRPr="00C62A80" w:rsidRDefault="00B11B8A" w:rsidP="00B11B8A">
      <w:pPr>
        <w:ind w:firstLine="567"/>
        <w:jc w:val="both"/>
        <w:rPr>
          <w:rFonts w:eastAsia="Calibri"/>
          <w:sz w:val="28"/>
          <w:szCs w:val="28"/>
          <w:lang w:val="uk-UA" w:eastAsia="en-US"/>
        </w:rPr>
      </w:pPr>
      <w:r w:rsidRPr="00C62A80">
        <w:rPr>
          <w:rFonts w:eastAsia="Calibri"/>
          <w:sz w:val="28"/>
          <w:szCs w:val="28"/>
          <w:lang w:val="uk-UA" w:eastAsia="en-US"/>
        </w:rPr>
        <w:t>Збільшення розміру коштів і часу суб’єктів господарювання на дотримання вимог акта не передбачається. Витрати ДПС, пов’язані із впровадженням норми проекту наказу, передбачаються в межах фінансування ДПС.</w:t>
      </w:r>
    </w:p>
    <w:p w14:paraId="37867133" w14:textId="77777777" w:rsidR="00B11B8A" w:rsidRPr="00C62A80" w:rsidRDefault="00B11B8A" w:rsidP="00B11B8A">
      <w:pPr>
        <w:ind w:firstLine="567"/>
        <w:jc w:val="both"/>
        <w:rPr>
          <w:rFonts w:eastAsia="Calibri"/>
          <w:sz w:val="28"/>
          <w:szCs w:val="28"/>
          <w:lang w:val="uk-UA" w:eastAsia="en-US"/>
        </w:rPr>
      </w:pPr>
      <w:r w:rsidRPr="00C62A80">
        <w:rPr>
          <w:rFonts w:eastAsia="Calibri"/>
          <w:sz w:val="28"/>
          <w:szCs w:val="28"/>
          <w:lang w:val="uk-UA" w:eastAsia="en-US"/>
        </w:rPr>
        <w:t>Рівень поінформованості суб’єктів господарювання щодо основних положень акта є середнім. Проект наказу оприлюднено для громадського обговорення в мережі Інтернет на офіційних вебсайтах Міністерства фінансів України та Державної податкової служби України. Після прийняття акта його буде оприлюднено у засобах масової інформації.</w:t>
      </w:r>
    </w:p>
    <w:p w14:paraId="3BB18992" w14:textId="77777777" w:rsidR="00B11B8A" w:rsidRPr="00C62A80" w:rsidRDefault="00B11B8A" w:rsidP="00B11B8A">
      <w:pPr>
        <w:ind w:right="-285" w:firstLine="720"/>
        <w:jc w:val="both"/>
        <w:rPr>
          <w:sz w:val="28"/>
          <w:szCs w:val="28"/>
          <w:lang w:val="uk-UA"/>
        </w:rPr>
      </w:pPr>
    </w:p>
    <w:p w14:paraId="24F769ED" w14:textId="77777777" w:rsidR="00B11B8A" w:rsidRPr="00C62A80" w:rsidRDefault="00B11B8A" w:rsidP="00B11B8A">
      <w:pPr>
        <w:pStyle w:val="3"/>
        <w:spacing w:before="0" w:beforeAutospacing="0" w:after="0" w:afterAutospacing="0"/>
        <w:jc w:val="center"/>
        <w:rPr>
          <w:rFonts w:eastAsia="Times New Roman"/>
          <w:sz w:val="28"/>
          <w:szCs w:val="28"/>
          <w:lang w:val="uk-UA"/>
        </w:rPr>
      </w:pPr>
      <w:r w:rsidRPr="00C62A80">
        <w:rPr>
          <w:rFonts w:eastAsia="Times New Roman"/>
          <w:sz w:val="28"/>
          <w:szCs w:val="28"/>
          <w:lang w:val="uk-UA"/>
        </w:rPr>
        <w:t>IX. Визначення заходів, за допомогою яких здійснюватиметься відстеження результативності дії регуляторного акта</w:t>
      </w:r>
    </w:p>
    <w:p w14:paraId="42A7724E" w14:textId="77777777" w:rsidR="00B11B8A" w:rsidRPr="00C62A80" w:rsidRDefault="00B11B8A" w:rsidP="00B11B8A">
      <w:pPr>
        <w:pStyle w:val="3"/>
        <w:spacing w:before="0" w:beforeAutospacing="0" w:after="0" w:afterAutospacing="0"/>
        <w:jc w:val="center"/>
        <w:rPr>
          <w:rFonts w:eastAsia="Times New Roman"/>
          <w:sz w:val="18"/>
          <w:szCs w:val="28"/>
          <w:lang w:val="uk-UA"/>
        </w:rPr>
      </w:pPr>
    </w:p>
    <w:p w14:paraId="2CD8DF92" w14:textId="77777777" w:rsidR="00B11B8A" w:rsidRPr="00C62A80" w:rsidRDefault="00B11B8A" w:rsidP="00B11B8A">
      <w:pPr>
        <w:ind w:firstLine="567"/>
        <w:jc w:val="both"/>
        <w:rPr>
          <w:sz w:val="28"/>
          <w:szCs w:val="28"/>
          <w:lang w:val="uk-UA"/>
        </w:rPr>
      </w:pPr>
      <w:r w:rsidRPr="00C62A80">
        <w:rPr>
          <w:sz w:val="28"/>
          <w:szCs w:val="28"/>
          <w:lang w:val="uk-UA"/>
        </w:rPr>
        <w:t>Відстеження результативності дії регуляторного акта здійснюватиме Державна податкова служба України, оскільки вона є контролюючим органом щодо отримання від суб’єктів господарювання 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здійснює ведення журналів для обліку марок акцизного податку.</w:t>
      </w:r>
    </w:p>
    <w:p w14:paraId="1705B796" w14:textId="77777777" w:rsidR="00B11B8A" w:rsidRPr="00C62A80" w:rsidRDefault="00B11B8A" w:rsidP="00B11B8A">
      <w:pPr>
        <w:ind w:firstLine="567"/>
        <w:jc w:val="both"/>
        <w:rPr>
          <w:sz w:val="28"/>
          <w:szCs w:val="28"/>
          <w:lang w:val="uk-UA"/>
        </w:rPr>
      </w:pPr>
      <w:r w:rsidRPr="00C62A80">
        <w:rPr>
          <w:sz w:val="28"/>
          <w:szCs w:val="28"/>
          <w:lang w:val="uk-UA"/>
        </w:rPr>
        <w:t>У разі прийняття регуляторного акта послідовно здійснюватиметься базове, повторне та періодичне відстеження його результативності згідно зі статтею 10 Закону України «Про засади державної регуляторної політики у сфері господарської діяльності».</w:t>
      </w:r>
    </w:p>
    <w:p w14:paraId="5160BD46" w14:textId="77777777" w:rsidR="00B11B8A" w:rsidRPr="00C62A80" w:rsidRDefault="00B11B8A" w:rsidP="00B11B8A">
      <w:pPr>
        <w:ind w:firstLine="567"/>
        <w:jc w:val="both"/>
        <w:rPr>
          <w:sz w:val="28"/>
          <w:szCs w:val="28"/>
          <w:lang w:val="uk-UA"/>
        </w:rPr>
      </w:pPr>
      <w:r w:rsidRPr="00C62A80">
        <w:rPr>
          <w:sz w:val="28"/>
          <w:szCs w:val="28"/>
          <w:lang w:val="uk-UA"/>
        </w:rPr>
        <w:t>Базове відстеження результативності цього регуляторного акта буде здійснюватися до дня набрання чинності цим актом за допомогою збору пропозицій та зауважень до нього.</w:t>
      </w:r>
    </w:p>
    <w:p w14:paraId="074A00B9" w14:textId="77777777" w:rsidR="00B11B8A" w:rsidRPr="00C62A80" w:rsidRDefault="00B11B8A" w:rsidP="00B11B8A">
      <w:pPr>
        <w:ind w:firstLine="567"/>
        <w:jc w:val="both"/>
        <w:rPr>
          <w:sz w:val="28"/>
          <w:szCs w:val="28"/>
          <w:lang w:val="uk-UA"/>
        </w:rPr>
      </w:pPr>
      <w:r w:rsidRPr="00C62A80">
        <w:rPr>
          <w:sz w:val="28"/>
          <w:szCs w:val="28"/>
          <w:lang w:val="uk-UA"/>
        </w:rPr>
        <w:t>Повторне відстеження результативності акта буде здійснюватися через рік після набрання чинності цим актом за допомогою аналізу якісних та кількісних показників.</w:t>
      </w:r>
    </w:p>
    <w:p w14:paraId="3D0A67F6" w14:textId="77777777" w:rsidR="00B11B8A" w:rsidRPr="00C62A80" w:rsidRDefault="00B11B8A" w:rsidP="00B11B8A">
      <w:pPr>
        <w:ind w:firstLine="567"/>
        <w:jc w:val="both"/>
        <w:rPr>
          <w:sz w:val="28"/>
          <w:szCs w:val="28"/>
          <w:lang w:val="uk-UA"/>
        </w:rPr>
      </w:pPr>
      <w:r w:rsidRPr="00C62A80">
        <w:rPr>
          <w:sz w:val="28"/>
          <w:szCs w:val="28"/>
          <w:lang w:val="uk-UA"/>
        </w:rPr>
        <w:t xml:space="preserve">Періодичне відстеження результативності регуляторного акта здійснюватиметься раз на кожних три роки, починаючи з дня закінчення заходів із повторного відстеження результативності цього акта. </w:t>
      </w:r>
    </w:p>
    <w:p w14:paraId="53432F65" w14:textId="77777777" w:rsidR="00B11B8A" w:rsidRPr="00C62A80" w:rsidRDefault="00B11B8A" w:rsidP="00B11B8A">
      <w:pPr>
        <w:ind w:firstLine="567"/>
        <w:jc w:val="both"/>
        <w:rPr>
          <w:sz w:val="28"/>
          <w:szCs w:val="28"/>
          <w:lang w:val="uk-UA"/>
        </w:rPr>
      </w:pPr>
      <w:r w:rsidRPr="00C62A80">
        <w:rPr>
          <w:sz w:val="28"/>
          <w:szCs w:val="28"/>
          <w:lang w:val="uk-UA"/>
        </w:rPr>
        <w:t>У разі виявлення неврегульованих та проблемних моментів, які передбачається встановлювати за допомогою аналізу якісних та кількісних показників цього акта, буде розглядатися можливість їх вирішення внесенням відповідних змін.</w:t>
      </w:r>
    </w:p>
    <w:p w14:paraId="537E062A" w14:textId="77777777" w:rsidR="00B11B8A" w:rsidRPr="00C62A80" w:rsidRDefault="00B11B8A" w:rsidP="00B11B8A">
      <w:pPr>
        <w:ind w:right="-285" w:firstLine="709"/>
        <w:jc w:val="both"/>
        <w:rPr>
          <w:sz w:val="28"/>
          <w:szCs w:val="28"/>
          <w:lang w:val="uk-UA"/>
        </w:rPr>
      </w:pPr>
    </w:p>
    <w:p w14:paraId="24BF563F" w14:textId="77777777" w:rsidR="00B11B8A" w:rsidRPr="00C62A80" w:rsidRDefault="00B11B8A" w:rsidP="00B11B8A">
      <w:pPr>
        <w:ind w:right="-285" w:firstLine="709"/>
        <w:jc w:val="both"/>
        <w:rPr>
          <w:sz w:val="28"/>
          <w:szCs w:val="28"/>
          <w:lang w:val="uk-UA"/>
        </w:rPr>
      </w:pPr>
    </w:p>
    <w:p w14:paraId="5B5C7252" w14:textId="77777777" w:rsidR="00B11B8A" w:rsidRPr="00C62A80" w:rsidRDefault="00B11B8A" w:rsidP="00B11B8A">
      <w:pPr>
        <w:rPr>
          <w:sz w:val="28"/>
          <w:szCs w:val="28"/>
          <w:lang w:val="uk-UA"/>
        </w:rPr>
      </w:pPr>
      <w:r w:rsidRPr="00C62A80">
        <w:rPr>
          <w:rFonts w:eastAsia="Calibri"/>
          <w:b/>
          <w:bCs/>
          <w:sz w:val="28"/>
          <w:szCs w:val="28"/>
          <w:lang w:val="uk-UA" w:eastAsia="en-US"/>
        </w:rPr>
        <w:t>Міністр фінансів України                                                     Сергій МАРЧЕНКО</w:t>
      </w:r>
    </w:p>
    <w:p w14:paraId="049A9FEA" w14:textId="77777777" w:rsidR="00B11B8A" w:rsidRPr="00C62A80" w:rsidRDefault="00B11B8A" w:rsidP="00B11B8A">
      <w:pPr>
        <w:ind w:left="4678"/>
        <w:rPr>
          <w:bCs/>
          <w:sz w:val="20"/>
          <w:szCs w:val="20"/>
          <w:lang w:val="uk-UA"/>
        </w:rPr>
      </w:pPr>
      <w:r w:rsidRPr="00C62A80">
        <w:rPr>
          <w:sz w:val="28"/>
          <w:szCs w:val="28"/>
          <w:lang w:val="uk-UA"/>
        </w:rPr>
        <w:br w:type="page"/>
      </w:r>
      <w:r w:rsidRPr="00C62A80">
        <w:rPr>
          <w:bCs/>
          <w:sz w:val="20"/>
          <w:szCs w:val="20"/>
          <w:lang w:val="uk-UA"/>
        </w:rPr>
        <w:lastRenderedPageBreak/>
        <w:t xml:space="preserve">Додаток </w:t>
      </w:r>
    </w:p>
    <w:p w14:paraId="3AF58B9B" w14:textId="77777777" w:rsidR="00B11B8A" w:rsidRPr="00C62A80" w:rsidRDefault="00B11B8A" w:rsidP="00B11B8A">
      <w:pPr>
        <w:ind w:left="4678"/>
        <w:rPr>
          <w:bCs/>
          <w:sz w:val="20"/>
          <w:szCs w:val="20"/>
          <w:lang w:val="uk-UA"/>
        </w:rPr>
      </w:pPr>
      <w:r w:rsidRPr="00C62A80">
        <w:rPr>
          <w:bCs/>
          <w:sz w:val="20"/>
          <w:szCs w:val="20"/>
          <w:lang w:val="uk-UA"/>
        </w:rPr>
        <w:t xml:space="preserve">до аналізу регуляторного впливу </w:t>
      </w:r>
    </w:p>
    <w:p w14:paraId="78F98A9A" w14:textId="77777777" w:rsidR="00B11B8A" w:rsidRPr="00C62A80" w:rsidRDefault="00B11B8A" w:rsidP="00B11B8A">
      <w:pPr>
        <w:ind w:left="4678"/>
        <w:rPr>
          <w:bCs/>
          <w:sz w:val="20"/>
          <w:szCs w:val="20"/>
          <w:lang w:val="uk-UA"/>
        </w:rPr>
      </w:pPr>
      <w:r w:rsidRPr="00C62A80">
        <w:rPr>
          <w:bCs/>
          <w:sz w:val="20"/>
          <w:szCs w:val="20"/>
          <w:lang w:val="uk-UA"/>
        </w:rPr>
        <w:t>проекту наказу Міністерства фінансів України</w:t>
      </w:r>
    </w:p>
    <w:p w14:paraId="18473939" w14:textId="77777777" w:rsidR="00B11B8A" w:rsidRPr="00C62A80" w:rsidRDefault="00B11B8A" w:rsidP="00B11B8A">
      <w:pPr>
        <w:ind w:left="4678"/>
        <w:jc w:val="both"/>
        <w:rPr>
          <w:bCs/>
          <w:sz w:val="20"/>
          <w:szCs w:val="20"/>
          <w:lang w:val="uk-UA"/>
        </w:rPr>
      </w:pPr>
      <w:r w:rsidRPr="00C62A80">
        <w:rPr>
          <w:bCs/>
          <w:sz w:val="20"/>
          <w:szCs w:val="20"/>
          <w:lang w:val="uk-UA"/>
        </w:rPr>
        <w:t xml:space="preserve">«Про затвердження форм 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 </w:t>
      </w:r>
    </w:p>
    <w:p w14:paraId="7F6AFC2C" w14:textId="77777777" w:rsidR="00B11B8A" w:rsidRPr="00C62A80" w:rsidRDefault="00B11B8A" w:rsidP="00B11B8A">
      <w:pPr>
        <w:ind w:left="5670"/>
        <w:rPr>
          <w:bCs/>
          <w:sz w:val="20"/>
          <w:szCs w:val="20"/>
          <w:lang w:val="uk-UA"/>
        </w:rPr>
      </w:pPr>
    </w:p>
    <w:p w14:paraId="4659143A" w14:textId="77777777" w:rsidR="00B11B8A" w:rsidRPr="00C62A80" w:rsidRDefault="00B11B8A" w:rsidP="00B11B8A">
      <w:pPr>
        <w:jc w:val="center"/>
        <w:rPr>
          <w:b/>
          <w:sz w:val="28"/>
          <w:szCs w:val="28"/>
          <w:lang w:val="uk-UA"/>
        </w:rPr>
      </w:pPr>
      <w:r w:rsidRPr="00C62A80">
        <w:rPr>
          <w:b/>
          <w:sz w:val="28"/>
          <w:szCs w:val="28"/>
          <w:lang w:val="uk-UA"/>
        </w:rPr>
        <w:t>ВИТРАТИ</w:t>
      </w:r>
    </w:p>
    <w:p w14:paraId="6269D2CE" w14:textId="77777777" w:rsidR="00B11B8A" w:rsidRPr="00C62A80" w:rsidRDefault="00B11B8A" w:rsidP="00B11B8A">
      <w:pPr>
        <w:jc w:val="center"/>
        <w:rPr>
          <w:b/>
          <w:sz w:val="28"/>
          <w:szCs w:val="28"/>
          <w:lang w:val="uk-UA"/>
        </w:rPr>
      </w:pPr>
      <w:r w:rsidRPr="00C62A80">
        <w:rPr>
          <w:b/>
          <w:sz w:val="28"/>
          <w:szCs w:val="28"/>
          <w:lang w:val="uk-UA"/>
        </w:rPr>
        <w:t>на одного суб’єкта господарювання великого і середнього підприємництва, які виникають внаслідок дії регуляторного акта</w:t>
      </w:r>
    </w:p>
    <w:p w14:paraId="10C90B98" w14:textId="77777777" w:rsidR="00B11B8A" w:rsidRPr="00C62A80" w:rsidRDefault="00B11B8A" w:rsidP="00B11B8A">
      <w:pPr>
        <w:ind w:right="-285"/>
        <w:jc w:val="both"/>
        <w:rPr>
          <w:sz w:val="28"/>
          <w:szCs w:val="28"/>
          <w:lang w:val="uk-UA"/>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5649"/>
        <w:gridCol w:w="1701"/>
        <w:gridCol w:w="1701"/>
      </w:tblGrid>
      <w:tr w:rsidR="00C62A80" w:rsidRPr="00C62A80" w14:paraId="320A2A73" w14:textId="77777777" w:rsidTr="0039655F">
        <w:tc>
          <w:tcPr>
            <w:tcW w:w="555" w:type="dxa"/>
            <w:vAlign w:val="center"/>
            <w:hideMark/>
          </w:tcPr>
          <w:p w14:paraId="0BCE8922" w14:textId="77777777" w:rsidR="00B11B8A" w:rsidRPr="00C62A80" w:rsidRDefault="00B11B8A" w:rsidP="0039655F">
            <w:pPr>
              <w:jc w:val="center"/>
              <w:rPr>
                <w:lang w:val="uk-UA"/>
              </w:rPr>
            </w:pPr>
            <w:r w:rsidRPr="00C62A80">
              <w:rPr>
                <w:lang w:val="uk-UA"/>
              </w:rPr>
              <w:t>№ з/п</w:t>
            </w:r>
          </w:p>
        </w:tc>
        <w:tc>
          <w:tcPr>
            <w:tcW w:w="5649" w:type="dxa"/>
            <w:vAlign w:val="center"/>
            <w:hideMark/>
          </w:tcPr>
          <w:p w14:paraId="0D6F98B3" w14:textId="77777777" w:rsidR="00B11B8A" w:rsidRPr="00C62A80" w:rsidRDefault="00B11B8A" w:rsidP="0039655F">
            <w:pPr>
              <w:jc w:val="center"/>
              <w:rPr>
                <w:lang w:val="uk-UA"/>
              </w:rPr>
            </w:pPr>
            <w:r w:rsidRPr="00C62A80">
              <w:rPr>
                <w:lang w:val="uk-UA"/>
              </w:rPr>
              <w:t>Витрати</w:t>
            </w:r>
          </w:p>
        </w:tc>
        <w:tc>
          <w:tcPr>
            <w:tcW w:w="1701" w:type="dxa"/>
            <w:vAlign w:val="center"/>
            <w:hideMark/>
          </w:tcPr>
          <w:p w14:paraId="0D41B91D" w14:textId="77777777" w:rsidR="00B11B8A" w:rsidRPr="00C62A80" w:rsidRDefault="00B11B8A" w:rsidP="0039655F">
            <w:pPr>
              <w:jc w:val="center"/>
              <w:rPr>
                <w:lang w:val="uk-UA"/>
              </w:rPr>
            </w:pPr>
            <w:r w:rsidRPr="00C62A80">
              <w:rPr>
                <w:lang w:val="uk-UA"/>
              </w:rPr>
              <w:t xml:space="preserve">За перший </w:t>
            </w:r>
          </w:p>
          <w:p w14:paraId="2D6735D9" w14:textId="77777777" w:rsidR="00B11B8A" w:rsidRPr="00C62A80" w:rsidRDefault="00B11B8A" w:rsidP="0039655F">
            <w:pPr>
              <w:jc w:val="center"/>
              <w:rPr>
                <w:lang w:val="uk-UA"/>
              </w:rPr>
            </w:pPr>
            <w:r w:rsidRPr="00C62A80">
              <w:rPr>
                <w:lang w:val="uk-UA"/>
              </w:rPr>
              <w:t>рік</w:t>
            </w:r>
          </w:p>
        </w:tc>
        <w:tc>
          <w:tcPr>
            <w:tcW w:w="1701" w:type="dxa"/>
          </w:tcPr>
          <w:p w14:paraId="6B899507" w14:textId="77777777" w:rsidR="00B11B8A" w:rsidRPr="00C62A80" w:rsidRDefault="00B11B8A" w:rsidP="0039655F">
            <w:pPr>
              <w:jc w:val="center"/>
              <w:rPr>
                <w:lang w:val="uk-UA"/>
              </w:rPr>
            </w:pPr>
            <w:r w:rsidRPr="00C62A80">
              <w:rPr>
                <w:lang w:val="uk-UA"/>
              </w:rPr>
              <w:t xml:space="preserve">За п’ять </w:t>
            </w:r>
          </w:p>
          <w:p w14:paraId="18272D86" w14:textId="77777777" w:rsidR="00B11B8A" w:rsidRPr="00C62A80" w:rsidRDefault="00B11B8A" w:rsidP="0039655F">
            <w:pPr>
              <w:jc w:val="center"/>
              <w:rPr>
                <w:lang w:val="uk-UA"/>
              </w:rPr>
            </w:pPr>
            <w:r w:rsidRPr="00C62A80">
              <w:rPr>
                <w:lang w:val="uk-UA"/>
              </w:rPr>
              <w:t>років</w:t>
            </w:r>
          </w:p>
        </w:tc>
      </w:tr>
      <w:tr w:rsidR="00C62A80" w:rsidRPr="00C62A80" w14:paraId="63CE6F6F" w14:textId="77777777" w:rsidTr="0039655F">
        <w:tc>
          <w:tcPr>
            <w:tcW w:w="555" w:type="dxa"/>
            <w:vAlign w:val="center"/>
            <w:hideMark/>
          </w:tcPr>
          <w:p w14:paraId="4B0B3D2B" w14:textId="77777777" w:rsidR="00B11B8A" w:rsidRPr="00C62A80" w:rsidRDefault="00B11B8A" w:rsidP="0039655F">
            <w:pPr>
              <w:jc w:val="center"/>
              <w:rPr>
                <w:lang w:val="uk-UA"/>
              </w:rPr>
            </w:pPr>
            <w:r w:rsidRPr="00C62A80">
              <w:rPr>
                <w:lang w:val="uk-UA"/>
              </w:rPr>
              <w:t>1</w:t>
            </w:r>
          </w:p>
        </w:tc>
        <w:tc>
          <w:tcPr>
            <w:tcW w:w="5649" w:type="dxa"/>
            <w:hideMark/>
          </w:tcPr>
          <w:p w14:paraId="093667BA" w14:textId="77777777" w:rsidR="00B11B8A" w:rsidRPr="00C62A80" w:rsidRDefault="00B11B8A" w:rsidP="0039655F">
            <w:pPr>
              <w:jc w:val="both"/>
              <w:rPr>
                <w:lang w:val="uk-UA"/>
              </w:rPr>
            </w:pPr>
            <w:r w:rsidRPr="00C62A80">
              <w:rPr>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701" w:type="dxa"/>
            <w:vAlign w:val="center"/>
            <w:hideMark/>
          </w:tcPr>
          <w:p w14:paraId="0735FA87" w14:textId="77777777" w:rsidR="00B11B8A" w:rsidRPr="00C62A80" w:rsidRDefault="00B11B8A" w:rsidP="0039655F">
            <w:pPr>
              <w:jc w:val="center"/>
              <w:rPr>
                <w:lang w:val="uk-UA"/>
              </w:rPr>
            </w:pPr>
            <w:r w:rsidRPr="00C62A80">
              <w:rPr>
                <w:lang w:val="uk-UA"/>
              </w:rPr>
              <w:t>0</w:t>
            </w:r>
          </w:p>
        </w:tc>
        <w:tc>
          <w:tcPr>
            <w:tcW w:w="1701" w:type="dxa"/>
          </w:tcPr>
          <w:p w14:paraId="3CD8CA1C" w14:textId="77777777" w:rsidR="00B11B8A" w:rsidRPr="00C62A80" w:rsidRDefault="00B11B8A" w:rsidP="0039655F">
            <w:pPr>
              <w:jc w:val="center"/>
              <w:rPr>
                <w:lang w:val="uk-UA"/>
              </w:rPr>
            </w:pPr>
          </w:p>
        </w:tc>
      </w:tr>
      <w:tr w:rsidR="00C62A80" w:rsidRPr="00C62A80" w14:paraId="46A084F5" w14:textId="77777777" w:rsidTr="0039655F">
        <w:tc>
          <w:tcPr>
            <w:tcW w:w="555" w:type="dxa"/>
            <w:vAlign w:val="center"/>
            <w:hideMark/>
          </w:tcPr>
          <w:p w14:paraId="0195D84F" w14:textId="77777777" w:rsidR="00B11B8A" w:rsidRPr="00C62A80" w:rsidRDefault="00B11B8A" w:rsidP="0039655F">
            <w:pPr>
              <w:jc w:val="center"/>
              <w:rPr>
                <w:lang w:val="uk-UA"/>
              </w:rPr>
            </w:pPr>
            <w:r w:rsidRPr="00C62A80">
              <w:rPr>
                <w:lang w:val="uk-UA"/>
              </w:rPr>
              <w:t>2</w:t>
            </w:r>
          </w:p>
        </w:tc>
        <w:tc>
          <w:tcPr>
            <w:tcW w:w="5649" w:type="dxa"/>
            <w:hideMark/>
          </w:tcPr>
          <w:p w14:paraId="6C980026" w14:textId="77777777" w:rsidR="00B11B8A" w:rsidRPr="00C62A80" w:rsidRDefault="00B11B8A" w:rsidP="0039655F">
            <w:pPr>
              <w:jc w:val="both"/>
              <w:rPr>
                <w:lang w:val="uk-UA"/>
              </w:rPr>
            </w:pPr>
            <w:r w:rsidRPr="00C62A80">
              <w:rPr>
                <w:lang w:val="uk-UA"/>
              </w:rPr>
              <w:t>Податки та збори (зміна розміру податків/зборів, виникнення потреби у сплаті податків/зборів), гривень</w:t>
            </w:r>
          </w:p>
        </w:tc>
        <w:tc>
          <w:tcPr>
            <w:tcW w:w="1701" w:type="dxa"/>
            <w:vAlign w:val="center"/>
            <w:hideMark/>
          </w:tcPr>
          <w:p w14:paraId="1E4AAD84" w14:textId="77777777" w:rsidR="00B11B8A" w:rsidRPr="00C62A80" w:rsidRDefault="00B11B8A" w:rsidP="0039655F">
            <w:pPr>
              <w:jc w:val="center"/>
              <w:rPr>
                <w:lang w:val="uk-UA"/>
              </w:rPr>
            </w:pPr>
            <w:r w:rsidRPr="00C62A80">
              <w:rPr>
                <w:lang w:val="uk-UA"/>
              </w:rPr>
              <w:t>0</w:t>
            </w:r>
          </w:p>
        </w:tc>
        <w:tc>
          <w:tcPr>
            <w:tcW w:w="1701" w:type="dxa"/>
          </w:tcPr>
          <w:p w14:paraId="31EF5BC6" w14:textId="77777777" w:rsidR="00B11B8A" w:rsidRPr="00C62A80" w:rsidRDefault="00B11B8A" w:rsidP="0039655F">
            <w:pPr>
              <w:jc w:val="center"/>
              <w:rPr>
                <w:lang w:val="uk-UA"/>
              </w:rPr>
            </w:pPr>
          </w:p>
        </w:tc>
      </w:tr>
      <w:tr w:rsidR="00C62A80" w:rsidRPr="00C62A80" w14:paraId="7D6B34ED" w14:textId="77777777" w:rsidTr="0039655F">
        <w:tc>
          <w:tcPr>
            <w:tcW w:w="555" w:type="dxa"/>
            <w:vAlign w:val="center"/>
            <w:hideMark/>
          </w:tcPr>
          <w:p w14:paraId="17199687" w14:textId="77777777" w:rsidR="00B11B8A" w:rsidRPr="00C62A80" w:rsidRDefault="00B11B8A" w:rsidP="0039655F">
            <w:pPr>
              <w:jc w:val="center"/>
              <w:rPr>
                <w:b/>
                <w:lang w:val="uk-UA"/>
              </w:rPr>
            </w:pPr>
            <w:r w:rsidRPr="00C62A80">
              <w:rPr>
                <w:b/>
                <w:lang w:val="uk-UA"/>
              </w:rPr>
              <w:t>3</w:t>
            </w:r>
          </w:p>
        </w:tc>
        <w:tc>
          <w:tcPr>
            <w:tcW w:w="5649" w:type="dxa"/>
            <w:hideMark/>
          </w:tcPr>
          <w:p w14:paraId="4BB0859F" w14:textId="77777777" w:rsidR="00B11B8A" w:rsidRPr="00C62A80" w:rsidRDefault="00B11B8A" w:rsidP="0039655F">
            <w:pPr>
              <w:jc w:val="both"/>
              <w:rPr>
                <w:b/>
                <w:lang w:val="uk-UA"/>
              </w:rPr>
            </w:pPr>
            <w:r w:rsidRPr="00C62A80">
              <w:rPr>
                <w:b/>
                <w:lang w:val="uk-UA"/>
              </w:rPr>
              <w:t>Витрати, пов’язані з веденням обліку, підготовкою та поданням звітності державним органам, гривень</w:t>
            </w:r>
          </w:p>
          <w:p w14:paraId="4E02F0AA" w14:textId="77777777" w:rsidR="00B11B8A" w:rsidRPr="00C62A80" w:rsidRDefault="00B11B8A" w:rsidP="0039655F">
            <w:pPr>
              <w:pStyle w:val="a9"/>
              <w:spacing w:before="0" w:beforeAutospacing="0" w:after="0" w:afterAutospacing="0"/>
              <w:jc w:val="both"/>
              <w:rPr>
                <w:b/>
                <w:i/>
                <w:lang w:val="uk-UA"/>
              </w:rPr>
            </w:pPr>
            <w:r w:rsidRPr="00C62A80">
              <w:rPr>
                <w:b/>
                <w:i/>
                <w:lang w:val="uk-UA"/>
              </w:rPr>
              <w:t xml:space="preserve">(Витрати платника акцизного податку зі складання та надіслання засобами електронного зв’язку однієї попередньої/додаткової попередньої заявки-розрахунку про потребу в марках акцизного податку*, заявки-розрахунку на придбання марок акцизного податку для маркування*, звіту про використання марок акцизного податку*, реєстру повернутих марок акцизного податку*) </w:t>
            </w:r>
          </w:p>
          <w:p w14:paraId="61D783AC" w14:textId="77777777" w:rsidR="00B11B8A" w:rsidRPr="00C62A80" w:rsidRDefault="00B11B8A" w:rsidP="0039655F">
            <w:pPr>
              <w:pStyle w:val="a9"/>
              <w:spacing w:before="0" w:beforeAutospacing="0" w:after="0" w:afterAutospacing="0"/>
              <w:jc w:val="both"/>
              <w:rPr>
                <w:sz w:val="22"/>
                <w:szCs w:val="22"/>
                <w:lang w:val="uk-UA"/>
              </w:rPr>
            </w:pPr>
            <w:r w:rsidRPr="00C62A80">
              <w:rPr>
                <w:sz w:val="22"/>
                <w:szCs w:val="22"/>
                <w:lang w:val="uk-UA"/>
              </w:rPr>
              <w:t>* залежно від потреб платників</w:t>
            </w:r>
          </w:p>
          <w:p w14:paraId="23E33620" w14:textId="77777777" w:rsidR="00B11B8A" w:rsidRPr="00C62A80" w:rsidRDefault="00B11B8A" w:rsidP="0039655F">
            <w:pPr>
              <w:pStyle w:val="a9"/>
              <w:spacing w:before="0" w:beforeAutospacing="0" w:after="0" w:afterAutospacing="0"/>
              <w:jc w:val="both"/>
              <w:rPr>
                <w:b/>
                <w:sz w:val="22"/>
                <w:szCs w:val="22"/>
                <w:lang w:val="uk-UA"/>
              </w:rPr>
            </w:pPr>
          </w:p>
          <w:p w14:paraId="5EA03EE4" w14:textId="77777777" w:rsidR="00B11B8A" w:rsidRPr="00C62A80" w:rsidRDefault="00B11B8A" w:rsidP="0039655F">
            <w:pPr>
              <w:pStyle w:val="a9"/>
              <w:spacing w:before="0" w:beforeAutospacing="0" w:after="0" w:afterAutospacing="0"/>
              <w:jc w:val="both"/>
              <w:rPr>
                <w:b/>
                <w:i/>
                <w:sz w:val="22"/>
                <w:lang w:val="uk-UA"/>
              </w:rPr>
            </w:pPr>
            <w:r w:rsidRPr="00C62A80">
              <w:rPr>
                <w:sz w:val="22"/>
                <w:szCs w:val="22"/>
                <w:lang w:val="uk-UA"/>
              </w:rPr>
              <w:t xml:space="preserve">(0,5 год × 29,20 грн за год) </w:t>
            </w:r>
            <w:commentRangeStart w:id="6"/>
            <w:r w:rsidRPr="00C62A80">
              <w:rPr>
                <w:sz w:val="22"/>
                <w:szCs w:val="22"/>
                <w:lang w:val="uk-UA"/>
              </w:rPr>
              <w:t>*</w:t>
            </w:r>
            <w:commentRangeEnd w:id="6"/>
            <w:r w:rsidRPr="00C62A80">
              <w:rPr>
                <w:rStyle w:val="ad"/>
                <w:lang w:val="uk-UA"/>
              </w:rPr>
              <w:commentReference w:id="6"/>
            </w:r>
            <w:r w:rsidRPr="00C62A80">
              <w:rPr>
                <w:sz w:val="22"/>
                <w:szCs w:val="22"/>
                <w:lang w:val="uk-UA"/>
              </w:rPr>
              <w:t xml:space="preserve"> 12 місяців = 175,2 грн</w:t>
            </w:r>
            <w:r w:rsidRPr="00C62A80">
              <w:rPr>
                <w:b/>
                <w:i/>
                <w:sz w:val="22"/>
                <w:lang w:val="uk-UA"/>
              </w:rPr>
              <w:t xml:space="preserve"> </w:t>
            </w:r>
          </w:p>
          <w:p w14:paraId="4499A5CB" w14:textId="77777777" w:rsidR="00B11B8A" w:rsidRPr="00C62A80" w:rsidRDefault="00B11B8A" w:rsidP="0039655F">
            <w:pPr>
              <w:pStyle w:val="a9"/>
              <w:spacing w:before="0" w:beforeAutospacing="0" w:after="0" w:afterAutospacing="0"/>
              <w:jc w:val="both"/>
              <w:rPr>
                <w:sz w:val="22"/>
                <w:szCs w:val="22"/>
                <w:lang w:val="uk-UA"/>
              </w:rPr>
            </w:pPr>
          </w:p>
          <w:p w14:paraId="557A24FA" w14:textId="77777777" w:rsidR="00B11B8A" w:rsidRPr="00C62A80" w:rsidRDefault="00B11B8A" w:rsidP="0039655F">
            <w:pPr>
              <w:pStyle w:val="a9"/>
              <w:spacing w:before="0" w:beforeAutospacing="0" w:after="0" w:afterAutospacing="0"/>
              <w:jc w:val="both"/>
              <w:rPr>
                <w:b/>
                <w:i/>
                <w:lang w:val="uk-UA"/>
              </w:rPr>
            </w:pPr>
          </w:p>
        </w:tc>
        <w:tc>
          <w:tcPr>
            <w:tcW w:w="1701" w:type="dxa"/>
            <w:vAlign w:val="center"/>
          </w:tcPr>
          <w:p w14:paraId="49E9688E" w14:textId="77777777" w:rsidR="00B11B8A" w:rsidRPr="00C62A80" w:rsidRDefault="00B11B8A" w:rsidP="0039655F">
            <w:pPr>
              <w:jc w:val="center"/>
              <w:rPr>
                <w:lang w:val="uk-UA"/>
              </w:rPr>
            </w:pPr>
          </w:p>
          <w:p w14:paraId="1A5CF258" w14:textId="77777777" w:rsidR="00B11B8A" w:rsidRPr="00C62A80" w:rsidRDefault="00B11B8A" w:rsidP="0039655F">
            <w:pPr>
              <w:pStyle w:val="a9"/>
              <w:spacing w:before="0" w:beforeAutospacing="0" w:after="0" w:afterAutospacing="0"/>
              <w:jc w:val="center"/>
              <w:rPr>
                <w:b/>
                <w:sz w:val="22"/>
                <w:szCs w:val="22"/>
                <w:lang w:val="uk-UA"/>
              </w:rPr>
            </w:pPr>
            <w:r w:rsidRPr="00C62A80">
              <w:rPr>
                <w:b/>
                <w:sz w:val="22"/>
                <w:szCs w:val="22"/>
                <w:lang w:val="uk-UA"/>
              </w:rPr>
              <w:t>175,2 грн</w:t>
            </w:r>
          </w:p>
          <w:p w14:paraId="7AC9DCE0" w14:textId="77777777" w:rsidR="00B11B8A" w:rsidRPr="00C62A80" w:rsidRDefault="00B11B8A" w:rsidP="0039655F">
            <w:pPr>
              <w:pStyle w:val="a9"/>
              <w:spacing w:before="0" w:beforeAutospacing="0" w:after="0" w:afterAutospacing="0"/>
              <w:jc w:val="center"/>
              <w:rPr>
                <w:b/>
                <w:lang w:val="uk-UA"/>
              </w:rPr>
            </w:pPr>
            <w:r w:rsidRPr="00C62A80">
              <w:rPr>
                <w:sz w:val="22"/>
                <w:szCs w:val="22"/>
                <w:lang w:val="uk-UA"/>
              </w:rPr>
              <w:t xml:space="preserve">(на одну </w:t>
            </w:r>
            <w:r w:rsidRPr="00C62A80">
              <w:rPr>
                <w:sz w:val="22"/>
                <w:lang w:val="uk-UA"/>
              </w:rPr>
              <w:t xml:space="preserve">попередню/до-даткову попередню заявку-розрахунок про потребу в марках акцизного податку, заявку-розрахунок на придбання марок акцизного податку для маркування, звіту про використання марок акцизного податку, реєстру повернутих марок </w:t>
            </w:r>
            <w:commentRangeStart w:id="7"/>
            <w:r w:rsidRPr="00C62A80">
              <w:rPr>
                <w:sz w:val="22"/>
                <w:lang w:val="uk-UA"/>
              </w:rPr>
              <w:t>акцизного податку)</w:t>
            </w:r>
            <w:commentRangeEnd w:id="7"/>
            <w:r w:rsidRPr="00C62A80">
              <w:rPr>
                <w:rStyle w:val="ad"/>
                <w:lang w:val="uk-UA"/>
              </w:rPr>
              <w:commentReference w:id="7"/>
            </w:r>
          </w:p>
        </w:tc>
        <w:tc>
          <w:tcPr>
            <w:tcW w:w="1701" w:type="dxa"/>
          </w:tcPr>
          <w:p w14:paraId="2D2B8572" w14:textId="77777777" w:rsidR="00B11B8A" w:rsidRPr="00C62A80" w:rsidRDefault="00B11B8A" w:rsidP="0039655F">
            <w:pPr>
              <w:jc w:val="center"/>
              <w:rPr>
                <w:lang w:val="uk-UA"/>
              </w:rPr>
            </w:pPr>
          </w:p>
          <w:p w14:paraId="79AB3ADB" w14:textId="77777777" w:rsidR="00B11B8A" w:rsidRPr="00C62A80" w:rsidRDefault="00B11B8A" w:rsidP="0039655F">
            <w:pPr>
              <w:jc w:val="center"/>
              <w:rPr>
                <w:b/>
                <w:sz w:val="22"/>
                <w:lang w:val="uk-UA"/>
              </w:rPr>
            </w:pPr>
            <w:r w:rsidRPr="00C62A80">
              <w:rPr>
                <w:b/>
                <w:sz w:val="22"/>
                <w:lang w:val="uk-UA"/>
              </w:rPr>
              <w:t>876 грн</w:t>
            </w:r>
          </w:p>
          <w:p w14:paraId="38FDD899" w14:textId="77777777" w:rsidR="00B11B8A" w:rsidRPr="00C62A80" w:rsidRDefault="00B11B8A" w:rsidP="0039655F">
            <w:pPr>
              <w:pStyle w:val="a9"/>
              <w:spacing w:before="0" w:beforeAutospacing="0" w:after="0" w:afterAutospacing="0"/>
              <w:jc w:val="center"/>
              <w:rPr>
                <w:lang w:val="uk-UA"/>
              </w:rPr>
            </w:pPr>
            <w:r w:rsidRPr="00C62A80">
              <w:rPr>
                <w:sz w:val="22"/>
                <w:szCs w:val="22"/>
                <w:lang w:val="uk-UA"/>
              </w:rPr>
              <w:t xml:space="preserve">(на одну </w:t>
            </w:r>
            <w:r w:rsidRPr="00C62A80">
              <w:rPr>
                <w:sz w:val="22"/>
                <w:lang w:val="uk-UA"/>
              </w:rPr>
              <w:t xml:space="preserve">попередню/до-даткову попередню заявку-розрахунок про потребу в марках акцизного податку, заявку-розрахунок на придбання марок акцизного податку для маркування, звіту про використання марок акцизного податку, реєстру повернутих марок </w:t>
            </w:r>
            <w:commentRangeStart w:id="8"/>
            <w:r w:rsidRPr="00C62A80">
              <w:rPr>
                <w:sz w:val="22"/>
                <w:lang w:val="uk-UA"/>
              </w:rPr>
              <w:t>акцизного податку)</w:t>
            </w:r>
            <w:commentRangeEnd w:id="8"/>
            <w:r w:rsidRPr="00C62A80">
              <w:rPr>
                <w:rStyle w:val="ad"/>
                <w:lang w:val="uk-UA"/>
              </w:rPr>
              <w:commentReference w:id="8"/>
            </w:r>
          </w:p>
        </w:tc>
      </w:tr>
      <w:tr w:rsidR="00C62A80" w:rsidRPr="00C62A80" w14:paraId="324D057E" w14:textId="77777777" w:rsidTr="0039655F">
        <w:tc>
          <w:tcPr>
            <w:tcW w:w="555" w:type="dxa"/>
            <w:vAlign w:val="center"/>
            <w:hideMark/>
          </w:tcPr>
          <w:p w14:paraId="14DA7604" w14:textId="77777777" w:rsidR="00B11B8A" w:rsidRPr="00C62A80" w:rsidRDefault="00B11B8A" w:rsidP="0039655F">
            <w:pPr>
              <w:jc w:val="center"/>
              <w:rPr>
                <w:lang w:val="uk-UA"/>
              </w:rPr>
            </w:pPr>
            <w:r w:rsidRPr="00C62A80">
              <w:rPr>
                <w:lang w:val="uk-UA"/>
              </w:rPr>
              <w:t>4</w:t>
            </w:r>
          </w:p>
        </w:tc>
        <w:tc>
          <w:tcPr>
            <w:tcW w:w="5649" w:type="dxa"/>
            <w:hideMark/>
          </w:tcPr>
          <w:p w14:paraId="1BEE2C21" w14:textId="77777777" w:rsidR="00B11B8A" w:rsidRPr="00C62A80" w:rsidRDefault="00B11B8A" w:rsidP="0039655F">
            <w:pPr>
              <w:jc w:val="both"/>
              <w:rPr>
                <w:lang w:val="uk-UA"/>
              </w:rPr>
            </w:pPr>
            <w:r w:rsidRPr="00C62A80">
              <w:rPr>
                <w:lang w:val="uk-UA"/>
              </w:rPr>
              <w:t xml:space="preserve">Витрати, пов’язані з адмініструванням заходів державного нагляду (контролю) (перевірок, </w:t>
            </w:r>
            <w:r w:rsidRPr="00C62A80">
              <w:rPr>
                <w:lang w:val="uk-UA"/>
              </w:rPr>
              <w:lastRenderedPageBreak/>
              <w:t>штрафних санкцій, виконання рішень/приписів тощо), гривень</w:t>
            </w:r>
          </w:p>
        </w:tc>
        <w:tc>
          <w:tcPr>
            <w:tcW w:w="1701" w:type="dxa"/>
            <w:vAlign w:val="center"/>
            <w:hideMark/>
          </w:tcPr>
          <w:p w14:paraId="1B1FBC11" w14:textId="77777777" w:rsidR="00B11B8A" w:rsidRPr="00C62A80" w:rsidRDefault="00B11B8A" w:rsidP="0039655F">
            <w:pPr>
              <w:jc w:val="center"/>
              <w:rPr>
                <w:lang w:val="uk-UA"/>
              </w:rPr>
            </w:pPr>
            <w:r w:rsidRPr="00C62A80">
              <w:rPr>
                <w:lang w:val="uk-UA"/>
              </w:rPr>
              <w:lastRenderedPageBreak/>
              <w:t>0</w:t>
            </w:r>
          </w:p>
        </w:tc>
        <w:tc>
          <w:tcPr>
            <w:tcW w:w="1701" w:type="dxa"/>
          </w:tcPr>
          <w:p w14:paraId="2B7E95FE" w14:textId="77777777" w:rsidR="00B11B8A" w:rsidRPr="00C62A80" w:rsidRDefault="00B11B8A" w:rsidP="0039655F">
            <w:pPr>
              <w:jc w:val="center"/>
              <w:rPr>
                <w:lang w:val="uk-UA"/>
              </w:rPr>
            </w:pPr>
          </w:p>
        </w:tc>
      </w:tr>
      <w:tr w:rsidR="00C62A80" w:rsidRPr="00C62A80" w14:paraId="3798F0DF" w14:textId="77777777" w:rsidTr="0039655F">
        <w:tc>
          <w:tcPr>
            <w:tcW w:w="555" w:type="dxa"/>
            <w:vAlign w:val="center"/>
            <w:hideMark/>
          </w:tcPr>
          <w:p w14:paraId="4FD892E8" w14:textId="77777777" w:rsidR="00B11B8A" w:rsidRPr="00C62A80" w:rsidRDefault="00B11B8A" w:rsidP="0039655F">
            <w:pPr>
              <w:jc w:val="center"/>
              <w:rPr>
                <w:lang w:val="uk-UA"/>
              </w:rPr>
            </w:pPr>
            <w:r w:rsidRPr="00C62A80">
              <w:rPr>
                <w:lang w:val="uk-UA"/>
              </w:rPr>
              <w:t>5</w:t>
            </w:r>
          </w:p>
        </w:tc>
        <w:tc>
          <w:tcPr>
            <w:tcW w:w="5649" w:type="dxa"/>
            <w:hideMark/>
          </w:tcPr>
          <w:p w14:paraId="4288A9D8" w14:textId="77777777" w:rsidR="00B11B8A" w:rsidRPr="00C62A80" w:rsidRDefault="00B11B8A" w:rsidP="0039655F">
            <w:pPr>
              <w:jc w:val="both"/>
              <w:rPr>
                <w:lang w:val="uk-UA"/>
              </w:rPr>
            </w:pPr>
            <w:r w:rsidRPr="00C62A80">
              <w:rPr>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701" w:type="dxa"/>
            <w:vAlign w:val="center"/>
            <w:hideMark/>
          </w:tcPr>
          <w:p w14:paraId="0FE89BF6" w14:textId="77777777" w:rsidR="00B11B8A" w:rsidRPr="00C62A80" w:rsidRDefault="00B11B8A" w:rsidP="0039655F">
            <w:pPr>
              <w:jc w:val="center"/>
              <w:rPr>
                <w:lang w:val="uk-UA"/>
              </w:rPr>
            </w:pPr>
            <w:r w:rsidRPr="00C62A80">
              <w:rPr>
                <w:lang w:val="uk-UA"/>
              </w:rPr>
              <w:t>0</w:t>
            </w:r>
          </w:p>
        </w:tc>
        <w:tc>
          <w:tcPr>
            <w:tcW w:w="1701" w:type="dxa"/>
          </w:tcPr>
          <w:p w14:paraId="69B3F3B2" w14:textId="77777777" w:rsidR="00B11B8A" w:rsidRPr="00C62A80" w:rsidRDefault="00B11B8A" w:rsidP="0039655F">
            <w:pPr>
              <w:jc w:val="center"/>
              <w:rPr>
                <w:lang w:val="uk-UA"/>
              </w:rPr>
            </w:pPr>
          </w:p>
        </w:tc>
      </w:tr>
      <w:tr w:rsidR="00C62A80" w:rsidRPr="00C62A80" w14:paraId="79B0F95A" w14:textId="77777777" w:rsidTr="0039655F">
        <w:tc>
          <w:tcPr>
            <w:tcW w:w="555" w:type="dxa"/>
            <w:vAlign w:val="center"/>
            <w:hideMark/>
          </w:tcPr>
          <w:p w14:paraId="015D627F" w14:textId="77777777" w:rsidR="00B11B8A" w:rsidRPr="00C62A80" w:rsidRDefault="00B11B8A" w:rsidP="0039655F">
            <w:pPr>
              <w:jc w:val="center"/>
              <w:rPr>
                <w:lang w:val="uk-UA"/>
              </w:rPr>
            </w:pPr>
            <w:r w:rsidRPr="00C62A80">
              <w:rPr>
                <w:lang w:val="uk-UA"/>
              </w:rPr>
              <w:t>6</w:t>
            </w:r>
          </w:p>
        </w:tc>
        <w:tc>
          <w:tcPr>
            <w:tcW w:w="5649" w:type="dxa"/>
            <w:hideMark/>
          </w:tcPr>
          <w:p w14:paraId="7698608D" w14:textId="77777777" w:rsidR="00B11B8A" w:rsidRPr="00C62A80" w:rsidRDefault="00B11B8A" w:rsidP="0039655F">
            <w:pPr>
              <w:jc w:val="both"/>
              <w:rPr>
                <w:lang w:val="uk-UA"/>
              </w:rPr>
            </w:pPr>
            <w:r w:rsidRPr="00C62A80">
              <w:rPr>
                <w:lang w:val="uk-UA"/>
              </w:rPr>
              <w:t>Витрати на оборотні активи (матеріали, канцелярські товари тощо), гривень</w:t>
            </w:r>
          </w:p>
        </w:tc>
        <w:tc>
          <w:tcPr>
            <w:tcW w:w="1701" w:type="dxa"/>
            <w:vAlign w:val="center"/>
            <w:hideMark/>
          </w:tcPr>
          <w:p w14:paraId="4EBCE6D3" w14:textId="77777777" w:rsidR="00B11B8A" w:rsidRPr="00C62A80" w:rsidRDefault="00B11B8A" w:rsidP="0039655F">
            <w:pPr>
              <w:jc w:val="center"/>
              <w:rPr>
                <w:lang w:val="uk-UA"/>
              </w:rPr>
            </w:pPr>
            <w:r w:rsidRPr="00C62A80">
              <w:rPr>
                <w:lang w:val="uk-UA"/>
              </w:rPr>
              <w:t>0</w:t>
            </w:r>
          </w:p>
        </w:tc>
        <w:tc>
          <w:tcPr>
            <w:tcW w:w="1701" w:type="dxa"/>
          </w:tcPr>
          <w:p w14:paraId="3FF01DB8" w14:textId="77777777" w:rsidR="00B11B8A" w:rsidRPr="00C62A80" w:rsidRDefault="00B11B8A" w:rsidP="0039655F">
            <w:pPr>
              <w:jc w:val="center"/>
              <w:rPr>
                <w:lang w:val="uk-UA"/>
              </w:rPr>
            </w:pPr>
          </w:p>
        </w:tc>
      </w:tr>
      <w:tr w:rsidR="00C62A80" w:rsidRPr="00C62A80" w14:paraId="456D0AA2" w14:textId="77777777" w:rsidTr="0039655F">
        <w:tc>
          <w:tcPr>
            <w:tcW w:w="555" w:type="dxa"/>
            <w:vAlign w:val="center"/>
            <w:hideMark/>
          </w:tcPr>
          <w:p w14:paraId="155AE5E9" w14:textId="77777777" w:rsidR="00B11B8A" w:rsidRPr="00C62A80" w:rsidRDefault="00B11B8A" w:rsidP="0039655F">
            <w:pPr>
              <w:jc w:val="center"/>
              <w:rPr>
                <w:lang w:val="uk-UA"/>
              </w:rPr>
            </w:pPr>
            <w:r w:rsidRPr="00C62A80">
              <w:rPr>
                <w:lang w:val="uk-UA"/>
              </w:rPr>
              <w:t>7</w:t>
            </w:r>
          </w:p>
        </w:tc>
        <w:tc>
          <w:tcPr>
            <w:tcW w:w="5649" w:type="dxa"/>
            <w:hideMark/>
          </w:tcPr>
          <w:p w14:paraId="5B32EAFE" w14:textId="77777777" w:rsidR="00B11B8A" w:rsidRPr="00C62A80" w:rsidRDefault="00B11B8A" w:rsidP="0039655F">
            <w:pPr>
              <w:jc w:val="both"/>
              <w:rPr>
                <w:lang w:val="uk-UA"/>
              </w:rPr>
            </w:pPr>
            <w:r w:rsidRPr="00C62A80">
              <w:rPr>
                <w:lang w:val="uk-UA"/>
              </w:rPr>
              <w:t>Витрати, пов’язані із наймом додаткового персоналу, гривень</w:t>
            </w:r>
          </w:p>
        </w:tc>
        <w:tc>
          <w:tcPr>
            <w:tcW w:w="1701" w:type="dxa"/>
            <w:vAlign w:val="center"/>
            <w:hideMark/>
          </w:tcPr>
          <w:p w14:paraId="4B6DF9D3" w14:textId="77777777" w:rsidR="00B11B8A" w:rsidRPr="00C62A80" w:rsidRDefault="00B11B8A" w:rsidP="0039655F">
            <w:pPr>
              <w:jc w:val="center"/>
              <w:rPr>
                <w:lang w:val="uk-UA"/>
              </w:rPr>
            </w:pPr>
            <w:r w:rsidRPr="00C62A80">
              <w:rPr>
                <w:lang w:val="uk-UA"/>
              </w:rPr>
              <w:t>0</w:t>
            </w:r>
          </w:p>
        </w:tc>
        <w:tc>
          <w:tcPr>
            <w:tcW w:w="1701" w:type="dxa"/>
          </w:tcPr>
          <w:p w14:paraId="5515EE8A" w14:textId="77777777" w:rsidR="00B11B8A" w:rsidRPr="00C62A80" w:rsidRDefault="00B11B8A" w:rsidP="0039655F">
            <w:pPr>
              <w:jc w:val="center"/>
              <w:rPr>
                <w:lang w:val="uk-UA"/>
              </w:rPr>
            </w:pPr>
          </w:p>
        </w:tc>
      </w:tr>
      <w:tr w:rsidR="00C62A80" w:rsidRPr="00C62A80" w14:paraId="54F89402" w14:textId="77777777" w:rsidTr="0039655F">
        <w:tc>
          <w:tcPr>
            <w:tcW w:w="555" w:type="dxa"/>
            <w:vAlign w:val="center"/>
            <w:hideMark/>
          </w:tcPr>
          <w:p w14:paraId="033DD547" w14:textId="77777777" w:rsidR="00B11B8A" w:rsidRPr="00C62A80" w:rsidRDefault="00B11B8A" w:rsidP="0039655F">
            <w:pPr>
              <w:jc w:val="center"/>
              <w:rPr>
                <w:lang w:val="uk-UA"/>
              </w:rPr>
            </w:pPr>
            <w:r w:rsidRPr="00C62A80">
              <w:rPr>
                <w:lang w:val="uk-UA"/>
              </w:rPr>
              <w:t>8</w:t>
            </w:r>
          </w:p>
        </w:tc>
        <w:tc>
          <w:tcPr>
            <w:tcW w:w="5649" w:type="dxa"/>
            <w:hideMark/>
          </w:tcPr>
          <w:p w14:paraId="762BB1E6" w14:textId="77777777" w:rsidR="00B11B8A" w:rsidRPr="00C62A80" w:rsidRDefault="00B11B8A" w:rsidP="0039655F">
            <w:pPr>
              <w:jc w:val="both"/>
              <w:rPr>
                <w:lang w:val="uk-UA"/>
              </w:rPr>
            </w:pPr>
            <w:r w:rsidRPr="00C62A80">
              <w:rPr>
                <w:lang w:val="uk-UA"/>
              </w:rPr>
              <w:t>Інше (уточнити), гривень</w:t>
            </w:r>
          </w:p>
        </w:tc>
        <w:tc>
          <w:tcPr>
            <w:tcW w:w="1701" w:type="dxa"/>
            <w:vAlign w:val="center"/>
            <w:hideMark/>
          </w:tcPr>
          <w:p w14:paraId="0554ABBD" w14:textId="77777777" w:rsidR="00B11B8A" w:rsidRPr="00C62A80" w:rsidRDefault="00B11B8A" w:rsidP="0039655F">
            <w:pPr>
              <w:jc w:val="center"/>
              <w:rPr>
                <w:lang w:val="uk-UA"/>
              </w:rPr>
            </w:pPr>
            <w:r w:rsidRPr="00C62A80">
              <w:rPr>
                <w:lang w:val="uk-UA"/>
              </w:rPr>
              <w:t>0</w:t>
            </w:r>
          </w:p>
        </w:tc>
        <w:tc>
          <w:tcPr>
            <w:tcW w:w="1701" w:type="dxa"/>
          </w:tcPr>
          <w:p w14:paraId="1C4D1A59" w14:textId="77777777" w:rsidR="00B11B8A" w:rsidRPr="00C62A80" w:rsidRDefault="00B11B8A" w:rsidP="0039655F">
            <w:pPr>
              <w:jc w:val="center"/>
              <w:rPr>
                <w:lang w:val="uk-UA"/>
              </w:rPr>
            </w:pPr>
          </w:p>
        </w:tc>
      </w:tr>
      <w:tr w:rsidR="00C62A80" w:rsidRPr="00C62A80" w14:paraId="110B026D" w14:textId="77777777" w:rsidTr="0039655F">
        <w:tc>
          <w:tcPr>
            <w:tcW w:w="555" w:type="dxa"/>
            <w:vAlign w:val="center"/>
            <w:hideMark/>
          </w:tcPr>
          <w:p w14:paraId="5F52FC19" w14:textId="77777777" w:rsidR="00B11B8A" w:rsidRPr="00C62A80" w:rsidRDefault="00B11B8A" w:rsidP="0039655F">
            <w:pPr>
              <w:jc w:val="center"/>
              <w:rPr>
                <w:b/>
                <w:lang w:val="uk-UA"/>
              </w:rPr>
            </w:pPr>
            <w:r w:rsidRPr="00C62A80">
              <w:rPr>
                <w:b/>
                <w:lang w:val="uk-UA"/>
              </w:rPr>
              <w:t>9</w:t>
            </w:r>
          </w:p>
        </w:tc>
        <w:tc>
          <w:tcPr>
            <w:tcW w:w="5649" w:type="dxa"/>
            <w:hideMark/>
          </w:tcPr>
          <w:p w14:paraId="0D9E3017" w14:textId="77777777" w:rsidR="00B11B8A" w:rsidRPr="00C62A80" w:rsidRDefault="00B11B8A" w:rsidP="0039655F">
            <w:pPr>
              <w:jc w:val="both"/>
              <w:rPr>
                <w:b/>
                <w:lang w:val="uk-UA"/>
              </w:rPr>
            </w:pPr>
            <w:r w:rsidRPr="00C62A80">
              <w:rPr>
                <w:b/>
                <w:lang w:val="uk-UA"/>
              </w:rPr>
              <w:t>РАЗОМ (сума рядків: 1 + 2 + 3 + 4 + 5 + 6 + 7 + 8), гривень</w:t>
            </w:r>
          </w:p>
        </w:tc>
        <w:tc>
          <w:tcPr>
            <w:tcW w:w="1701" w:type="dxa"/>
            <w:vAlign w:val="center"/>
            <w:hideMark/>
          </w:tcPr>
          <w:p w14:paraId="08A79024" w14:textId="77777777" w:rsidR="00B11B8A" w:rsidRPr="00C62A80" w:rsidRDefault="00B11B8A" w:rsidP="0039655F">
            <w:pPr>
              <w:jc w:val="center"/>
              <w:rPr>
                <w:b/>
                <w:sz w:val="22"/>
                <w:szCs w:val="22"/>
                <w:lang w:val="uk-UA"/>
              </w:rPr>
            </w:pPr>
            <w:r w:rsidRPr="00C62A80">
              <w:rPr>
                <w:b/>
                <w:sz w:val="22"/>
                <w:szCs w:val="22"/>
                <w:lang w:val="uk-UA"/>
              </w:rPr>
              <w:t>175,2</w:t>
            </w:r>
          </w:p>
        </w:tc>
        <w:tc>
          <w:tcPr>
            <w:tcW w:w="1701" w:type="dxa"/>
            <w:vAlign w:val="center"/>
          </w:tcPr>
          <w:p w14:paraId="1F5167E2" w14:textId="77777777" w:rsidR="00B11B8A" w:rsidRPr="00C62A80" w:rsidRDefault="00B11B8A" w:rsidP="0039655F">
            <w:pPr>
              <w:jc w:val="center"/>
              <w:rPr>
                <w:b/>
                <w:sz w:val="22"/>
                <w:szCs w:val="22"/>
                <w:lang w:val="uk-UA"/>
              </w:rPr>
            </w:pPr>
            <w:r w:rsidRPr="00C62A80">
              <w:rPr>
                <w:b/>
                <w:sz w:val="22"/>
                <w:szCs w:val="22"/>
                <w:lang w:val="uk-UA"/>
              </w:rPr>
              <w:t>876</w:t>
            </w:r>
          </w:p>
        </w:tc>
      </w:tr>
      <w:tr w:rsidR="00C62A80" w:rsidRPr="00C62A80" w14:paraId="740B469C" w14:textId="77777777" w:rsidTr="0039655F">
        <w:tc>
          <w:tcPr>
            <w:tcW w:w="555" w:type="dxa"/>
            <w:vAlign w:val="center"/>
            <w:hideMark/>
          </w:tcPr>
          <w:p w14:paraId="6E68C159" w14:textId="77777777" w:rsidR="00B11B8A" w:rsidRPr="00C62A80" w:rsidRDefault="00B11B8A" w:rsidP="0039655F">
            <w:pPr>
              <w:jc w:val="center"/>
              <w:rPr>
                <w:b/>
                <w:lang w:val="uk-UA"/>
              </w:rPr>
            </w:pPr>
            <w:r w:rsidRPr="00C62A80">
              <w:rPr>
                <w:b/>
                <w:lang w:val="uk-UA"/>
              </w:rPr>
              <w:t>10</w:t>
            </w:r>
          </w:p>
        </w:tc>
        <w:tc>
          <w:tcPr>
            <w:tcW w:w="5649" w:type="dxa"/>
            <w:hideMark/>
          </w:tcPr>
          <w:p w14:paraId="43CE648C" w14:textId="77777777" w:rsidR="00B11B8A" w:rsidRPr="00C62A80" w:rsidRDefault="00B11B8A" w:rsidP="0039655F">
            <w:pPr>
              <w:jc w:val="both"/>
              <w:rPr>
                <w:b/>
                <w:lang w:val="uk-UA"/>
              </w:rPr>
            </w:pPr>
            <w:r w:rsidRPr="00C62A80">
              <w:rPr>
                <w:b/>
                <w:lang w:val="uk-UA"/>
              </w:rPr>
              <w:t>Кількість суб’єктів господарювання великого та середнього підприємництва, на яких буде поширено регулювання, одиниць</w:t>
            </w:r>
          </w:p>
        </w:tc>
        <w:tc>
          <w:tcPr>
            <w:tcW w:w="1701" w:type="dxa"/>
            <w:vAlign w:val="center"/>
            <w:hideMark/>
          </w:tcPr>
          <w:p w14:paraId="5FF43A61" w14:textId="77777777" w:rsidR="00B11B8A" w:rsidRPr="00C62A80" w:rsidRDefault="00B11B8A" w:rsidP="0039655F">
            <w:pPr>
              <w:jc w:val="center"/>
              <w:rPr>
                <w:b/>
                <w:lang w:val="uk-UA"/>
              </w:rPr>
            </w:pPr>
            <w:r w:rsidRPr="00C62A80">
              <w:rPr>
                <w:b/>
                <w:lang w:val="uk-UA"/>
              </w:rPr>
              <w:t>210</w:t>
            </w:r>
          </w:p>
        </w:tc>
        <w:tc>
          <w:tcPr>
            <w:tcW w:w="1701" w:type="dxa"/>
            <w:vAlign w:val="center"/>
          </w:tcPr>
          <w:p w14:paraId="37708E2E" w14:textId="77777777" w:rsidR="00B11B8A" w:rsidRPr="00C62A80" w:rsidRDefault="00B11B8A" w:rsidP="0039655F">
            <w:pPr>
              <w:jc w:val="center"/>
              <w:rPr>
                <w:b/>
                <w:lang w:val="uk-UA"/>
              </w:rPr>
            </w:pPr>
            <w:r w:rsidRPr="00C62A80">
              <w:rPr>
                <w:b/>
                <w:lang w:val="uk-UA"/>
              </w:rPr>
              <w:t>210</w:t>
            </w:r>
          </w:p>
        </w:tc>
      </w:tr>
      <w:tr w:rsidR="00C62A80" w:rsidRPr="00C62A80" w14:paraId="700B8540" w14:textId="77777777" w:rsidTr="0039655F">
        <w:tc>
          <w:tcPr>
            <w:tcW w:w="555" w:type="dxa"/>
            <w:vAlign w:val="center"/>
            <w:hideMark/>
          </w:tcPr>
          <w:p w14:paraId="6FA0CEF2" w14:textId="77777777" w:rsidR="00B11B8A" w:rsidRPr="00C62A80" w:rsidRDefault="00B11B8A" w:rsidP="0039655F">
            <w:pPr>
              <w:jc w:val="center"/>
              <w:rPr>
                <w:b/>
                <w:lang w:val="uk-UA"/>
              </w:rPr>
            </w:pPr>
            <w:r w:rsidRPr="00C62A80">
              <w:rPr>
                <w:b/>
                <w:lang w:val="uk-UA"/>
              </w:rPr>
              <w:t>11</w:t>
            </w:r>
          </w:p>
        </w:tc>
        <w:tc>
          <w:tcPr>
            <w:tcW w:w="5649" w:type="dxa"/>
            <w:hideMark/>
          </w:tcPr>
          <w:p w14:paraId="073018EC" w14:textId="77777777" w:rsidR="00B11B8A" w:rsidRPr="00C62A80" w:rsidRDefault="00B11B8A" w:rsidP="0039655F">
            <w:pPr>
              <w:jc w:val="both"/>
              <w:rPr>
                <w:b/>
                <w:lang w:val="uk-UA"/>
              </w:rPr>
            </w:pPr>
            <w:r w:rsidRPr="00C62A80">
              <w:rPr>
                <w:b/>
                <w:lang w:val="uk-UA"/>
              </w:rPr>
              <w:t>Сумарні витрати суб’єктів господарювання великого та середнього підприємництва на виконання регулювання (вартість регулювання) (рядок 9 × рядок 10), гривень</w:t>
            </w:r>
          </w:p>
          <w:p w14:paraId="5B38C4B7" w14:textId="77777777" w:rsidR="00B11B8A" w:rsidRPr="00C62A80" w:rsidRDefault="00B11B8A" w:rsidP="0039655F">
            <w:pPr>
              <w:pStyle w:val="a9"/>
              <w:spacing w:before="0" w:beforeAutospacing="0" w:after="0" w:afterAutospacing="0"/>
              <w:jc w:val="both"/>
              <w:rPr>
                <w:b/>
                <w:i/>
                <w:lang w:val="uk-UA"/>
              </w:rPr>
            </w:pPr>
            <w:r w:rsidRPr="00C62A80">
              <w:rPr>
                <w:b/>
                <w:i/>
                <w:lang w:val="uk-UA"/>
              </w:rPr>
              <w:t xml:space="preserve">(Витрати зі складання та надіслання засобами електронного зв’язку однієї: попередньої/додаткової попередньої заявки-розрахунку про потребу в марках акцизного податку*, заявки-розрахунку на придбання марок акцизного податку для маркування*, звіту про використання марок акцизного податку*, реєстру повернутих марок акцизного податку*) </w:t>
            </w:r>
          </w:p>
          <w:p w14:paraId="2BDF760D" w14:textId="77777777" w:rsidR="00B11B8A" w:rsidRPr="00C62A80" w:rsidRDefault="00B11B8A" w:rsidP="0039655F">
            <w:pPr>
              <w:pStyle w:val="a9"/>
              <w:spacing w:before="0" w:beforeAutospacing="0" w:after="0" w:afterAutospacing="0"/>
              <w:jc w:val="both"/>
              <w:rPr>
                <w:b/>
                <w:i/>
                <w:lang w:val="uk-UA"/>
              </w:rPr>
            </w:pPr>
          </w:p>
          <w:p w14:paraId="36C094D5" w14:textId="77777777" w:rsidR="00B11B8A" w:rsidRPr="00C62A80" w:rsidRDefault="00B11B8A" w:rsidP="0039655F">
            <w:pPr>
              <w:pStyle w:val="a9"/>
              <w:spacing w:before="0" w:beforeAutospacing="0" w:after="0" w:afterAutospacing="0"/>
              <w:jc w:val="both"/>
              <w:rPr>
                <w:sz w:val="22"/>
                <w:szCs w:val="22"/>
                <w:lang w:val="uk-UA"/>
              </w:rPr>
            </w:pPr>
            <w:r w:rsidRPr="00C62A80">
              <w:rPr>
                <w:sz w:val="22"/>
                <w:szCs w:val="22"/>
                <w:lang w:val="uk-UA"/>
              </w:rPr>
              <w:t>* залежно від потреб платників</w:t>
            </w:r>
          </w:p>
          <w:p w14:paraId="151A8D7E" w14:textId="77777777" w:rsidR="00B11B8A" w:rsidRPr="00C62A80" w:rsidRDefault="00B11B8A" w:rsidP="0039655F">
            <w:pPr>
              <w:jc w:val="both"/>
              <w:rPr>
                <w:b/>
                <w:lang w:val="uk-UA"/>
              </w:rPr>
            </w:pPr>
          </w:p>
        </w:tc>
        <w:tc>
          <w:tcPr>
            <w:tcW w:w="1701" w:type="dxa"/>
            <w:vAlign w:val="center"/>
            <w:hideMark/>
          </w:tcPr>
          <w:p w14:paraId="36B2D3A5" w14:textId="77777777" w:rsidR="00B11B8A" w:rsidRPr="00C62A80" w:rsidRDefault="00B11B8A" w:rsidP="0039655F">
            <w:pPr>
              <w:jc w:val="center"/>
              <w:rPr>
                <w:b/>
                <w:lang w:val="uk-UA"/>
              </w:rPr>
            </w:pPr>
            <w:r w:rsidRPr="00C62A80">
              <w:rPr>
                <w:b/>
                <w:lang w:val="uk-UA"/>
              </w:rPr>
              <w:t>36 792</w:t>
            </w:r>
          </w:p>
        </w:tc>
        <w:tc>
          <w:tcPr>
            <w:tcW w:w="1701" w:type="dxa"/>
            <w:vAlign w:val="center"/>
          </w:tcPr>
          <w:p w14:paraId="056E359D" w14:textId="77777777" w:rsidR="00B11B8A" w:rsidRPr="00C62A80" w:rsidRDefault="00B11B8A" w:rsidP="0039655F">
            <w:pPr>
              <w:jc w:val="center"/>
              <w:rPr>
                <w:b/>
                <w:lang w:val="uk-UA"/>
              </w:rPr>
            </w:pPr>
            <w:r w:rsidRPr="00C62A80">
              <w:rPr>
                <w:b/>
                <w:lang w:val="uk-UA"/>
              </w:rPr>
              <w:t>183 960</w:t>
            </w:r>
          </w:p>
        </w:tc>
      </w:tr>
    </w:tbl>
    <w:p w14:paraId="0503D174" w14:textId="77777777" w:rsidR="00B11B8A" w:rsidRPr="00C62A80" w:rsidRDefault="00B11B8A" w:rsidP="00B11B8A">
      <w:pPr>
        <w:ind w:right="-285"/>
        <w:jc w:val="both"/>
        <w:rPr>
          <w:sz w:val="28"/>
          <w:szCs w:val="28"/>
          <w:lang w:val="uk-UA"/>
        </w:rPr>
      </w:pPr>
    </w:p>
    <w:p w14:paraId="7E870383" w14:textId="77777777" w:rsidR="00B11B8A" w:rsidRPr="00C62A80" w:rsidRDefault="00B11B8A" w:rsidP="00B11B8A">
      <w:pPr>
        <w:ind w:right="-285"/>
        <w:jc w:val="both"/>
        <w:rPr>
          <w:sz w:val="28"/>
          <w:szCs w:val="28"/>
          <w:lang w:val="uk-UA"/>
        </w:rPr>
      </w:pPr>
    </w:p>
    <w:p w14:paraId="1C9EB785" w14:textId="77777777" w:rsidR="00B11B8A" w:rsidRPr="00C62A80" w:rsidRDefault="00B11B8A" w:rsidP="00B11B8A">
      <w:pPr>
        <w:ind w:right="-285"/>
        <w:jc w:val="both"/>
        <w:rPr>
          <w:sz w:val="28"/>
          <w:szCs w:val="28"/>
          <w:lang w:val="uk-UA"/>
        </w:rPr>
      </w:pPr>
    </w:p>
    <w:p w14:paraId="0FF337C5" w14:textId="77777777" w:rsidR="00B11B8A" w:rsidRPr="00C62A80" w:rsidRDefault="00B11B8A" w:rsidP="00B11B8A">
      <w:pPr>
        <w:rPr>
          <w:lang w:val="uk-UA"/>
        </w:rPr>
      </w:pPr>
    </w:p>
    <w:p w14:paraId="2CEC4A8C" w14:textId="77777777" w:rsidR="00075E56" w:rsidRPr="00C62A80" w:rsidRDefault="00075E56" w:rsidP="00B11B8A"/>
    <w:sectPr w:rsidR="00075E56" w:rsidRPr="00C62A80" w:rsidSect="000A1B80">
      <w:headerReference w:type="even" r:id="rId10"/>
      <w:headerReference w:type="default" r:id="rId11"/>
      <w:pgSz w:w="11906" w:h="16838"/>
      <w:pgMar w:top="1134" w:right="566"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МАРЧУК ОЛЬГА ІЛЛІВНА" w:date="2020-11-03T14:24:00Z" w:initials="МОІ">
    <w:p w14:paraId="00AF3ADD" w14:textId="77777777" w:rsidR="00B11B8A" w:rsidRPr="00BF3177" w:rsidRDefault="00B11B8A" w:rsidP="00B11B8A">
      <w:pPr>
        <w:pStyle w:val="ae"/>
        <w:rPr>
          <w:lang w:val="uk-UA"/>
        </w:rPr>
      </w:pPr>
      <w:r>
        <w:rPr>
          <w:rStyle w:val="ad"/>
        </w:rPr>
        <w:annotationRef/>
      </w:r>
      <w:r>
        <w:rPr>
          <w:lang w:val="uk-UA"/>
        </w:rPr>
        <w:t>Це правильно?</w:t>
      </w:r>
    </w:p>
  </w:comment>
  <w:comment w:id="2" w:author="МАРЧУК ОЛЬГА ІЛЛІВНА" w:date="2020-11-03T14:22:00Z" w:initials="МОІ">
    <w:p w14:paraId="5D71EFE6" w14:textId="77777777" w:rsidR="00B11B8A" w:rsidRPr="00A41935" w:rsidRDefault="00B11B8A" w:rsidP="00B11B8A">
      <w:pPr>
        <w:pStyle w:val="ae"/>
        <w:rPr>
          <w:lang w:val="uk-UA"/>
        </w:rPr>
      </w:pPr>
      <w:r>
        <w:rPr>
          <w:rStyle w:val="ad"/>
        </w:rPr>
        <w:annotationRef/>
      </w:r>
      <w:r>
        <w:rPr>
          <w:lang w:val="uk-UA"/>
        </w:rPr>
        <w:t>Тут має бути знак множення?</w:t>
      </w:r>
    </w:p>
  </w:comment>
  <w:comment w:id="3" w:author="МАРЧУК ОЛЬГА ІЛЛІВНА" w:date="2020-11-03T14:34:00Z" w:initials="МОІ">
    <w:p w14:paraId="770D2C8F" w14:textId="77777777" w:rsidR="00B11B8A" w:rsidRPr="009E33E8" w:rsidRDefault="00B11B8A" w:rsidP="00B11B8A">
      <w:pPr>
        <w:pStyle w:val="ae"/>
        <w:rPr>
          <w:lang w:val="uk-UA"/>
        </w:rPr>
      </w:pPr>
      <w:r>
        <w:rPr>
          <w:rStyle w:val="ad"/>
        </w:rPr>
        <w:annotationRef/>
      </w:r>
      <w:r>
        <w:rPr>
          <w:lang w:val="uk-UA"/>
        </w:rPr>
        <w:t>Тут знак множення?</w:t>
      </w:r>
    </w:p>
  </w:comment>
  <w:comment w:id="4" w:author="МАРЧУК ОЛЬГА ІЛЛІВНА" w:date="2020-11-03T14:49:00Z" w:initials="МОІ">
    <w:p w14:paraId="4F7365BB" w14:textId="77777777" w:rsidR="00B11B8A" w:rsidRDefault="00B11B8A" w:rsidP="00B11B8A">
      <w:pPr>
        <w:pStyle w:val="ae"/>
      </w:pPr>
      <w:r>
        <w:rPr>
          <w:rStyle w:val="ad"/>
        </w:rPr>
        <w:annotationRef/>
      </w:r>
    </w:p>
  </w:comment>
  <w:comment w:id="5" w:author="МАРЧУК ОЛЬГА ІЛЛІВНА" w:date="2020-11-03T14:48:00Z" w:initials="МОІ">
    <w:p w14:paraId="19129379" w14:textId="77777777" w:rsidR="00B11B8A" w:rsidRPr="00A96C59" w:rsidRDefault="00B11B8A" w:rsidP="00B11B8A">
      <w:pPr>
        <w:pStyle w:val="ae"/>
        <w:rPr>
          <w:lang w:val="uk-UA"/>
        </w:rPr>
      </w:pPr>
      <w:r>
        <w:rPr>
          <w:rStyle w:val="ad"/>
        </w:rPr>
        <w:annotationRef/>
      </w:r>
      <w:r>
        <w:rPr>
          <w:lang w:val="uk-UA"/>
        </w:rPr>
        <w:t>Термін чи строк?</w:t>
      </w:r>
    </w:p>
  </w:comment>
  <w:comment w:id="6" w:author="МАРЧУК ОЛЬГА ІЛЛІВНА" w:date="2020-11-03T15:01:00Z" w:initials="МОІ">
    <w:p w14:paraId="78B048F1" w14:textId="77777777" w:rsidR="00B11B8A" w:rsidRPr="00C512F6" w:rsidRDefault="00B11B8A" w:rsidP="00B11B8A">
      <w:pPr>
        <w:pStyle w:val="ae"/>
        <w:rPr>
          <w:lang w:val="uk-UA"/>
        </w:rPr>
      </w:pPr>
      <w:r>
        <w:rPr>
          <w:rStyle w:val="ad"/>
        </w:rPr>
        <w:annotationRef/>
      </w:r>
      <w:r>
        <w:rPr>
          <w:lang w:val="uk-UA"/>
        </w:rPr>
        <w:t>Це знак множення?</w:t>
      </w:r>
    </w:p>
  </w:comment>
  <w:comment w:id="7" w:author="МАРЧУК ОЛЬГА ІЛЛІВНА" w:date="2020-11-03T15:03:00Z" w:initials="МОІ">
    <w:p w14:paraId="1DEB4A67" w14:textId="77777777" w:rsidR="00B11B8A" w:rsidRDefault="00B11B8A" w:rsidP="00B11B8A">
      <w:pPr>
        <w:pStyle w:val="ae"/>
      </w:pPr>
      <w:r>
        <w:rPr>
          <w:rStyle w:val="ad"/>
        </w:rPr>
        <w:annotationRef/>
      </w:r>
    </w:p>
  </w:comment>
  <w:comment w:id="8" w:author="МАРЧУК ОЛЬГА ІЛЛІВНА" w:date="2020-11-03T15:03:00Z" w:initials="МОІ">
    <w:p w14:paraId="669206D7" w14:textId="77777777" w:rsidR="00B11B8A" w:rsidRDefault="00B11B8A" w:rsidP="00B11B8A">
      <w:pPr>
        <w:pStyle w:val="ae"/>
      </w:pPr>
      <w:r>
        <w:rPr>
          <w:rStyle w:val="ad"/>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AF3ADD" w15:done="0"/>
  <w15:commentEx w15:paraId="5D71EFE6" w15:done="0"/>
  <w15:commentEx w15:paraId="770D2C8F" w15:done="0"/>
  <w15:commentEx w15:paraId="4F7365BB" w15:done="0"/>
  <w15:commentEx w15:paraId="19129379" w15:done="0"/>
  <w15:commentEx w15:paraId="78B048F1" w15:done="0"/>
  <w15:commentEx w15:paraId="1DEB4A67" w15:done="0"/>
  <w15:commentEx w15:paraId="669206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35081A" w16cid:durableId="236A3A35"/>
  <w16cid:commentId w16cid:paraId="1084C2C9" w16cid:durableId="236A3A36"/>
  <w16cid:commentId w16cid:paraId="50315DBA" w16cid:durableId="236A3A37"/>
  <w16cid:commentId w16cid:paraId="10E59811" w16cid:durableId="236A3A38"/>
  <w16cid:commentId w16cid:paraId="53078271" w16cid:durableId="236A3A39"/>
  <w16cid:commentId w16cid:paraId="622400B7" w16cid:durableId="236A3A3A"/>
  <w16cid:commentId w16cid:paraId="1A3C5A41" w16cid:durableId="236A3A3B"/>
  <w16cid:commentId w16cid:paraId="185F2710" w16cid:durableId="236A3A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85ADE" w14:textId="77777777" w:rsidR="00394C06" w:rsidRDefault="00394C06">
      <w:r>
        <w:separator/>
      </w:r>
    </w:p>
  </w:endnote>
  <w:endnote w:type="continuationSeparator" w:id="0">
    <w:p w14:paraId="4D33F2BD" w14:textId="77777777" w:rsidR="00394C06" w:rsidRDefault="0039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3" w:usb1="00000000" w:usb2="00000000" w:usb3="00000000" w:csb0="00000005"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4C214" w14:textId="77777777" w:rsidR="00394C06" w:rsidRDefault="00394C06">
      <w:r>
        <w:separator/>
      </w:r>
    </w:p>
  </w:footnote>
  <w:footnote w:type="continuationSeparator" w:id="0">
    <w:p w14:paraId="3E326B22" w14:textId="77777777" w:rsidR="00394C06" w:rsidRDefault="0039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C3CFE" w14:textId="77777777" w:rsidR="00581D4B" w:rsidRDefault="000141D7" w:rsidP="00A4415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19CA076" w14:textId="77777777" w:rsidR="00581D4B" w:rsidRDefault="00394C0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8683D" w14:textId="4E1F8534" w:rsidR="00581D4B" w:rsidRDefault="000141D7" w:rsidP="00A4415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E69C5">
      <w:rPr>
        <w:rStyle w:val="a7"/>
        <w:noProof/>
      </w:rPr>
      <w:t>2</w:t>
    </w:r>
    <w:r>
      <w:rPr>
        <w:rStyle w:val="a7"/>
      </w:rPr>
      <w:fldChar w:fldCharType="end"/>
    </w:r>
  </w:p>
  <w:p w14:paraId="7943E790" w14:textId="77777777" w:rsidR="00581D4B" w:rsidRDefault="00394C0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64964"/>
    <w:multiLevelType w:val="hybridMultilevel"/>
    <w:tmpl w:val="39CA5864"/>
    <w:lvl w:ilvl="0" w:tplc="1402EEC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9C"/>
    <w:rsid w:val="000141D7"/>
    <w:rsid w:val="00075E56"/>
    <w:rsid w:val="000A0EEB"/>
    <w:rsid w:val="001168CA"/>
    <w:rsid w:val="001562AC"/>
    <w:rsid w:val="00307B1B"/>
    <w:rsid w:val="00321A39"/>
    <w:rsid w:val="0035588D"/>
    <w:rsid w:val="00394C06"/>
    <w:rsid w:val="003C1946"/>
    <w:rsid w:val="003C5F0B"/>
    <w:rsid w:val="003E69C5"/>
    <w:rsid w:val="00412D25"/>
    <w:rsid w:val="005006FA"/>
    <w:rsid w:val="005105EC"/>
    <w:rsid w:val="00520849"/>
    <w:rsid w:val="005640CC"/>
    <w:rsid w:val="005D189E"/>
    <w:rsid w:val="006043AE"/>
    <w:rsid w:val="008327E9"/>
    <w:rsid w:val="008E01E9"/>
    <w:rsid w:val="008F1DAF"/>
    <w:rsid w:val="00980CE9"/>
    <w:rsid w:val="0098479C"/>
    <w:rsid w:val="009927C3"/>
    <w:rsid w:val="009B75D9"/>
    <w:rsid w:val="00A52F92"/>
    <w:rsid w:val="00A6077C"/>
    <w:rsid w:val="00B11B8A"/>
    <w:rsid w:val="00B466E1"/>
    <w:rsid w:val="00B768C0"/>
    <w:rsid w:val="00C0644D"/>
    <w:rsid w:val="00C57C42"/>
    <w:rsid w:val="00C62A80"/>
    <w:rsid w:val="00CC748B"/>
    <w:rsid w:val="00D22CDD"/>
    <w:rsid w:val="00DE331D"/>
    <w:rsid w:val="00E333E0"/>
    <w:rsid w:val="00EB77E2"/>
    <w:rsid w:val="00EF1E5D"/>
    <w:rsid w:val="00F00C20"/>
    <w:rsid w:val="00F01FC3"/>
    <w:rsid w:val="00F06A58"/>
    <w:rsid w:val="00FD0A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8269"/>
  <w15:chartTrackingRefBased/>
  <w15:docId w15:val="{D3D796A0-80F4-483F-A357-DBC627A9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1D7"/>
    <w:pPr>
      <w:spacing w:line="240" w:lineRule="auto"/>
      <w:jc w:val="left"/>
    </w:pPr>
    <w:rPr>
      <w:rFonts w:eastAsia="Times New Roman"/>
      <w:sz w:val="24"/>
      <w:szCs w:val="24"/>
      <w:lang w:val="ru-RU" w:eastAsia="ru-RU"/>
    </w:rPr>
  </w:style>
  <w:style w:type="paragraph" w:styleId="3">
    <w:name w:val="heading 3"/>
    <w:basedOn w:val="a"/>
    <w:link w:val="30"/>
    <w:qFormat/>
    <w:rsid w:val="000141D7"/>
    <w:pPr>
      <w:spacing w:before="100" w:beforeAutospacing="1" w:after="100" w:afterAutospacing="1"/>
      <w:outlineLvl w:val="2"/>
    </w:pPr>
    <w:rPr>
      <w:rFonts w:eastAsia="SimSu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141D7"/>
    <w:rPr>
      <w:rFonts w:eastAsia="SimSun"/>
      <w:b/>
      <w:bCs/>
      <w:sz w:val="27"/>
      <w:szCs w:val="27"/>
      <w:lang w:val="ru-RU" w:eastAsia="ru-RU"/>
    </w:rPr>
  </w:style>
  <w:style w:type="paragraph" w:styleId="a3">
    <w:name w:val="Body Text"/>
    <w:basedOn w:val="a"/>
    <w:link w:val="a4"/>
    <w:rsid w:val="000141D7"/>
    <w:pPr>
      <w:jc w:val="center"/>
    </w:pPr>
    <w:rPr>
      <w:rFonts w:ascii="Times New Roman CYR" w:hAnsi="Times New Roman CYR"/>
      <w:b/>
      <w:sz w:val="32"/>
      <w:szCs w:val="20"/>
      <w:lang w:val="uk-UA"/>
    </w:rPr>
  </w:style>
  <w:style w:type="character" w:customStyle="1" w:styleId="a4">
    <w:name w:val="Основний текст Знак"/>
    <w:basedOn w:val="a0"/>
    <w:link w:val="a3"/>
    <w:rsid w:val="000141D7"/>
    <w:rPr>
      <w:rFonts w:ascii="Times New Roman CYR" w:eastAsia="Times New Roman" w:hAnsi="Times New Roman CYR"/>
      <w:b/>
      <w:sz w:val="32"/>
      <w:szCs w:val="20"/>
      <w:lang w:eastAsia="ru-RU"/>
    </w:rPr>
  </w:style>
  <w:style w:type="paragraph" w:styleId="a5">
    <w:name w:val="header"/>
    <w:basedOn w:val="a"/>
    <w:link w:val="a6"/>
    <w:rsid w:val="000141D7"/>
    <w:pPr>
      <w:tabs>
        <w:tab w:val="center" w:pos="4677"/>
        <w:tab w:val="right" w:pos="9355"/>
      </w:tabs>
    </w:pPr>
  </w:style>
  <w:style w:type="character" w:customStyle="1" w:styleId="a6">
    <w:name w:val="Верхній колонтитул Знак"/>
    <w:basedOn w:val="a0"/>
    <w:link w:val="a5"/>
    <w:rsid w:val="000141D7"/>
    <w:rPr>
      <w:rFonts w:eastAsia="Times New Roman"/>
      <w:sz w:val="24"/>
      <w:szCs w:val="24"/>
      <w:lang w:val="ru-RU" w:eastAsia="ru-RU"/>
    </w:rPr>
  </w:style>
  <w:style w:type="character" w:styleId="a7">
    <w:name w:val="page number"/>
    <w:basedOn w:val="a0"/>
    <w:rsid w:val="000141D7"/>
  </w:style>
  <w:style w:type="paragraph" w:customStyle="1" w:styleId="a8">
    <w:name w:val="a"/>
    <w:basedOn w:val="a"/>
    <w:rsid w:val="000141D7"/>
    <w:pPr>
      <w:spacing w:before="100" w:beforeAutospacing="1" w:after="100" w:afterAutospacing="1"/>
    </w:pPr>
  </w:style>
  <w:style w:type="paragraph" w:customStyle="1" w:styleId="Default">
    <w:name w:val="Default"/>
    <w:rsid w:val="000141D7"/>
    <w:pPr>
      <w:autoSpaceDE w:val="0"/>
      <w:autoSpaceDN w:val="0"/>
      <w:adjustRightInd w:val="0"/>
      <w:spacing w:line="240" w:lineRule="auto"/>
      <w:jc w:val="left"/>
    </w:pPr>
    <w:rPr>
      <w:rFonts w:eastAsia="Calibri"/>
      <w:color w:val="000000"/>
      <w:sz w:val="24"/>
      <w:szCs w:val="24"/>
      <w:lang w:val="ru-RU" w:eastAsia="ru-RU"/>
    </w:rPr>
  </w:style>
  <w:style w:type="paragraph" w:styleId="a9">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aa"/>
    <w:uiPriority w:val="99"/>
    <w:unhideWhenUsed/>
    <w:rsid w:val="000141D7"/>
    <w:pPr>
      <w:spacing w:before="100" w:beforeAutospacing="1" w:after="100" w:afterAutospacing="1"/>
    </w:pPr>
  </w:style>
  <w:style w:type="character" w:customStyle="1" w:styleId="aa">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
    <w:link w:val="a9"/>
    <w:uiPriority w:val="99"/>
    <w:locked/>
    <w:rsid w:val="000141D7"/>
    <w:rPr>
      <w:rFonts w:eastAsia="Times New Roman"/>
      <w:sz w:val="24"/>
      <w:szCs w:val="24"/>
      <w:lang w:val="ru-RU" w:eastAsia="ru-RU"/>
    </w:rPr>
  </w:style>
  <w:style w:type="paragraph" w:customStyle="1" w:styleId="ab">
    <w:name w:val="Нормальний текст"/>
    <w:basedOn w:val="a"/>
    <w:rsid w:val="000141D7"/>
    <w:pPr>
      <w:spacing w:before="120"/>
      <w:ind w:firstLine="567"/>
      <w:jc w:val="both"/>
    </w:pPr>
    <w:rPr>
      <w:rFonts w:ascii="Antiqua" w:hAnsi="Antiqua" w:cs="Antiqua"/>
      <w:sz w:val="26"/>
      <w:szCs w:val="26"/>
      <w:lang w:val="uk-UA"/>
    </w:rPr>
  </w:style>
  <w:style w:type="paragraph" w:styleId="ac">
    <w:name w:val="No Spacing"/>
    <w:uiPriority w:val="1"/>
    <w:qFormat/>
    <w:rsid w:val="000141D7"/>
    <w:pPr>
      <w:spacing w:line="240" w:lineRule="auto"/>
      <w:jc w:val="left"/>
    </w:pPr>
    <w:rPr>
      <w:rFonts w:ascii="Calibri" w:eastAsia="Calibri" w:hAnsi="Calibri"/>
      <w:sz w:val="22"/>
      <w:szCs w:val="22"/>
    </w:rPr>
  </w:style>
  <w:style w:type="character" w:styleId="ad">
    <w:name w:val="annotation reference"/>
    <w:uiPriority w:val="99"/>
    <w:semiHidden/>
    <w:unhideWhenUsed/>
    <w:rsid w:val="000141D7"/>
    <w:rPr>
      <w:sz w:val="16"/>
      <w:szCs w:val="16"/>
    </w:rPr>
  </w:style>
  <w:style w:type="paragraph" w:styleId="ae">
    <w:name w:val="annotation text"/>
    <w:basedOn w:val="a"/>
    <w:link w:val="af"/>
    <w:uiPriority w:val="99"/>
    <w:semiHidden/>
    <w:unhideWhenUsed/>
    <w:rsid w:val="000141D7"/>
    <w:rPr>
      <w:sz w:val="20"/>
      <w:szCs w:val="20"/>
    </w:rPr>
  </w:style>
  <w:style w:type="character" w:customStyle="1" w:styleId="af">
    <w:name w:val="Текст примітки Знак"/>
    <w:basedOn w:val="a0"/>
    <w:link w:val="ae"/>
    <w:uiPriority w:val="99"/>
    <w:semiHidden/>
    <w:rsid w:val="000141D7"/>
    <w:rPr>
      <w:rFonts w:eastAsia="Times New Roman"/>
      <w:sz w:val="20"/>
      <w:szCs w:val="20"/>
      <w:lang w:val="ru-RU" w:eastAsia="ru-RU"/>
    </w:rPr>
  </w:style>
  <w:style w:type="paragraph" w:styleId="af0">
    <w:name w:val="Balloon Text"/>
    <w:basedOn w:val="a"/>
    <w:link w:val="af1"/>
    <w:uiPriority w:val="99"/>
    <w:semiHidden/>
    <w:unhideWhenUsed/>
    <w:rsid w:val="00321A39"/>
    <w:rPr>
      <w:rFonts w:ascii="Segoe UI" w:hAnsi="Segoe UI" w:cs="Segoe UI"/>
      <w:sz w:val="18"/>
      <w:szCs w:val="18"/>
    </w:rPr>
  </w:style>
  <w:style w:type="character" w:customStyle="1" w:styleId="af1">
    <w:name w:val="Текст у виносці Знак"/>
    <w:basedOn w:val="a0"/>
    <w:link w:val="af0"/>
    <w:uiPriority w:val="99"/>
    <w:semiHidden/>
    <w:rsid w:val="00321A3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D1BB3-2BC7-4ED3-AC88-35695B93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16951</Words>
  <Characters>9663</Characters>
  <Application>Microsoft Office Word</Application>
  <DocSecurity>0</DocSecurity>
  <Lines>80</Lines>
  <Paragraphs>53</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Лісовський Юрій Іванович</dc:creator>
  <cp:keywords/>
  <dc:description/>
  <cp:lastModifiedBy>Лісовський Юрій Іванович</cp:lastModifiedBy>
  <cp:revision>2</cp:revision>
  <cp:lastPrinted>2020-11-26T08:44:00Z</cp:lastPrinted>
  <dcterms:created xsi:type="dcterms:W3CDTF">2020-12-15T15:02:00Z</dcterms:created>
  <dcterms:modified xsi:type="dcterms:W3CDTF">2020-12-15T15:02:00Z</dcterms:modified>
</cp:coreProperties>
</file>