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5FD71" w14:textId="7014BCDE" w:rsidR="00715559" w:rsidRPr="001C4834" w:rsidRDefault="007C3EE2" w:rsidP="00B93D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834">
        <w:rPr>
          <w:rFonts w:ascii="Times New Roman" w:eastAsia="Times New Roman" w:hAnsi="Times New Roman" w:cs="Times New Roman"/>
          <w:b/>
          <w:sz w:val="28"/>
          <w:szCs w:val="28"/>
        </w:rPr>
        <w:t>АНАЛІЗ РЕГУЛЯТОРНОГО ВПЛИВУ</w:t>
      </w:r>
    </w:p>
    <w:p w14:paraId="097B36F5" w14:textId="33C7BD3F" w:rsidR="00B345F8" w:rsidRPr="001C4834" w:rsidRDefault="00264C30" w:rsidP="00B93D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C4834">
        <w:rPr>
          <w:rFonts w:ascii="Times New Roman" w:eastAsia="Times New Roman" w:hAnsi="Times New Roman" w:cs="Times New Roman"/>
          <w:b/>
          <w:sz w:val="28"/>
          <w:szCs w:val="28"/>
        </w:rPr>
        <w:t>про</w:t>
      </w:r>
      <w:r w:rsidR="00D458E9" w:rsidRPr="001C4834">
        <w:rPr>
          <w:rFonts w:ascii="Times New Roman" w:eastAsia="Times New Roman" w:hAnsi="Times New Roman" w:cs="Times New Roman"/>
          <w:b/>
          <w:sz w:val="28"/>
          <w:szCs w:val="28"/>
        </w:rPr>
        <w:t>є</w:t>
      </w:r>
      <w:r w:rsidRPr="001C4834">
        <w:rPr>
          <w:rFonts w:ascii="Times New Roman" w:eastAsia="Times New Roman" w:hAnsi="Times New Roman" w:cs="Times New Roman"/>
          <w:b/>
          <w:sz w:val="28"/>
          <w:szCs w:val="28"/>
        </w:rPr>
        <w:t>кту</w:t>
      </w:r>
      <w:proofErr w:type="spellEnd"/>
      <w:r w:rsidRPr="001C48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5A49" w:rsidRPr="00285A49">
        <w:rPr>
          <w:rFonts w:ascii="Times New Roman" w:hAnsi="Times New Roman" w:cs="Times New Roman"/>
          <w:b/>
          <w:sz w:val="28"/>
          <w:szCs w:val="28"/>
        </w:rPr>
        <w:t xml:space="preserve">постанови Кабінету Міністрів України «Про внесення змін до Порядку реалізації товарів на митних аукціонах, </w:t>
      </w:r>
      <w:proofErr w:type="spellStart"/>
      <w:r w:rsidR="00285A49" w:rsidRPr="00285A49">
        <w:rPr>
          <w:rFonts w:ascii="Times New Roman" w:hAnsi="Times New Roman" w:cs="Times New Roman"/>
          <w:b/>
          <w:sz w:val="28"/>
          <w:szCs w:val="28"/>
        </w:rPr>
        <w:t>редукціонах</w:t>
      </w:r>
      <w:proofErr w:type="spellEnd"/>
      <w:r w:rsidR="00285A49" w:rsidRPr="00285A49">
        <w:rPr>
          <w:rFonts w:ascii="Times New Roman" w:hAnsi="Times New Roman" w:cs="Times New Roman"/>
          <w:b/>
          <w:sz w:val="28"/>
          <w:szCs w:val="28"/>
        </w:rPr>
        <w:t>»</w:t>
      </w:r>
    </w:p>
    <w:p w14:paraId="07EFC97C" w14:textId="55849817" w:rsidR="00F73F18" w:rsidRDefault="00F73F18" w:rsidP="00B93D0A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7FDA66" w14:textId="2BB94BF3" w:rsidR="00F73F18" w:rsidRPr="001C4834" w:rsidRDefault="007C3EE2" w:rsidP="00432F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834">
        <w:rPr>
          <w:rFonts w:ascii="Times New Roman" w:eastAsia="Times New Roman" w:hAnsi="Times New Roman" w:cs="Times New Roman"/>
          <w:b/>
          <w:sz w:val="28"/>
          <w:szCs w:val="28"/>
        </w:rPr>
        <w:t>І. Визначення проблеми</w:t>
      </w:r>
    </w:p>
    <w:p w14:paraId="720A012A" w14:textId="77777777" w:rsidR="00285A49" w:rsidRPr="00285A49" w:rsidRDefault="00285A49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49">
        <w:rPr>
          <w:rFonts w:ascii="Times New Roman" w:eastAsia="Times New Roman" w:hAnsi="Times New Roman" w:cs="Times New Roman"/>
          <w:sz w:val="28"/>
          <w:szCs w:val="28"/>
        </w:rPr>
        <w:t xml:space="preserve">З моменту набрання чинності постановою Кабінету Міністрів України від 04 грудня 2019 року № 1050 «Про затвердження Порядку реалізації товарів на митних аукціонах, </w:t>
      </w:r>
      <w:proofErr w:type="spellStart"/>
      <w:r w:rsidRPr="00285A49">
        <w:rPr>
          <w:rFonts w:ascii="Times New Roman" w:eastAsia="Times New Roman" w:hAnsi="Times New Roman" w:cs="Times New Roman"/>
          <w:sz w:val="28"/>
          <w:szCs w:val="28"/>
        </w:rPr>
        <w:t>редукціонах</w:t>
      </w:r>
      <w:proofErr w:type="spellEnd"/>
      <w:r w:rsidRPr="00285A49">
        <w:rPr>
          <w:rFonts w:ascii="Times New Roman" w:eastAsia="Times New Roman" w:hAnsi="Times New Roman" w:cs="Times New Roman"/>
          <w:sz w:val="28"/>
          <w:szCs w:val="28"/>
        </w:rPr>
        <w:t xml:space="preserve"> та визнання такими, що втратили чинність, деяких постанов Кабінету Міністрів України» реалізація товарів на митних аукціонах та </w:t>
      </w:r>
      <w:proofErr w:type="spellStart"/>
      <w:r w:rsidRPr="00285A49">
        <w:rPr>
          <w:rFonts w:ascii="Times New Roman" w:eastAsia="Times New Roman" w:hAnsi="Times New Roman" w:cs="Times New Roman"/>
          <w:sz w:val="28"/>
          <w:szCs w:val="28"/>
        </w:rPr>
        <w:t>редукціонах</w:t>
      </w:r>
      <w:proofErr w:type="spellEnd"/>
      <w:r w:rsidRPr="00285A49">
        <w:rPr>
          <w:rFonts w:ascii="Times New Roman" w:eastAsia="Times New Roman" w:hAnsi="Times New Roman" w:cs="Times New Roman"/>
          <w:sz w:val="28"/>
          <w:szCs w:val="28"/>
        </w:rPr>
        <w:t xml:space="preserve"> здійснюється виключно в електронній торговій системі, адміністратором якої визначено акціонерне товариство «ПРОЗОРРО.ПРОДАЖІ», управління корпоративними правами щодо якого здійснює Міністерство економіки України.</w:t>
      </w:r>
    </w:p>
    <w:p w14:paraId="1B4D9034" w14:textId="34E7DA25" w:rsidR="00285A49" w:rsidRDefault="00285A49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49">
        <w:rPr>
          <w:rFonts w:ascii="Times New Roman" w:eastAsia="Times New Roman" w:hAnsi="Times New Roman" w:cs="Times New Roman"/>
          <w:sz w:val="28"/>
          <w:szCs w:val="28"/>
        </w:rPr>
        <w:t xml:space="preserve">Аналіз результатів проведення митних аукціонів та </w:t>
      </w:r>
      <w:proofErr w:type="spellStart"/>
      <w:r w:rsidRPr="00285A49">
        <w:rPr>
          <w:rFonts w:ascii="Times New Roman" w:eastAsia="Times New Roman" w:hAnsi="Times New Roman" w:cs="Times New Roman"/>
          <w:sz w:val="28"/>
          <w:szCs w:val="28"/>
        </w:rPr>
        <w:t>редукціонів</w:t>
      </w:r>
      <w:proofErr w:type="spellEnd"/>
      <w:r w:rsidRPr="00285A49">
        <w:rPr>
          <w:rFonts w:ascii="Times New Roman" w:eastAsia="Times New Roman" w:hAnsi="Times New Roman" w:cs="Times New Roman"/>
          <w:sz w:val="28"/>
          <w:szCs w:val="28"/>
        </w:rPr>
        <w:t xml:space="preserve"> за останні роки засвідчує не достатню ефективність діючого механізму проведення електронних торгів, адже в багатьох випадках товар вдається реалізувати тільки на </w:t>
      </w:r>
      <w:proofErr w:type="spellStart"/>
      <w:r w:rsidRPr="00285A49">
        <w:rPr>
          <w:rFonts w:ascii="Times New Roman" w:eastAsia="Times New Roman" w:hAnsi="Times New Roman" w:cs="Times New Roman"/>
          <w:sz w:val="28"/>
          <w:szCs w:val="28"/>
        </w:rPr>
        <w:t>редукціоні</w:t>
      </w:r>
      <w:proofErr w:type="spellEnd"/>
      <w:r w:rsidRPr="00285A49">
        <w:rPr>
          <w:rFonts w:ascii="Times New Roman" w:eastAsia="Times New Roman" w:hAnsi="Times New Roman" w:cs="Times New Roman"/>
          <w:sz w:val="28"/>
          <w:szCs w:val="28"/>
        </w:rPr>
        <w:t xml:space="preserve"> за мінімальною ціною (аналітичні дані наведені у таблиці 1).</w:t>
      </w:r>
    </w:p>
    <w:p w14:paraId="24CAFE1D" w14:textId="77777777" w:rsidR="00285A49" w:rsidRPr="00285A49" w:rsidRDefault="00285A49" w:rsidP="00B93D0A">
      <w:pPr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8"/>
        </w:rPr>
      </w:pPr>
      <w:r w:rsidRPr="00285A49">
        <w:rPr>
          <w:rFonts w:ascii="Times New Roman" w:hAnsi="Times New Roman" w:cs="Times New Roman"/>
          <w:bCs/>
          <w:color w:val="000000"/>
          <w:sz w:val="28"/>
        </w:rPr>
        <w:t>Таблиця 1</w:t>
      </w:r>
    </w:p>
    <w:p w14:paraId="1A8357B5" w14:textId="77777777" w:rsidR="00285A49" w:rsidRDefault="00285A49" w:rsidP="00B93D0A">
      <w:pPr>
        <w:shd w:val="clear" w:color="auto" w:fill="FFFFFF"/>
        <w:spacing w:line="240" w:lineRule="auto"/>
        <w:jc w:val="both"/>
        <w:rPr>
          <w:bCs/>
          <w:color w:val="000000"/>
        </w:rPr>
      </w:pPr>
      <w:r w:rsidRPr="00EB3DEF">
        <w:rPr>
          <w:noProof/>
        </w:rPr>
        <w:drawing>
          <wp:inline distT="0" distB="0" distL="0" distR="0" wp14:anchorId="3BC884EF" wp14:editId="16A097EC">
            <wp:extent cx="6031230" cy="1364963"/>
            <wp:effectExtent l="0" t="0" r="762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36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BB1E2" w14:textId="77777777" w:rsidR="00285A49" w:rsidRPr="00285A49" w:rsidRDefault="00285A49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49">
        <w:rPr>
          <w:rFonts w:ascii="Times New Roman" w:eastAsia="Times New Roman" w:hAnsi="Times New Roman" w:cs="Times New Roman"/>
          <w:sz w:val="28"/>
          <w:szCs w:val="28"/>
        </w:rPr>
        <w:t xml:space="preserve">Також систематичними є завершення митних аукціонів та </w:t>
      </w:r>
      <w:proofErr w:type="spellStart"/>
      <w:r w:rsidRPr="00285A49">
        <w:rPr>
          <w:rFonts w:ascii="Times New Roman" w:eastAsia="Times New Roman" w:hAnsi="Times New Roman" w:cs="Times New Roman"/>
          <w:sz w:val="28"/>
          <w:szCs w:val="28"/>
        </w:rPr>
        <w:t>редукціонів</w:t>
      </w:r>
      <w:proofErr w:type="spellEnd"/>
      <w:r w:rsidRPr="00285A49">
        <w:rPr>
          <w:rFonts w:ascii="Times New Roman" w:eastAsia="Times New Roman" w:hAnsi="Times New Roman" w:cs="Times New Roman"/>
          <w:sz w:val="28"/>
          <w:szCs w:val="28"/>
        </w:rPr>
        <w:t xml:space="preserve"> без визначення переможця у зв’язку з відсутністю зареєстрованих учасників, причиною чого може бути як і відсутність попиту на сформовані митницями лоти, так і відсутність належного </w:t>
      </w:r>
      <w:proofErr w:type="spellStart"/>
      <w:r w:rsidRPr="00285A49">
        <w:rPr>
          <w:rFonts w:ascii="Times New Roman" w:eastAsia="Times New Roman" w:hAnsi="Times New Roman" w:cs="Times New Roman"/>
          <w:sz w:val="28"/>
          <w:szCs w:val="28"/>
        </w:rPr>
        <w:t>обізнання</w:t>
      </w:r>
      <w:proofErr w:type="spellEnd"/>
      <w:r w:rsidRPr="00285A49">
        <w:rPr>
          <w:rFonts w:ascii="Times New Roman" w:eastAsia="Times New Roman" w:hAnsi="Times New Roman" w:cs="Times New Roman"/>
          <w:sz w:val="28"/>
          <w:szCs w:val="28"/>
        </w:rPr>
        <w:t xml:space="preserve"> громадськості про потенційні можливості придбання товару у такий спосіб.</w:t>
      </w:r>
    </w:p>
    <w:p w14:paraId="2352CC1B" w14:textId="08EE08DA" w:rsidR="00F73F18" w:rsidRDefault="00285A49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49">
        <w:rPr>
          <w:rFonts w:ascii="Times New Roman" w:eastAsia="Times New Roman" w:hAnsi="Times New Roman" w:cs="Times New Roman"/>
          <w:sz w:val="28"/>
          <w:szCs w:val="28"/>
        </w:rPr>
        <w:t>Крім того, діючим порядком не визначено дієвого механізму взаємодії між замовником (відповідною митницею) та оператором електронного майданчика в частині оперативного доведення інформації про хід торгів, що в деяких випадках може мати наслідком порушення встановленого порядку їх проведення.</w:t>
      </w:r>
    </w:p>
    <w:p w14:paraId="2ED648EC" w14:textId="5A88E95C" w:rsidR="00423005" w:rsidRDefault="00423005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Отже, проблемою, яку необхідно врегулювати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є</w:t>
      </w:r>
      <w:r w:rsidR="00F81A7D">
        <w:rPr>
          <w:rFonts w:ascii="Times New Roman" w:eastAsia="Times New Roman" w:hAnsi="Times New Roman" w:cs="Times New Roman"/>
          <w:sz w:val="28"/>
          <w:szCs w:val="28"/>
        </w:rPr>
        <w:t xml:space="preserve"> низька ефективність</w:t>
      </w:r>
      <w:r w:rsidRPr="00423005">
        <w:rPr>
          <w:rFonts w:ascii="Times New Roman" w:eastAsia="Times New Roman" w:hAnsi="Times New Roman" w:cs="Times New Roman"/>
          <w:sz w:val="28"/>
          <w:szCs w:val="28"/>
        </w:rPr>
        <w:t xml:space="preserve"> продажу товарів на</w:t>
      </w:r>
      <w:r w:rsidR="00C722C0">
        <w:rPr>
          <w:rFonts w:ascii="Times New Roman" w:eastAsia="Times New Roman" w:hAnsi="Times New Roman" w:cs="Times New Roman"/>
          <w:sz w:val="28"/>
          <w:szCs w:val="28"/>
        </w:rPr>
        <w:t xml:space="preserve"> митних аукціонах, </w:t>
      </w:r>
      <w:proofErr w:type="spellStart"/>
      <w:r w:rsidR="00C722C0">
        <w:rPr>
          <w:rFonts w:ascii="Times New Roman" w:eastAsia="Times New Roman" w:hAnsi="Times New Roman" w:cs="Times New Roman"/>
          <w:sz w:val="28"/>
          <w:szCs w:val="28"/>
        </w:rPr>
        <w:t>редукціонах</w:t>
      </w:r>
      <w:proofErr w:type="spellEnd"/>
      <w:r w:rsidR="00C722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9BFCC4" w14:textId="7D8FCF85" w:rsidR="00423005" w:rsidRDefault="00423005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Вирішення зазначеної проблеми можливе шляхом внесення змін до </w:t>
      </w:r>
      <w:r w:rsidRPr="00423005">
        <w:rPr>
          <w:rFonts w:ascii="Times New Roman" w:eastAsia="Times New Roman" w:hAnsi="Times New Roman" w:cs="Times New Roman"/>
          <w:sz w:val="28"/>
          <w:szCs w:val="28"/>
        </w:rPr>
        <w:t xml:space="preserve">Порядку реалізації товарів на митних аукціонах, </w:t>
      </w:r>
      <w:proofErr w:type="spellStart"/>
      <w:r w:rsidRPr="00423005">
        <w:rPr>
          <w:rFonts w:ascii="Times New Roman" w:eastAsia="Times New Roman" w:hAnsi="Times New Roman" w:cs="Times New Roman"/>
          <w:sz w:val="28"/>
          <w:szCs w:val="28"/>
        </w:rPr>
        <w:t>редукціонах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затвердженого постановою Кабінету Міністрів України від </w:t>
      </w:r>
      <w:r w:rsidRPr="00423005">
        <w:rPr>
          <w:rFonts w:ascii="Times New Roman" w:eastAsia="Times New Roman" w:hAnsi="Times New Roman" w:cs="Times New Roman"/>
          <w:sz w:val="28"/>
          <w:szCs w:val="28"/>
        </w:rPr>
        <w:t>04 грудня 2019 року № 1050</w:t>
      </w:r>
      <w:r w:rsidR="00F81A7D">
        <w:rPr>
          <w:rFonts w:ascii="Times New Roman" w:eastAsia="Times New Roman" w:hAnsi="Times New Roman" w:cs="Times New Roman"/>
          <w:sz w:val="28"/>
          <w:szCs w:val="28"/>
        </w:rPr>
        <w:t xml:space="preserve">, якими </w:t>
      </w:r>
      <w:proofErr w:type="spellStart"/>
      <w:r w:rsidR="00F81A7D">
        <w:rPr>
          <w:rFonts w:ascii="Times New Roman" w:eastAsia="Times New Roman" w:hAnsi="Times New Roman" w:cs="Times New Roman"/>
          <w:sz w:val="28"/>
          <w:szCs w:val="28"/>
        </w:rPr>
        <w:t>передбачатиметься</w:t>
      </w:r>
      <w:proofErr w:type="spellEnd"/>
      <w:r w:rsidR="00F81A7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C60A067" w14:textId="3C5315F6" w:rsidR="00F81A7D" w:rsidRPr="00F81A7D" w:rsidRDefault="00F81A7D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A7D">
        <w:rPr>
          <w:rFonts w:ascii="Times New Roman" w:eastAsia="Times New Roman" w:hAnsi="Times New Roman" w:cs="Times New Roman"/>
          <w:sz w:val="28"/>
          <w:szCs w:val="28"/>
        </w:rPr>
        <w:t xml:space="preserve">запровадження нового алгоритму проведення електронних аукціонів (замість виставлення нереалізованого на третьому митному аукціоні товару одразу для продажу на </w:t>
      </w:r>
      <w:proofErr w:type="spellStart"/>
      <w:r w:rsidRPr="00F81A7D">
        <w:rPr>
          <w:rFonts w:ascii="Times New Roman" w:eastAsia="Times New Roman" w:hAnsi="Times New Roman" w:cs="Times New Roman"/>
          <w:sz w:val="28"/>
          <w:szCs w:val="28"/>
        </w:rPr>
        <w:t>редукціоні</w:t>
      </w:r>
      <w:proofErr w:type="spellEnd"/>
      <w:r w:rsidRPr="00F81A7D">
        <w:rPr>
          <w:rFonts w:ascii="Times New Roman" w:eastAsia="Times New Roman" w:hAnsi="Times New Roman" w:cs="Times New Roman"/>
          <w:sz w:val="28"/>
          <w:szCs w:val="28"/>
        </w:rPr>
        <w:t xml:space="preserve">, запроваджується ділення такого лота на менші за обсягом лоти та проведення нових (першого, другого, третього) митних аукціонів і лише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після цього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редукціон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кінцеву форму</w:t>
      </w:r>
      <w:r w:rsidRPr="00F81A7D">
        <w:rPr>
          <w:rFonts w:ascii="Times New Roman" w:eastAsia="Times New Roman" w:hAnsi="Times New Roman" w:cs="Times New Roman"/>
          <w:sz w:val="28"/>
          <w:szCs w:val="28"/>
        </w:rPr>
        <w:t xml:space="preserve"> електронних торгів);</w:t>
      </w:r>
    </w:p>
    <w:p w14:paraId="41F64F2F" w14:textId="77777777" w:rsidR="00F81A7D" w:rsidRPr="00F81A7D" w:rsidRDefault="00F81A7D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A7D">
        <w:rPr>
          <w:rFonts w:ascii="Times New Roman" w:eastAsia="Times New Roman" w:hAnsi="Times New Roman" w:cs="Times New Roman"/>
          <w:sz w:val="28"/>
          <w:szCs w:val="28"/>
        </w:rPr>
        <w:lastRenderedPageBreak/>
        <w:t>збільшення кількості товарів, які виставлятимуться в реалізацію на електронних аукціонах (виключається вартісна межа для таких товарів, наявність якої була доцільна тільки на етапі впровадження електронних аукціонів);</w:t>
      </w:r>
    </w:p>
    <w:p w14:paraId="214887A8" w14:textId="0407CE85" w:rsidR="00F81A7D" w:rsidRPr="00F81A7D" w:rsidRDefault="00F81A7D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A7D">
        <w:rPr>
          <w:rFonts w:ascii="Times New Roman" w:eastAsia="Times New Roman" w:hAnsi="Times New Roman" w:cs="Times New Roman"/>
          <w:sz w:val="28"/>
          <w:szCs w:val="28"/>
        </w:rPr>
        <w:t>покращення взаємодії митниць з операторами електронних майданчиків (митниці як замовнику електронного аукціону надаватиметься доступ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особистий кабінет</w:t>
      </w:r>
      <w:r w:rsidRPr="00F81A7D">
        <w:rPr>
          <w:rFonts w:ascii="Times New Roman" w:eastAsia="Times New Roman" w:hAnsi="Times New Roman" w:cs="Times New Roman"/>
          <w:sz w:val="28"/>
          <w:szCs w:val="28"/>
        </w:rPr>
        <w:t xml:space="preserve"> до електронної торгової системи, що сприятиме оперативному обміну інформацією);</w:t>
      </w:r>
    </w:p>
    <w:p w14:paraId="4D4CD6B0" w14:textId="68907774" w:rsidR="00F81A7D" w:rsidRDefault="00F81A7D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уніфікація</w:t>
      </w:r>
      <w:r w:rsidRPr="00F81A7D">
        <w:rPr>
          <w:rFonts w:ascii="Times New Roman" w:eastAsia="Times New Roman" w:hAnsi="Times New Roman" w:cs="Times New Roman"/>
          <w:sz w:val="28"/>
          <w:szCs w:val="28"/>
        </w:rPr>
        <w:t xml:space="preserve"> форм документів, які складаються при організації та 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ні електронних аукціонів (заявка</w:t>
      </w:r>
      <w:r w:rsidRPr="00F81A7D">
        <w:rPr>
          <w:rFonts w:ascii="Times New Roman" w:eastAsia="Times New Roman" w:hAnsi="Times New Roman" w:cs="Times New Roman"/>
          <w:sz w:val="28"/>
          <w:szCs w:val="28"/>
        </w:rPr>
        <w:t xml:space="preserve"> на провед</w:t>
      </w:r>
      <w:r>
        <w:rPr>
          <w:rFonts w:ascii="Times New Roman" w:eastAsia="Times New Roman" w:hAnsi="Times New Roman" w:cs="Times New Roman"/>
          <w:sz w:val="28"/>
          <w:szCs w:val="28"/>
        </w:rPr>
        <w:t>ення електронного аукціону, акт</w:t>
      </w:r>
      <w:r w:rsidRPr="00F81A7D">
        <w:rPr>
          <w:rFonts w:ascii="Times New Roman" w:eastAsia="Times New Roman" w:hAnsi="Times New Roman" w:cs="Times New Roman"/>
          <w:sz w:val="28"/>
          <w:szCs w:val="28"/>
        </w:rPr>
        <w:t xml:space="preserve"> про придбання товару на електронному аукціоні).</w:t>
      </w:r>
    </w:p>
    <w:p w14:paraId="65BC55C1" w14:textId="77777777" w:rsidR="00423005" w:rsidRDefault="00423005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8CA983" w14:textId="05AB8308" w:rsidR="007A78DC" w:rsidRDefault="007A78DC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34">
        <w:rPr>
          <w:rFonts w:ascii="Times New Roman" w:eastAsia="Times New Roman" w:hAnsi="Times New Roman" w:cs="Times New Roman"/>
          <w:sz w:val="28"/>
          <w:szCs w:val="28"/>
        </w:rPr>
        <w:t>Основні групи</w:t>
      </w:r>
      <w:r w:rsidR="00897951" w:rsidRPr="001C4834">
        <w:rPr>
          <w:rFonts w:ascii="Times New Roman" w:eastAsia="Times New Roman" w:hAnsi="Times New Roman" w:cs="Times New Roman"/>
          <w:sz w:val="28"/>
          <w:szCs w:val="28"/>
        </w:rPr>
        <w:t xml:space="preserve"> (підгрупи)</w:t>
      </w:r>
      <w:r w:rsidRPr="001C4834">
        <w:rPr>
          <w:rFonts w:ascii="Times New Roman" w:eastAsia="Times New Roman" w:hAnsi="Times New Roman" w:cs="Times New Roman"/>
          <w:sz w:val="28"/>
          <w:szCs w:val="28"/>
        </w:rPr>
        <w:t>, на які проблема справляє вплив:</w:t>
      </w:r>
    </w:p>
    <w:tbl>
      <w:tblPr>
        <w:tblStyle w:val="af8"/>
        <w:tblW w:w="9634" w:type="dxa"/>
        <w:jc w:val="center"/>
        <w:tblLook w:val="04A0" w:firstRow="1" w:lastRow="0" w:firstColumn="1" w:lastColumn="0" w:noHBand="0" w:noVBand="1"/>
      </w:tblPr>
      <w:tblGrid>
        <w:gridCol w:w="6232"/>
        <w:gridCol w:w="1701"/>
        <w:gridCol w:w="1701"/>
      </w:tblGrid>
      <w:tr w:rsidR="00326D57" w:rsidRPr="00326D57" w14:paraId="0918E11F" w14:textId="77777777" w:rsidTr="00F81A7D">
        <w:trPr>
          <w:jc w:val="center"/>
        </w:trPr>
        <w:tc>
          <w:tcPr>
            <w:tcW w:w="6232" w:type="dxa"/>
          </w:tcPr>
          <w:p w14:paraId="511BA7F3" w14:textId="4B7A89E6" w:rsidR="00326D57" w:rsidRPr="00326D57" w:rsidRDefault="00326D57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57">
              <w:rPr>
                <w:rFonts w:ascii="Times New Roman" w:hAnsi="Times New Roman" w:cs="Times New Roman"/>
                <w:sz w:val="24"/>
                <w:szCs w:val="24"/>
              </w:rPr>
              <w:t>Групи (підгрупи)</w:t>
            </w:r>
          </w:p>
        </w:tc>
        <w:tc>
          <w:tcPr>
            <w:tcW w:w="1701" w:type="dxa"/>
          </w:tcPr>
          <w:p w14:paraId="2D06F4D0" w14:textId="37092A1A" w:rsidR="00326D57" w:rsidRPr="00326D57" w:rsidRDefault="00326D57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57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701" w:type="dxa"/>
          </w:tcPr>
          <w:p w14:paraId="7EEA99BD" w14:textId="75A0F059" w:rsidR="00326D57" w:rsidRPr="00326D57" w:rsidRDefault="00326D57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57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326D57" w:rsidRPr="00326D57" w14:paraId="63D41E1D" w14:textId="77777777" w:rsidTr="00F81A7D">
        <w:trPr>
          <w:jc w:val="center"/>
        </w:trPr>
        <w:tc>
          <w:tcPr>
            <w:tcW w:w="6232" w:type="dxa"/>
          </w:tcPr>
          <w:p w14:paraId="1A8126AD" w14:textId="26F3B16C" w:rsidR="00326D57" w:rsidRPr="00326D57" w:rsidRDefault="00326D57" w:rsidP="00B93D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57">
              <w:rPr>
                <w:rFonts w:ascii="Times New Roman" w:hAnsi="Times New Roman" w:cs="Times New Roman"/>
                <w:sz w:val="24"/>
                <w:szCs w:val="24"/>
              </w:rPr>
              <w:t>Громадяни</w:t>
            </w:r>
          </w:p>
        </w:tc>
        <w:tc>
          <w:tcPr>
            <w:tcW w:w="1701" w:type="dxa"/>
          </w:tcPr>
          <w:p w14:paraId="67B5681A" w14:textId="56E2BEC2" w:rsidR="00326D57" w:rsidRPr="009F1ADC" w:rsidRDefault="009F1ADC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14:paraId="3567A28F" w14:textId="4DF54B68" w:rsidR="00326D57" w:rsidRPr="009F1ADC" w:rsidRDefault="009F1ADC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326D57" w:rsidRPr="00326D57" w14:paraId="4392F188" w14:textId="77777777" w:rsidTr="00F81A7D">
        <w:trPr>
          <w:jc w:val="center"/>
        </w:trPr>
        <w:tc>
          <w:tcPr>
            <w:tcW w:w="6232" w:type="dxa"/>
          </w:tcPr>
          <w:p w14:paraId="5B943A64" w14:textId="0AA8A319" w:rsidR="00326D57" w:rsidRPr="00326D57" w:rsidRDefault="00326D57" w:rsidP="00B93D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57">
              <w:rPr>
                <w:rFonts w:ascii="Times New Roman" w:hAnsi="Times New Roman" w:cs="Times New Roman"/>
                <w:sz w:val="24"/>
                <w:szCs w:val="24"/>
              </w:rPr>
              <w:t>Держава</w:t>
            </w:r>
          </w:p>
        </w:tc>
        <w:tc>
          <w:tcPr>
            <w:tcW w:w="1701" w:type="dxa"/>
          </w:tcPr>
          <w:p w14:paraId="6090F1D5" w14:textId="0285AC56" w:rsidR="00326D57" w:rsidRPr="00326D57" w:rsidRDefault="00326D57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339A5A9C" w14:textId="5D30FFD6" w:rsidR="00326D57" w:rsidRPr="00326D57" w:rsidRDefault="00326D57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D57" w:rsidRPr="00326D57" w14:paraId="3E68785F" w14:textId="77777777" w:rsidTr="00F81A7D">
        <w:trPr>
          <w:jc w:val="center"/>
        </w:trPr>
        <w:tc>
          <w:tcPr>
            <w:tcW w:w="6232" w:type="dxa"/>
          </w:tcPr>
          <w:p w14:paraId="7748C698" w14:textId="4CAE7A5C" w:rsidR="00326D57" w:rsidRPr="00326D57" w:rsidRDefault="00F81A7D" w:rsidP="00B93D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Суб’єкти господарювання</w:t>
            </w:r>
          </w:p>
        </w:tc>
        <w:tc>
          <w:tcPr>
            <w:tcW w:w="1701" w:type="dxa"/>
          </w:tcPr>
          <w:p w14:paraId="3DF7AD67" w14:textId="49D18318" w:rsidR="00326D57" w:rsidRPr="00F81A7D" w:rsidRDefault="00326D57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61C42FBE" w14:textId="3A432E06" w:rsidR="00326D57" w:rsidRPr="00326D57" w:rsidRDefault="00326D57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A7D" w:rsidRPr="00326D57" w14:paraId="3A42EAB3" w14:textId="77777777" w:rsidTr="00F81A7D">
        <w:trPr>
          <w:jc w:val="center"/>
        </w:trPr>
        <w:tc>
          <w:tcPr>
            <w:tcW w:w="6232" w:type="dxa"/>
          </w:tcPr>
          <w:p w14:paraId="0451F217" w14:textId="24BBFA72" w:rsidR="00F81A7D" w:rsidRPr="00326D57" w:rsidRDefault="00F81A7D" w:rsidP="00B93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57">
              <w:rPr>
                <w:rFonts w:ascii="Times New Roman" w:hAnsi="Times New Roman" w:cs="Times New Roman"/>
                <w:sz w:val="24"/>
                <w:szCs w:val="24"/>
              </w:rPr>
              <w:t xml:space="preserve">у тому числі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суб’єкти малого підприємництва</w:t>
            </w:r>
          </w:p>
        </w:tc>
        <w:tc>
          <w:tcPr>
            <w:tcW w:w="1701" w:type="dxa"/>
          </w:tcPr>
          <w:p w14:paraId="56C10318" w14:textId="55D435A4" w:rsidR="00F81A7D" w:rsidRDefault="00F81A7D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45A08609" w14:textId="2388DB31" w:rsidR="00F81A7D" w:rsidRPr="00F81A7D" w:rsidRDefault="00F81A7D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14:paraId="2FCF5F31" w14:textId="77777777" w:rsidR="00326D57" w:rsidRDefault="00326D57" w:rsidP="00B93D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2A1A1D" w14:textId="44A0269D" w:rsidR="000066D7" w:rsidRPr="001C4834" w:rsidRDefault="000066D7" w:rsidP="00B93D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834">
        <w:rPr>
          <w:rFonts w:ascii="Times New Roman" w:hAnsi="Times New Roman" w:cs="Times New Roman"/>
          <w:sz w:val="28"/>
          <w:szCs w:val="28"/>
        </w:rPr>
        <w:t xml:space="preserve">Врегулювання </w:t>
      </w:r>
      <w:r w:rsidR="00F81A7D">
        <w:rPr>
          <w:rFonts w:ascii="Times New Roman" w:hAnsi="Times New Roman" w:cs="Times New Roman"/>
          <w:sz w:val="28"/>
          <w:szCs w:val="28"/>
        </w:rPr>
        <w:t>визначеної проблеми</w:t>
      </w:r>
      <w:r w:rsidRPr="001C4834">
        <w:rPr>
          <w:rFonts w:ascii="Times New Roman" w:hAnsi="Times New Roman" w:cs="Times New Roman"/>
          <w:sz w:val="28"/>
          <w:szCs w:val="28"/>
        </w:rPr>
        <w:t xml:space="preserve"> не може бути здійснено за допомогою:</w:t>
      </w:r>
    </w:p>
    <w:p w14:paraId="7E38923D" w14:textId="77777777" w:rsidR="000066D7" w:rsidRPr="001C4834" w:rsidRDefault="000066D7" w:rsidP="00B93D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834">
        <w:rPr>
          <w:rFonts w:ascii="Times New Roman" w:hAnsi="Times New Roman" w:cs="Times New Roman"/>
          <w:sz w:val="28"/>
          <w:szCs w:val="28"/>
        </w:rPr>
        <w:t>ринкових механізмів, оскільки такі питання регулюються виключно нормативно-правовими актами;</w:t>
      </w:r>
    </w:p>
    <w:p w14:paraId="09F12C51" w14:textId="11399135" w:rsidR="00115BB4" w:rsidRDefault="00115BB4" w:rsidP="00B93D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чинних регуляторних актів</w:t>
      </w:r>
      <w:r w:rsidR="000066D7" w:rsidRPr="001C4834">
        <w:rPr>
          <w:rFonts w:ascii="Times New Roman" w:hAnsi="Times New Roman" w:cs="Times New Roman"/>
          <w:sz w:val="28"/>
          <w:szCs w:val="28"/>
        </w:rPr>
        <w:t>, оскільки</w:t>
      </w:r>
      <w:r>
        <w:rPr>
          <w:rFonts w:ascii="Times New Roman" w:hAnsi="Times New Roman" w:cs="Times New Roman"/>
          <w:sz w:val="28"/>
          <w:szCs w:val="28"/>
        </w:rPr>
        <w:t xml:space="preserve"> постанова Кабінету Міністрів України </w:t>
      </w:r>
      <w:r w:rsidRPr="00115BB4">
        <w:rPr>
          <w:rFonts w:ascii="Times New Roman" w:hAnsi="Times New Roman" w:cs="Times New Roman"/>
          <w:sz w:val="28"/>
          <w:szCs w:val="28"/>
        </w:rPr>
        <w:t>від 04 грудня 2019 року № 1050</w:t>
      </w:r>
      <w:r>
        <w:rPr>
          <w:rFonts w:ascii="Times New Roman" w:hAnsi="Times New Roman" w:cs="Times New Roman"/>
          <w:sz w:val="28"/>
          <w:szCs w:val="28"/>
        </w:rPr>
        <w:t xml:space="preserve"> у чинній редакції не забезпечує ефективну реалізацію товарів на митних аукціонах,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редукціонах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56D8860" w14:textId="77777777" w:rsidR="00115BB4" w:rsidRDefault="00115BB4" w:rsidP="00B93D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AFA067" w14:textId="77777777" w:rsidR="005F58AB" w:rsidRPr="001C4834" w:rsidRDefault="00CD4EE6" w:rsidP="00432F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834">
        <w:rPr>
          <w:rFonts w:ascii="Times New Roman" w:eastAsia="Times New Roman" w:hAnsi="Times New Roman" w:cs="Times New Roman"/>
          <w:b/>
          <w:sz w:val="28"/>
          <w:szCs w:val="28"/>
        </w:rPr>
        <w:t>ІІ. Цілі державного регулювання</w:t>
      </w:r>
    </w:p>
    <w:p w14:paraId="72D43762" w14:textId="0651F454" w:rsidR="004B7436" w:rsidRDefault="004B7436" w:rsidP="004B74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Ціллю</w:t>
      </w:r>
      <w:r w:rsidR="00C81910" w:rsidRPr="00C81910">
        <w:rPr>
          <w:rFonts w:ascii="Times New Roman" w:eastAsia="Times New Roman" w:hAnsi="Times New Roman" w:cs="Times New Roman"/>
          <w:sz w:val="28"/>
          <w:szCs w:val="28"/>
        </w:rPr>
        <w:t xml:space="preserve"> державного регулювання</w:t>
      </w:r>
      <w:r>
        <w:rPr>
          <w:rFonts w:ascii="Times New Roman" w:eastAsia="Times New Roman" w:hAnsi="Times New Roman" w:cs="Times New Roman"/>
          <w:sz w:val="28"/>
          <w:szCs w:val="28"/>
        </w:rPr>
        <w:t>, яка безпосередньо пов’язана з розв’язанням проблеми, є п</w:t>
      </w:r>
      <w:r w:rsidRPr="004B7436">
        <w:rPr>
          <w:rFonts w:ascii="Times New Roman" w:eastAsia="Times New Roman" w:hAnsi="Times New Roman" w:cs="Times New Roman"/>
          <w:sz w:val="28"/>
          <w:szCs w:val="28"/>
        </w:rPr>
        <w:t xml:space="preserve">ідвищення ефективності реалізації товарів </w:t>
      </w:r>
      <w:r>
        <w:rPr>
          <w:rFonts w:ascii="Times New Roman" w:hAnsi="Times New Roman" w:cs="Times New Roman"/>
          <w:sz w:val="28"/>
          <w:szCs w:val="28"/>
        </w:rPr>
        <w:t xml:space="preserve">на митних аукціонах,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редукціонах</w:t>
      </w:r>
      <w:proofErr w:type="spellEnd"/>
      <w:r w:rsidRPr="004B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шляхом:</w:t>
      </w:r>
    </w:p>
    <w:p w14:paraId="1580548A" w14:textId="650F0514" w:rsidR="004B7436" w:rsidRDefault="004B7436" w:rsidP="004B74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оптимізації</w:t>
      </w:r>
      <w:r w:rsidRPr="004B7436">
        <w:rPr>
          <w:rFonts w:ascii="Times New Roman" w:eastAsia="Times New Roman" w:hAnsi="Times New Roman" w:cs="Times New Roman"/>
          <w:sz w:val="28"/>
          <w:szCs w:val="28"/>
        </w:rPr>
        <w:t xml:space="preserve"> механізму проведення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електронних </w:t>
      </w:r>
      <w:r w:rsidRPr="004B7436">
        <w:rPr>
          <w:rFonts w:ascii="Times New Roman" w:eastAsia="Times New Roman" w:hAnsi="Times New Roman" w:cs="Times New Roman"/>
          <w:sz w:val="28"/>
          <w:szCs w:val="28"/>
        </w:rPr>
        <w:t>торгів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8F1F55" w14:textId="0048DD22" w:rsidR="004B7436" w:rsidRDefault="004B7436" w:rsidP="004B74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збільшення асортименту товарів, які виставлятимуться для продажу;</w:t>
      </w:r>
    </w:p>
    <w:p w14:paraId="6619D31A" w14:textId="5F54700D" w:rsidR="004B7436" w:rsidRDefault="004B7436" w:rsidP="004B74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B7436">
        <w:rPr>
          <w:rFonts w:ascii="Times New Roman" w:eastAsia="Times New Roman" w:hAnsi="Times New Roman" w:cs="Times New Roman"/>
          <w:sz w:val="28"/>
          <w:szCs w:val="28"/>
        </w:rPr>
        <w:t>досконалення взаємодії між митницями та операторами електронних майданчиків для покращення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адміністрування процесу торгів;</w:t>
      </w:r>
    </w:p>
    <w:p w14:paraId="455B7BAA" w14:textId="76FD7938" w:rsidR="00432FC6" w:rsidRDefault="00432FC6" w:rsidP="004B74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визначення типових форм документів, які складаються під час торгів.</w:t>
      </w:r>
    </w:p>
    <w:p w14:paraId="2256B241" w14:textId="77777777" w:rsidR="004B7436" w:rsidRDefault="004B7436" w:rsidP="004B74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FEB665" w14:textId="104781D8" w:rsidR="00834E27" w:rsidRPr="001C4834" w:rsidRDefault="00DE60E7" w:rsidP="00432F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834">
        <w:rPr>
          <w:rFonts w:ascii="Times New Roman" w:eastAsia="Times New Roman" w:hAnsi="Times New Roman" w:cs="Times New Roman"/>
          <w:b/>
          <w:sz w:val="28"/>
          <w:szCs w:val="28"/>
        </w:rPr>
        <w:t>ІІІ. Визначення та оцінка альтернативних способів досягнення цілей</w:t>
      </w:r>
    </w:p>
    <w:p w14:paraId="13A802EE" w14:textId="51CDA96B" w:rsidR="00AC3C55" w:rsidRPr="001C4834" w:rsidRDefault="007914A0" w:rsidP="00B93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3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515C0">
        <w:rPr>
          <w:rFonts w:ascii="Times New Roman" w:eastAsia="Times New Roman" w:hAnsi="Times New Roman" w:cs="Times New Roman"/>
          <w:sz w:val="28"/>
          <w:szCs w:val="28"/>
        </w:rPr>
        <w:t>Визначення альтернативних способів</w:t>
      </w:r>
    </w:p>
    <w:tbl>
      <w:tblPr>
        <w:tblStyle w:val="a6"/>
        <w:tblW w:w="5074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980"/>
        <w:gridCol w:w="7794"/>
      </w:tblGrid>
      <w:tr w:rsidR="00C94208" w:rsidRPr="001C4834" w14:paraId="3C615063" w14:textId="77777777" w:rsidTr="00B9044F">
        <w:trPr>
          <w:trHeight w:val="94"/>
        </w:trPr>
        <w:tc>
          <w:tcPr>
            <w:tcW w:w="101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52DD1" w14:textId="77777777" w:rsidR="00AC3C55" w:rsidRPr="001C4834" w:rsidRDefault="00AC3C55" w:rsidP="00B93D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Вид альтернативи</w:t>
            </w:r>
          </w:p>
        </w:tc>
        <w:tc>
          <w:tcPr>
            <w:tcW w:w="398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B7E19" w14:textId="77777777" w:rsidR="00AC3C55" w:rsidRPr="001C4834" w:rsidRDefault="00AC3C55" w:rsidP="00B93D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Опис альтернативи</w:t>
            </w:r>
          </w:p>
        </w:tc>
      </w:tr>
      <w:tr w:rsidR="00C94208" w:rsidRPr="001C4834" w14:paraId="62EBAEF2" w14:textId="77777777" w:rsidTr="00B9044F">
        <w:trPr>
          <w:trHeight w:val="311"/>
        </w:trPr>
        <w:tc>
          <w:tcPr>
            <w:tcW w:w="101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5AE7E" w14:textId="5DBB2C5E" w:rsidR="00B9044F" w:rsidRPr="001C4834" w:rsidRDefault="00AC3C55" w:rsidP="00851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Альтернатива 1</w:t>
            </w:r>
            <w:r w:rsidR="00BE27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: </w:t>
            </w:r>
            <w:r w:rsidR="008515C0">
              <w:rPr>
                <w:rFonts w:ascii="Times New Roman" w:eastAsia="Times New Roman" w:hAnsi="Times New Roman" w:cs="Times New Roman"/>
                <w:sz w:val="24"/>
                <w:szCs w:val="28"/>
              </w:rPr>
              <w:t>залишення</w:t>
            </w:r>
            <w:r w:rsid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існуючої ситуації без змін</w:t>
            </w:r>
          </w:p>
        </w:tc>
        <w:tc>
          <w:tcPr>
            <w:tcW w:w="398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7A098" w14:textId="77777777" w:rsidR="00AC3C55" w:rsidRDefault="00B9044F" w:rsidP="00B93D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Не забезпечується досягнення цілей </w:t>
            </w:r>
            <w:r w:rsidR="00BE27CF">
              <w:rPr>
                <w:rFonts w:ascii="Times New Roman" w:eastAsia="Times New Roman" w:hAnsi="Times New Roman" w:cs="Times New Roman"/>
                <w:sz w:val="24"/>
                <w:szCs w:val="28"/>
              </w:rPr>
              <w:t>державного регулювання.</w:t>
            </w:r>
          </w:p>
          <w:p w14:paraId="174544C5" w14:textId="77777777" w:rsidR="00BE27CF" w:rsidRDefault="00BE27CF" w:rsidP="00B93D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Реалізація товарів на митних аукціонах,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редукціонах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залишається неефективною.</w:t>
            </w:r>
          </w:p>
          <w:p w14:paraId="0F47AE4E" w14:textId="31DF287E" w:rsidR="00BB79D9" w:rsidRDefault="00BB79D9" w:rsidP="00B93D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Держава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недоотримує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належний обсяг коштів від такої діяльності митних органів.</w:t>
            </w:r>
          </w:p>
          <w:p w14:paraId="7E141161" w14:textId="46E33FD5" w:rsidR="00BE27CF" w:rsidRPr="001C4834" w:rsidRDefault="00BB79D9" w:rsidP="00B93D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Витрачаються державні кошти на зберігання на складах митних органів нереалізованих залишків товарів та подальше їх знищення</w:t>
            </w:r>
          </w:p>
        </w:tc>
      </w:tr>
      <w:tr w:rsidR="00AC3C55" w:rsidRPr="001C4834" w14:paraId="3AEA296C" w14:textId="77777777" w:rsidTr="00B9044F">
        <w:trPr>
          <w:trHeight w:val="347"/>
        </w:trPr>
        <w:tc>
          <w:tcPr>
            <w:tcW w:w="101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36BBC" w14:textId="5503A360" w:rsidR="00B9044F" w:rsidRPr="001C4834" w:rsidRDefault="001D4D8A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Альтернатива 2: п</w:t>
            </w:r>
            <w:r w:rsidR="00B9044F"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рийняття </w:t>
            </w:r>
            <w:proofErr w:type="spellStart"/>
            <w:r w:rsidR="00B9044F"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>проєкту</w:t>
            </w:r>
            <w:proofErr w:type="spellEnd"/>
            <w:r w:rsidR="00B9044F"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B9044F"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>акта</w:t>
            </w:r>
            <w:proofErr w:type="spellEnd"/>
          </w:p>
        </w:tc>
        <w:tc>
          <w:tcPr>
            <w:tcW w:w="398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2651C" w14:textId="77777777" w:rsidR="00BE27CF" w:rsidRDefault="00B9044F" w:rsidP="00B93D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Забезпечується </w:t>
            </w:r>
            <w:r w:rsidR="00BE27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досягнення цілей державного регулювання. </w:t>
            </w:r>
          </w:p>
          <w:p w14:paraId="048C1CC9" w14:textId="47A32D9F" w:rsidR="00BE27CF" w:rsidRDefault="00BB79D9" w:rsidP="00B93D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="0086756D">
              <w:rPr>
                <w:rFonts w:ascii="Times New Roman" w:eastAsia="Times New Roman" w:hAnsi="Times New Roman" w:cs="Times New Roman"/>
                <w:sz w:val="24"/>
                <w:szCs w:val="28"/>
              </w:rPr>
              <w:t>еалізації товарів 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 митних аукціонах,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редукціонах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здійснюється в ефективний спосіб.</w:t>
            </w:r>
          </w:p>
          <w:p w14:paraId="46BF144C" w14:textId="77777777" w:rsidR="00AC3C55" w:rsidRDefault="00BE27CF" w:rsidP="00B93D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r w:rsidR="0086756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більшення обсягів надходження коштів до державного бюджету від </w:t>
            </w:r>
            <w:r w:rsidR="00354FC0">
              <w:rPr>
                <w:rFonts w:ascii="Times New Roman" w:eastAsia="Times New Roman" w:hAnsi="Times New Roman" w:cs="Times New Roman"/>
                <w:sz w:val="24"/>
                <w:szCs w:val="28"/>
              </w:rPr>
              <w:t>такої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86756D">
              <w:rPr>
                <w:rFonts w:ascii="Times New Roman" w:eastAsia="Times New Roman" w:hAnsi="Times New Roman" w:cs="Times New Roman"/>
                <w:sz w:val="24"/>
                <w:szCs w:val="28"/>
              </w:rPr>
              <w:t>діяльності митних органів</w:t>
            </w:r>
            <w:r w:rsidR="00354FC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14:paraId="4668BB67" w14:textId="5CAB0F58" w:rsidR="00354FC0" w:rsidRPr="001C4834" w:rsidRDefault="00354FC0" w:rsidP="00B93D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Зменшення витрачання державних коштів на зберігання на складах митних органів нереалізованих залишків товарів та подальше їх знищення</w:t>
            </w:r>
          </w:p>
        </w:tc>
      </w:tr>
    </w:tbl>
    <w:p w14:paraId="42503022" w14:textId="77777777" w:rsidR="00C722C0" w:rsidRPr="001C4834" w:rsidRDefault="00C722C0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0B8C57" w14:textId="77777777" w:rsidR="007914A0" w:rsidRPr="001C4834" w:rsidRDefault="00AC3C55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3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914A0" w:rsidRPr="001C4834">
        <w:t xml:space="preserve"> </w:t>
      </w:r>
      <w:r w:rsidR="007914A0" w:rsidRPr="001C4834">
        <w:rPr>
          <w:rFonts w:ascii="Times New Roman" w:eastAsia="Times New Roman" w:hAnsi="Times New Roman" w:cs="Times New Roman"/>
          <w:sz w:val="28"/>
          <w:szCs w:val="28"/>
        </w:rPr>
        <w:t>Оцінка вибраних альтернативних способів досягнення цілей</w:t>
      </w:r>
    </w:p>
    <w:p w14:paraId="6213DCBD" w14:textId="77777777" w:rsidR="00AC3C55" w:rsidRPr="001C4834" w:rsidRDefault="00AC3C55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34">
        <w:rPr>
          <w:rFonts w:ascii="Times New Roman" w:eastAsia="Times New Roman" w:hAnsi="Times New Roman" w:cs="Times New Roman"/>
          <w:sz w:val="28"/>
          <w:szCs w:val="28"/>
        </w:rPr>
        <w:t>Оцінка впливу на сферу інтересів держави</w:t>
      </w:r>
    </w:p>
    <w:tbl>
      <w:tblPr>
        <w:tblStyle w:val="a7"/>
        <w:tblW w:w="5087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979"/>
        <w:gridCol w:w="3769"/>
        <w:gridCol w:w="4051"/>
      </w:tblGrid>
      <w:tr w:rsidR="00C94208" w:rsidRPr="001C4834" w14:paraId="21FC0A74" w14:textId="77777777" w:rsidTr="00BE27CF">
        <w:trPr>
          <w:trHeight w:val="520"/>
        </w:trPr>
        <w:tc>
          <w:tcPr>
            <w:tcW w:w="101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837AC" w14:textId="77777777" w:rsidR="00AC3C55" w:rsidRPr="001C4834" w:rsidRDefault="00AC3C55" w:rsidP="00B93D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Вид альтернативи</w:t>
            </w:r>
          </w:p>
        </w:tc>
        <w:tc>
          <w:tcPr>
            <w:tcW w:w="192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C825F" w14:textId="77777777" w:rsidR="00AC3C55" w:rsidRPr="001C4834" w:rsidRDefault="00AC3C55" w:rsidP="00B93D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Вигоди</w:t>
            </w:r>
          </w:p>
        </w:tc>
        <w:tc>
          <w:tcPr>
            <w:tcW w:w="206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25BE4" w14:textId="77777777" w:rsidR="00AC3C55" w:rsidRPr="001C4834" w:rsidRDefault="00AC3C55" w:rsidP="00B93D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Витрати</w:t>
            </w:r>
          </w:p>
        </w:tc>
      </w:tr>
      <w:tr w:rsidR="00C94208" w:rsidRPr="001C4834" w14:paraId="43454B99" w14:textId="77777777" w:rsidTr="00BE27CF">
        <w:trPr>
          <w:trHeight w:val="745"/>
        </w:trPr>
        <w:tc>
          <w:tcPr>
            <w:tcW w:w="101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DAD01" w14:textId="1C1C4663" w:rsidR="00CD67B2" w:rsidRPr="001C4834" w:rsidRDefault="001D4D8A" w:rsidP="00B93D0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Альтернатива 1: </w:t>
            </w:r>
            <w:r w:rsidR="008515C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залишення </w:t>
            </w:r>
            <w:r w:rsidR="00BE27CF" w:rsidRPr="00BE27CF">
              <w:rPr>
                <w:rFonts w:ascii="Times New Roman" w:eastAsia="Times New Roman" w:hAnsi="Times New Roman" w:cs="Times New Roman"/>
                <w:sz w:val="24"/>
                <w:szCs w:val="28"/>
              </w:rPr>
              <w:t>існуючої ситуації без змін</w:t>
            </w:r>
          </w:p>
        </w:tc>
        <w:tc>
          <w:tcPr>
            <w:tcW w:w="19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2AFEA" w14:textId="0BD5227D" w:rsidR="00215DDD" w:rsidRPr="001C4834" w:rsidRDefault="00A467D4" w:rsidP="000C22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Вигода полягає у відсутності</w:t>
            </w:r>
            <w:r w:rsidR="008515C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необхідності витрат (часових та фінансових) на підготовку та прийняття регуляторного акту. Водночас, </w:t>
            </w:r>
            <w:r w:rsidR="008D383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оскільки </w:t>
            </w:r>
            <w:r w:rsidR="008D3834" w:rsidRPr="008D3834">
              <w:rPr>
                <w:rFonts w:ascii="Times New Roman" w:eastAsia="Times New Roman" w:hAnsi="Times New Roman" w:cs="Times New Roman"/>
                <w:sz w:val="24"/>
                <w:szCs w:val="28"/>
              </w:rPr>
              <w:t>заходи з підготовки та прийняття регуляторного акту здійсню</w:t>
            </w:r>
            <w:r w:rsidR="008D3834">
              <w:rPr>
                <w:rFonts w:ascii="Times New Roman" w:eastAsia="Times New Roman" w:hAnsi="Times New Roman" w:cs="Times New Roman"/>
                <w:sz w:val="24"/>
                <w:szCs w:val="28"/>
              </w:rPr>
              <w:t>ються</w:t>
            </w:r>
            <w:r w:rsidR="008D3834" w:rsidRPr="008D383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межах звичайної операційної діяльності органів державної влади, </w:t>
            </w:r>
            <w:r w:rsidR="008D3834">
              <w:rPr>
                <w:rFonts w:ascii="Times New Roman" w:eastAsia="Times New Roman" w:hAnsi="Times New Roman" w:cs="Times New Roman"/>
                <w:sz w:val="24"/>
                <w:szCs w:val="28"/>
              </w:rPr>
              <w:t>обсяг заощаджених коштів у випадку не ініціювання розробки регуляторного акту оцінений бути не може.</w:t>
            </w:r>
          </w:p>
        </w:tc>
        <w:tc>
          <w:tcPr>
            <w:tcW w:w="20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6293" w14:textId="7A9283EC" w:rsidR="000044C1" w:rsidRDefault="000044C1" w:rsidP="00B93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Втрати потенційно можливих сум коштів, які могли б бути отримані у випадку наявності ефективної процедури реалізації товарів на митних аукціонах,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редукціонах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E37DC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Станом на 01.03.2025 на складах митниць обліковується залишків товарів, що перейшли у власність держави, на загальну вартість </w:t>
            </w:r>
            <w:r w:rsidR="00E37DC1" w:rsidRPr="00624B4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651,8</w:t>
            </w:r>
            <w:r w:rsidR="00624B4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 </w:t>
            </w:r>
            <w:r w:rsidR="00E37DC1" w:rsidRPr="00624B4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млн грн.</w:t>
            </w:r>
            <w:r w:rsidR="00E37DC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які потенційно можуть </w:t>
            </w:r>
            <w:r w:rsidR="00576489">
              <w:rPr>
                <w:rFonts w:ascii="Times New Roman" w:eastAsia="Calibri" w:hAnsi="Times New Roman" w:cs="Times New Roman"/>
                <w:sz w:val="24"/>
                <w:szCs w:val="28"/>
              </w:rPr>
              <w:t>розглядатися</w:t>
            </w:r>
            <w:r w:rsidR="00E37DC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об’єктом реалізації на </w:t>
            </w:r>
            <w:r w:rsidR="00624B4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митних аукціонах, </w:t>
            </w:r>
            <w:proofErr w:type="spellStart"/>
            <w:r w:rsidR="00624B4B">
              <w:rPr>
                <w:rFonts w:ascii="Times New Roman" w:eastAsia="Calibri" w:hAnsi="Times New Roman" w:cs="Times New Roman"/>
                <w:sz w:val="24"/>
                <w:szCs w:val="28"/>
              </w:rPr>
              <w:t>редукціонах</w:t>
            </w:r>
            <w:proofErr w:type="spellEnd"/>
            <w:r w:rsidR="00624B4B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14:paraId="255D5EA0" w14:textId="05A3881B" w:rsidR="000044C1" w:rsidRDefault="000044C1" w:rsidP="00B93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5AA59D7" w14:textId="2F1A1D44" w:rsidR="00832316" w:rsidRPr="00126118" w:rsidRDefault="009A2F68" w:rsidP="00D64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Витрати </w:t>
            </w:r>
            <w:r w:rsidR="000044C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зберігання залишків товарів на складах митниць, які не</w:t>
            </w:r>
            <w:r w:rsidR="00C50E1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вдалося </w:t>
            </w:r>
            <w:r w:rsidR="006877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своєчасно </w:t>
            </w:r>
            <w:r w:rsidR="00C50E13">
              <w:rPr>
                <w:rFonts w:ascii="Times New Roman" w:eastAsia="Calibri" w:hAnsi="Times New Roman" w:cs="Times New Roman"/>
                <w:sz w:val="24"/>
                <w:szCs w:val="28"/>
              </w:rPr>
              <w:t>реалізувати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 </w:t>
            </w:r>
            <w:r w:rsidR="00C50E13">
              <w:rPr>
                <w:rFonts w:ascii="Times New Roman" w:eastAsia="Calibri" w:hAnsi="Times New Roman" w:cs="Times New Roman"/>
                <w:sz w:val="24"/>
                <w:szCs w:val="28"/>
              </w:rPr>
              <w:t>огляду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відсутність ефективної процедури їх реалізації</w:t>
            </w:r>
            <w:r w:rsidR="0089738F">
              <w:rPr>
                <w:rFonts w:ascii="Times New Roman" w:eastAsia="Calibri" w:hAnsi="Times New Roman" w:cs="Times New Roman"/>
                <w:sz w:val="24"/>
                <w:szCs w:val="28"/>
              </w:rPr>
              <w:t>, ф</w:t>
            </w:r>
            <w:r w:rsidR="0089738F">
              <w:rPr>
                <w:rFonts w:ascii="Times New Roman" w:eastAsia="Times New Roman" w:hAnsi="Times New Roman" w:cs="Times New Roman"/>
                <w:sz w:val="24"/>
                <w:szCs w:val="28"/>
              </w:rPr>
              <w:t>інансування робіт з подальшого знищення/утилізації таких товарів.</w:t>
            </w:r>
            <w:r w:rsidR="0057648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Середньорічні витрати на зазначені цілі</w:t>
            </w:r>
            <w:r w:rsidR="004A197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складають </w:t>
            </w:r>
            <w:r w:rsidR="001261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приблизно </w:t>
            </w:r>
            <w:r w:rsidR="004A197B" w:rsidRPr="004A197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  <w:r w:rsidR="001261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0</w:t>
            </w:r>
            <w:r w:rsidR="004A197B" w:rsidRPr="004A197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млн грн.</w:t>
            </w:r>
            <w:r w:rsidR="001261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1261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(на підставі аналізу </w:t>
            </w:r>
            <w:r w:rsidR="00D64873">
              <w:rPr>
                <w:rFonts w:ascii="Times New Roman" w:eastAsia="Times New Roman" w:hAnsi="Times New Roman" w:cs="Times New Roman"/>
                <w:sz w:val="24"/>
                <w:szCs w:val="28"/>
              </w:rPr>
              <w:t>останніх двох років</w:t>
            </w:r>
            <w:r w:rsidR="00126118">
              <w:rPr>
                <w:rFonts w:ascii="Times New Roman" w:eastAsia="Times New Roman" w:hAnsi="Times New Roman" w:cs="Times New Roman"/>
                <w:sz w:val="24"/>
                <w:szCs w:val="28"/>
              </w:rPr>
              <w:t>).</w:t>
            </w:r>
          </w:p>
        </w:tc>
      </w:tr>
      <w:tr w:rsidR="00C94208" w:rsidRPr="001C4834" w14:paraId="273B0E7D" w14:textId="77777777" w:rsidTr="00BE27CF">
        <w:trPr>
          <w:trHeight w:val="745"/>
        </w:trPr>
        <w:tc>
          <w:tcPr>
            <w:tcW w:w="101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CF451" w14:textId="3A689A33" w:rsidR="00215DDD" w:rsidRPr="001C4834" w:rsidRDefault="001D4D8A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Альтернатива 2: п</w:t>
            </w:r>
            <w:r w:rsidR="00BE27CF"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рийняття </w:t>
            </w:r>
            <w:proofErr w:type="spellStart"/>
            <w:r w:rsidR="00BE27CF"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>проєкту</w:t>
            </w:r>
            <w:proofErr w:type="spellEnd"/>
            <w:r w:rsidR="00BE27CF"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BE27CF"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>акта</w:t>
            </w:r>
            <w:proofErr w:type="spellEnd"/>
            <w:r w:rsidR="00BE27CF"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2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C14D0" w14:textId="1F4814E0" w:rsidR="00071D08" w:rsidRPr="00126118" w:rsidRDefault="00071D08" w:rsidP="00B93D0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Отримання додаткових сум коштів за рахунок наявності ефективної процедури реалізації товарів на митних аукціонах,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редукціонах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1261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Орієнтовна сума надходжень оцінюється на рівні облікової суми залишку майна на складах митниць, які станом на 01.03.2025 складають </w:t>
            </w:r>
            <w:r w:rsidR="00126118" w:rsidRPr="0012611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651,8 млн грн.</w:t>
            </w:r>
          </w:p>
          <w:p w14:paraId="2D96BB62" w14:textId="77777777" w:rsidR="00071D08" w:rsidRDefault="00071D08" w:rsidP="00B93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862BD80" w14:textId="34CBD7D2" w:rsidR="001F2785" w:rsidRPr="001C4834" w:rsidRDefault="00C64BDD" w:rsidP="0012611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Зменшення витрат </w:t>
            </w:r>
            <w:r w:rsidR="00071D08" w:rsidRPr="00071D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 зберігання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товарів на складах митниць</w:t>
            </w:r>
            <w:r w:rsidR="0089738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внаслідок зменшення обсягу таких товарів </w:t>
            </w:r>
            <w:r w:rsidR="0089738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шляхом своєчасної їх реалізації, а також </w:t>
            </w:r>
            <w:r w:rsidR="00F4149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уникнення потреби у фінансуванні заходів щодо </w:t>
            </w:r>
            <w:r w:rsidR="0089738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знищення/утилізації </w:t>
            </w:r>
            <w:r w:rsidR="00F41492">
              <w:rPr>
                <w:rFonts w:ascii="Times New Roman" w:eastAsia="Times New Roman" w:hAnsi="Times New Roman" w:cs="Times New Roman"/>
                <w:sz w:val="24"/>
                <w:szCs w:val="28"/>
              </w:rPr>
              <w:t>залишків нереалізованих товарів.</w:t>
            </w:r>
            <w:r w:rsidR="001261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Орієнтовний розмір коштів, які будуть заощаджені, складає </w:t>
            </w:r>
            <w:r w:rsidR="00126118" w:rsidRPr="001261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10</w:t>
            </w:r>
            <w:r w:rsidR="001261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  <w:r w:rsidR="00126118" w:rsidRPr="001261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млн грн</w:t>
            </w:r>
            <w:r w:rsidR="001261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(на підставі аналізу середньорічних витрат на вказані цілі)</w:t>
            </w:r>
          </w:p>
        </w:tc>
        <w:tc>
          <w:tcPr>
            <w:tcW w:w="20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CC052" w14:textId="61F61FB9" w:rsidR="00215DDD" w:rsidRPr="001C4834" w:rsidRDefault="008515C0" w:rsidP="00A467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515C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Витрати на підготовку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та прийняття регуляторного акту</w:t>
            </w:r>
            <w:r w:rsidR="00A467D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Водночас, </w:t>
            </w:r>
            <w:r w:rsidR="00126118">
              <w:rPr>
                <w:rFonts w:ascii="Times New Roman" w:eastAsia="Times New Roman" w:hAnsi="Times New Roman" w:cs="Times New Roman"/>
                <w:sz w:val="24"/>
                <w:szCs w:val="28"/>
              </w:rPr>
              <w:t>оскільки заходи</w:t>
            </w:r>
            <w:r w:rsidR="00A467D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 підготовки та прийняття регуляторного акту будуть з</w:t>
            </w:r>
            <w:r w:rsidR="00126118">
              <w:rPr>
                <w:rFonts w:ascii="Times New Roman" w:eastAsia="Times New Roman" w:hAnsi="Times New Roman" w:cs="Times New Roman"/>
                <w:sz w:val="24"/>
                <w:szCs w:val="28"/>
              </w:rPr>
              <w:t>дійснюват</w:t>
            </w:r>
            <w:r w:rsidR="00A467D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ися </w:t>
            </w:r>
            <w:r w:rsidR="001261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межах звичайної операційної діяльності органів державної влади, </w:t>
            </w:r>
            <w:r w:rsidR="00A467D4" w:rsidRPr="00A467D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відсутня потреба окремого </w:t>
            </w:r>
            <w:r w:rsidRPr="00A467D4">
              <w:rPr>
                <w:rFonts w:ascii="Times New Roman" w:eastAsia="Times New Roman" w:hAnsi="Times New Roman" w:cs="Times New Roman"/>
                <w:sz w:val="24"/>
                <w:szCs w:val="28"/>
              </w:rPr>
              <w:t>фінансуванн</w:t>
            </w:r>
            <w:r w:rsidR="00A467D4" w:rsidRPr="00A467D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я або </w:t>
            </w:r>
            <w:r w:rsidRPr="00A467D4">
              <w:rPr>
                <w:rFonts w:ascii="Times New Roman" w:eastAsia="Times New Roman" w:hAnsi="Times New Roman" w:cs="Times New Roman"/>
                <w:sz w:val="24"/>
                <w:szCs w:val="28"/>
              </w:rPr>
              <w:t>додаткових витрат</w:t>
            </w:r>
            <w:r w:rsidR="00A467D4" w:rsidRPr="00A467D4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14:paraId="691E35C4" w14:textId="77777777" w:rsidR="0078399B" w:rsidRDefault="0078399B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959C9C" w14:textId="565A8146" w:rsidR="001370A3" w:rsidRPr="001C4834" w:rsidRDefault="00AC3C55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70A3" w:rsidRPr="001C4834">
        <w:rPr>
          <w:rFonts w:ascii="Times New Roman" w:eastAsia="Times New Roman" w:hAnsi="Times New Roman" w:cs="Times New Roman"/>
          <w:sz w:val="28"/>
          <w:szCs w:val="28"/>
        </w:rPr>
        <w:t>Оцінка впливу на сферу інтересів громадян</w:t>
      </w:r>
    </w:p>
    <w:p w14:paraId="1B64C729" w14:textId="7D6A33B4" w:rsidR="00D75C91" w:rsidRDefault="00D75C91" w:rsidP="00D75C9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5C91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D75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D75C91">
        <w:rPr>
          <w:rFonts w:ascii="Times New Roman" w:eastAsia="Times New Roman" w:hAnsi="Times New Roman" w:cs="Times New Roman"/>
          <w:sz w:val="28"/>
          <w:szCs w:val="28"/>
        </w:rPr>
        <w:t xml:space="preserve"> не поширюється на сфе</w:t>
      </w:r>
      <w:r>
        <w:rPr>
          <w:rFonts w:ascii="Times New Roman" w:eastAsia="Times New Roman" w:hAnsi="Times New Roman" w:cs="Times New Roman"/>
          <w:sz w:val="28"/>
          <w:szCs w:val="28"/>
        </w:rPr>
        <w:t>ру інтересів громадян, оскільки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75C91">
        <w:rPr>
          <w:rFonts w:ascii="Times New Roman" w:eastAsia="Times New Roman" w:hAnsi="Times New Roman" w:cs="Times New Roman"/>
          <w:sz w:val="28"/>
          <w:szCs w:val="28"/>
        </w:rPr>
        <w:t xml:space="preserve">передбачається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внесення змін до окремих положень </w:t>
      </w:r>
      <w:r w:rsidRPr="00D75C91">
        <w:rPr>
          <w:rFonts w:ascii="Times New Roman" w:eastAsia="Times New Roman" w:hAnsi="Times New Roman" w:cs="Times New Roman"/>
          <w:sz w:val="28"/>
          <w:szCs w:val="28"/>
        </w:rPr>
        <w:t>Порядку реалізац</w:t>
      </w:r>
      <w:r>
        <w:rPr>
          <w:rFonts w:ascii="Times New Roman" w:eastAsia="Times New Roman" w:hAnsi="Times New Roman" w:cs="Times New Roman"/>
          <w:sz w:val="28"/>
          <w:szCs w:val="28"/>
        </w:rPr>
        <w:t>ії товарів на митних аукціонах/</w:t>
      </w:r>
      <w:proofErr w:type="spellStart"/>
      <w:r w:rsidRPr="00D75C91">
        <w:rPr>
          <w:rFonts w:ascii="Times New Roman" w:eastAsia="Times New Roman" w:hAnsi="Times New Roman" w:cs="Times New Roman"/>
          <w:sz w:val="28"/>
          <w:szCs w:val="28"/>
        </w:rPr>
        <w:t>редукціонах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які не стосуються безпосередньо громадян, а визначають алгоритм проведення електронних торгів, удосконалюють взаємодію митниць з операторами </w:t>
      </w:r>
      <w:r w:rsidRPr="00D75C91">
        <w:rPr>
          <w:rFonts w:ascii="Times New Roman" w:eastAsia="Times New Roman" w:hAnsi="Times New Roman" w:cs="Times New Roman"/>
          <w:sz w:val="28"/>
          <w:szCs w:val="28"/>
        </w:rPr>
        <w:t>електронних майданчиків</w:t>
      </w:r>
      <w:r>
        <w:rPr>
          <w:rFonts w:ascii="Times New Roman" w:eastAsia="Times New Roman" w:hAnsi="Times New Roman" w:cs="Times New Roman"/>
          <w:sz w:val="28"/>
          <w:szCs w:val="28"/>
        </w:rPr>
        <w:t>, затверджують типові форми документів, тощо.</w:t>
      </w:r>
    </w:p>
    <w:p w14:paraId="77EE7D52" w14:textId="77777777" w:rsidR="00D75C91" w:rsidRDefault="00D75C91" w:rsidP="00D75C9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A36AA0" w14:textId="77777777" w:rsidR="00DE2F6C" w:rsidRPr="00C83F64" w:rsidRDefault="00DE2F6C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F64">
        <w:rPr>
          <w:rFonts w:ascii="Times New Roman" w:eastAsia="Times New Roman" w:hAnsi="Times New Roman" w:cs="Times New Roman"/>
          <w:sz w:val="28"/>
          <w:szCs w:val="28"/>
        </w:rPr>
        <w:t>Оцінка впливу на сферу інтересів суб’єктів господарювання</w:t>
      </w:r>
    </w:p>
    <w:tbl>
      <w:tblPr>
        <w:tblStyle w:val="af8"/>
        <w:tblW w:w="5000" w:type="pct"/>
        <w:tblLook w:val="0400" w:firstRow="0" w:lastRow="0" w:firstColumn="0" w:lastColumn="0" w:noHBand="0" w:noVBand="1"/>
      </w:tblPr>
      <w:tblGrid>
        <w:gridCol w:w="2846"/>
        <w:gridCol w:w="1513"/>
        <w:gridCol w:w="1513"/>
        <w:gridCol w:w="1513"/>
        <w:gridCol w:w="1423"/>
        <w:gridCol w:w="823"/>
      </w:tblGrid>
      <w:tr w:rsidR="00595C09" w:rsidRPr="00DC6824" w14:paraId="29D30EC0" w14:textId="77777777" w:rsidTr="00DE2F6C">
        <w:trPr>
          <w:trHeight w:val="400"/>
        </w:trPr>
        <w:tc>
          <w:tcPr>
            <w:tcW w:w="2051" w:type="pct"/>
            <w:vAlign w:val="center"/>
          </w:tcPr>
          <w:p w14:paraId="153E2FD4" w14:textId="77777777" w:rsidR="00DE2F6C" w:rsidRPr="00DC6824" w:rsidRDefault="00DE2F6C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</w:pPr>
            <w:r w:rsidRPr="00DC6824"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  <w:t>Показник</w:t>
            </w:r>
          </w:p>
        </w:tc>
        <w:tc>
          <w:tcPr>
            <w:tcW w:w="590" w:type="pct"/>
            <w:vAlign w:val="center"/>
          </w:tcPr>
          <w:p w14:paraId="31E10F46" w14:textId="77777777" w:rsidR="00595C09" w:rsidRDefault="00DE2F6C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</w:pPr>
            <w:r w:rsidRPr="00DC6824"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  <w:t>Великі</w:t>
            </w:r>
          </w:p>
          <w:p w14:paraId="0DBD983C" w14:textId="726543A5" w:rsidR="00DE2F6C" w:rsidRPr="00DC6824" w:rsidRDefault="00595C09" w:rsidP="00B93D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  <w:t>(понад 250 працівників)</w:t>
            </w:r>
          </w:p>
        </w:tc>
        <w:tc>
          <w:tcPr>
            <w:tcW w:w="664" w:type="pct"/>
            <w:vAlign w:val="center"/>
          </w:tcPr>
          <w:p w14:paraId="096F0164" w14:textId="77777777" w:rsidR="00595C09" w:rsidRDefault="00DE2F6C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</w:pPr>
            <w:r w:rsidRPr="00DC6824"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  <w:t>Середні</w:t>
            </w:r>
          </w:p>
          <w:p w14:paraId="3D85DC76" w14:textId="5BD159CD" w:rsidR="00DE2F6C" w:rsidRPr="00DC6824" w:rsidRDefault="00595C09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  <w:t>(50-249 працівників)</w:t>
            </w:r>
          </w:p>
        </w:tc>
        <w:tc>
          <w:tcPr>
            <w:tcW w:w="590" w:type="pct"/>
            <w:vAlign w:val="center"/>
          </w:tcPr>
          <w:p w14:paraId="20084375" w14:textId="77777777" w:rsidR="00DE2F6C" w:rsidRDefault="00DE2F6C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</w:pPr>
            <w:r w:rsidRPr="00DC6824"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  <w:t>Малі</w:t>
            </w:r>
          </w:p>
          <w:p w14:paraId="53676A37" w14:textId="281EC147" w:rsidR="00595C09" w:rsidRPr="00DC6824" w:rsidRDefault="00595C09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  <w:t>(10-49 працівників)</w:t>
            </w:r>
          </w:p>
        </w:tc>
        <w:tc>
          <w:tcPr>
            <w:tcW w:w="590" w:type="pct"/>
            <w:vAlign w:val="center"/>
          </w:tcPr>
          <w:p w14:paraId="36658997" w14:textId="77777777" w:rsidR="00DE2F6C" w:rsidRDefault="00DE2F6C" w:rsidP="00B93D0A">
            <w:pPr>
              <w:ind w:left="-90" w:right="-13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  <w:t>М</w:t>
            </w:r>
            <w:r w:rsidRPr="00DC6824"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  <w:t>ікро</w:t>
            </w:r>
          </w:p>
          <w:p w14:paraId="4162A788" w14:textId="4F7C0971" w:rsidR="00595C09" w:rsidRPr="00DC6824" w:rsidRDefault="00595C09" w:rsidP="00B93D0A">
            <w:pPr>
              <w:ind w:left="-90" w:right="-13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  <w:t>(до 10 працівників)</w:t>
            </w:r>
          </w:p>
        </w:tc>
        <w:tc>
          <w:tcPr>
            <w:tcW w:w="516" w:type="pct"/>
            <w:vAlign w:val="center"/>
          </w:tcPr>
          <w:p w14:paraId="00C1E74C" w14:textId="77777777" w:rsidR="00DE2F6C" w:rsidRPr="00DC6824" w:rsidRDefault="00DE2F6C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</w:pPr>
            <w:r w:rsidRPr="00DC6824"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  <w:t>Разом</w:t>
            </w:r>
          </w:p>
        </w:tc>
      </w:tr>
      <w:tr w:rsidR="00595C09" w:rsidRPr="00DC6824" w14:paraId="0BC1653D" w14:textId="77777777" w:rsidTr="00DE2F6C">
        <w:trPr>
          <w:trHeight w:val="787"/>
        </w:trPr>
        <w:tc>
          <w:tcPr>
            <w:tcW w:w="2051" w:type="pct"/>
            <w:vAlign w:val="center"/>
          </w:tcPr>
          <w:p w14:paraId="20E9A1D0" w14:textId="4E32275D" w:rsidR="00DE2F6C" w:rsidRPr="00DC6824" w:rsidRDefault="00DE2F6C" w:rsidP="00B93D0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</w:pPr>
            <w:r w:rsidRPr="00DC6824"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  <w:t>Кількість суб’єктів господарювання, що підпадають під дію регулювання, одиниць</w:t>
            </w:r>
            <w:r w:rsidR="00595C09"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  <w:t>*</w:t>
            </w:r>
          </w:p>
        </w:tc>
        <w:tc>
          <w:tcPr>
            <w:tcW w:w="590" w:type="pct"/>
            <w:vAlign w:val="center"/>
          </w:tcPr>
          <w:p w14:paraId="3DF1612C" w14:textId="77777777" w:rsidR="00DE2F6C" w:rsidRPr="00B521D3" w:rsidRDefault="00DE2F6C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ko-KR"/>
              </w:rPr>
              <w:t>-</w:t>
            </w:r>
          </w:p>
        </w:tc>
        <w:tc>
          <w:tcPr>
            <w:tcW w:w="664" w:type="pct"/>
            <w:vAlign w:val="center"/>
          </w:tcPr>
          <w:p w14:paraId="7029A471" w14:textId="77777777" w:rsidR="00DE2F6C" w:rsidRPr="00B521D3" w:rsidRDefault="00DE2F6C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ko-KR"/>
              </w:rPr>
              <w:t>-</w:t>
            </w:r>
          </w:p>
        </w:tc>
        <w:tc>
          <w:tcPr>
            <w:tcW w:w="590" w:type="pct"/>
            <w:vAlign w:val="center"/>
          </w:tcPr>
          <w:p w14:paraId="08968847" w14:textId="260917C4" w:rsidR="00DE2F6C" w:rsidRPr="00DC6824" w:rsidRDefault="00595C09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  <w:t>39</w:t>
            </w:r>
          </w:p>
        </w:tc>
        <w:tc>
          <w:tcPr>
            <w:tcW w:w="590" w:type="pct"/>
            <w:vAlign w:val="center"/>
          </w:tcPr>
          <w:p w14:paraId="11F6BDC6" w14:textId="77777777" w:rsidR="00DE2F6C" w:rsidRPr="00DC6824" w:rsidRDefault="00DE2F6C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  <w:t>-</w:t>
            </w:r>
          </w:p>
        </w:tc>
        <w:tc>
          <w:tcPr>
            <w:tcW w:w="516" w:type="pct"/>
            <w:vAlign w:val="center"/>
          </w:tcPr>
          <w:p w14:paraId="41DB0E53" w14:textId="0ACC9994" w:rsidR="00DE2F6C" w:rsidRPr="00DC6824" w:rsidRDefault="00595C09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  <w:t>39</w:t>
            </w:r>
          </w:p>
        </w:tc>
      </w:tr>
      <w:tr w:rsidR="00595C09" w:rsidRPr="00D677BE" w14:paraId="30B5B7DC" w14:textId="77777777" w:rsidTr="00DE2F6C">
        <w:tc>
          <w:tcPr>
            <w:tcW w:w="2051" w:type="pct"/>
            <w:vAlign w:val="center"/>
          </w:tcPr>
          <w:p w14:paraId="15559BE5" w14:textId="77777777" w:rsidR="00DE2F6C" w:rsidRPr="00DC6824" w:rsidRDefault="00DE2F6C" w:rsidP="00B93D0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</w:pPr>
            <w:r w:rsidRPr="00DC6824"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  <w:t>Питома вага групи у загальній кількості, відсотків</w:t>
            </w:r>
          </w:p>
        </w:tc>
        <w:tc>
          <w:tcPr>
            <w:tcW w:w="590" w:type="pct"/>
            <w:vAlign w:val="center"/>
          </w:tcPr>
          <w:p w14:paraId="104A65A7" w14:textId="77777777" w:rsidR="00DE2F6C" w:rsidRPr="00B521D3" w:rsidRDefault="00DE2F6C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ko-KR"/>
              </w:rPr>
              <w:t>-</w:t>
            </w:r>
          </w:p>
        </w:tc>
        <w:tc>
          <w:tcPr>
            <w:tcW w:w="664" w:type="pct"/>
            <w:vAlign w:val="center"/>
          </w:tcPr>
          <w:p w14:paraId="112A79C2" w14:textId="77777777" w:rsidR="00DE2F6C" w:rsidRPr="00B521D3" w:rsidRDefault="00DE2F6C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ko-KR"/>
              </w:rPr>
              <w:t>-</w:t>
            </w:r>
          </w:p>
        </w:tc>
        <w:tc>
          <w:tcPr>
            <w:tcW w:w="590" w:type="pct"/>
            <w:vAlign w:val="center"/>
          </w:tcPr>
          <w:p w14:paraId="258DC2E6" w14:textId="61E69391" w:rsidR="00DE2F6C" w:rsidRPr="00DC6824" w:rsidRDefault="00595C09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  <w:t>100%</w:t>
            </w:r>
          </w:p>
        </w:tc>
        <w:tc>
          <w:tcPr>
            <w:tcW w:w="590" w:type="pct"/>
            <w:vAlign w:val="center"/>
          </w:tcPr>
          <w:p w14:paraId="4A7AA69B" w14:textId="77777777" w:rsidR="00DE2F6C" w:rsidRPr="00DC6824" w:rsidRDefault="00DE2F6C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  <w:t>-</w:t>
            </w:r>
          </w:p>
        </w:tc>
        <w:tc>
          <w:tcPr>
            <w:tcW w:w="516" w:type="pct"/>
            <w:vAlign w:val="center"/>
          </w:tcPr>
          <w:p w14:paraId="5E5652DC" w14:textId="7C33FFB6" w:rsidR="00DE2F6C" w:rsidRPr="00DC6824" w:rsidRDefault="00595C09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ko-KR"/>
              </w:rPr>
              <w:t>100%</w:t>
            </w:r>
          </w:p>
        </w:tc>
      </w:tr>
    </w:tbl>
    <w:p w14:paraId="7BCDF92D" w14:textId="541E4ADA" w:rsidR="0078399B" w:rsidRDefault="00DE2F6C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1781D">
        <w:rPr>
          <w:rFonts w:ascii="Times New Roman" w:eastAsia="Times New Roman" w:hAnsi="Times New Roman" w:cs="Times New Roman"/>
          <w:sz w:val="24"/>
        </w:rPr>
        <w:t xml:space="preserve">* Відповідно до положень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Порядку</w:t>
      </w:r>
      <w:r w:rsidRPr="00DE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реалізації</w:t>
      </w:r>
      <w:r w:rsidRPr="00DE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товарів</w:t>
      </w:r>
      <w:r w:rsidRPr="00DE2F6C">
        <w:rPr>
          <w:rFonts w:ascii="Times New Roman" w:hAnsi="Times New Roman" w:cs="Times New Roman"/>
          <w:sz w:val="24"/>
          <w:szCs w:val="24"/>
        </w:rPr>
        <w:t xml:space="preserve"> на митних аукціонах, </w:t>
      </w:r>
      <w:proofErr w:type="spellStart"/>
      <w:r w:rsidRPr="00DE2F6C">
        <w:rPr>
          <w:rFonts w:ascii="Times New Roman" w:hAnsi="Times New Roman" w:cs="Times New Roman"/>
          <w:sz w:val="24"/>
          <w:szCs w:val="24"/>
        </w:rPr>
        <w:t>редукціонах</w:t>
      </w:r>
      <w:proofErr w:type="spellEnd"/>
      <w:r w:rsidRPr="00DE2F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затвердженого</w:t>
      </w:r>
      <w:r w:rsidRPr="00DE2F6C">
        <w:rPr>
          <w:rFonts w:ascii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постановою Кабінету Міністрів України від 04 грудня 2019 року № 1050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відповідну реалізацію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забезпечують оператори електронних майданчиків – юридичні особи, зареєстровані в установленому законом порядку на території України, що мають право на використання</w:t>
      </w:r>
      <w:r w:rsidRPr="00A1781D">
        <w:rPr>
          <w:rFonts w:ascii="Times New Roman" w:eastAsia="Times New Roman" w:hAnsi="Times New Roman" w:cs="Times New Roman"/>
          <w:sz w:val="24"/>
        </w:rPr>
        <w:t xml:space="preserve"> електронного майданчика, який підключено до електронної торгової системи, адміністратором якої визначено ДП «</w:t>
      </w:r>
      <w:proofErr w:type="spellStart"/>
      <w:r w:rsidRPr="00A1781D">
        <w:rPr>
          <w:rFonts w:ascii="Times New Roman" w:eastAsia="Times New Roman" w:hAnsi="Times New Roman" w:cs="Times New Roman"/>
          <w:sz w:val="24"/>
        </w:rPr>
        <w:t>Прозорро.Продажі</w:t>
      </w:r>
      <w:proofErr w:type="spellEnd"/>
      <w:r w:rsidRPr="00A1781D">
        <w:rPr>
          <w:rFonts w:ascii="Times New Roman" w:eastAsia="Times New Roman" w:hAnsi="Times New Roman" w:cs="Times New Roman"/>
          <w:sz w:val="24"/>
        </w:rPr>
        <w:t>». Згідно з інформ</w:t>
      </w:r>
      <w:r w:rsidR="000951D5">
        <w:rPr>
          <w:rFonts w:ascii="Times New Roman" w:eastAsia="Times New Roman" w:hAnsi="Times New Roman" w:cs="Times New Roman"/>
          <w:sz w:val="24"/>
        </w:rPr>
        <w:t>ацією, опублікованою станом на 14.03</w:t>
      </w:r>
      <w:r w:rsidR="00D05717">
        <w:rPr>
          <w:rFonts w:ascii="Times New Roman" w:eastAsia="Times New Roman" w:hAnsi="Times New Roman" w:cs="Times New Roman"/>
          <w:sz w:val="24"/>
        </w:rPr>
        <w:t>.2025</w:t>
      </w:r>
      <w:r w:rsidRPr="00A1781D">
        <w:rPr>
          <w:rFonts w:ascii="Times New Roman" w:eastAsia="Times New Roman" w:hAnsi="Times New Roman" w:cs="Times New Roman"/>
          <w:sz w:val="24"/>
        </w:rPr>
        <w:t xml:space="preserve"> за </w:t>
      </w:r>
      <w:proofErr w:type="spellStart"/>
      <w:r w:rsidRPr="00A1781D">
        <w:rPr>
          <w:rFonts w:ascii="Times New Roman" w:eastAsia="Times New Roman" w:hAnsi="Times New Roman" w:cs="Times New Roman"/>
          <w:sz w:val="24"/>
        </w:rPr>
        <w:t>адресою</w:t>
      </w:r>
      <w:proofErr w:type="spellEnd"/>
      <w:r w:rsidRPr="00A1781D">
        <w:rPr>
          <w:rFonts w:ascii="Times New Roman" w:eastAsia="Times New Roman" w:hAnsi="Times New Roman" w:cs="Times New Roman"/>
          <w:sz w:val="24"/>
        </w:rPr>
        <w:t xml:space="preserve"> https://prozorro.sale/info/elektronni-majdanchiki-ets-prozorroprodazhi-cbd2 обліковується 3</w:t>
      </w:r>
      <w:r w:rsidR="00D05717">
        <w:rPr>
          <w:rFonts w:ascii="Times New Roman" w:eastAsia="Times New Roman" w:hAnsi="Times New Roman" w:cs="Times New Roman"/>
          <w:sz w:val="24"/>
        </w:rPr>
        <w:t>9</w:t>
      </w:r>
      <w:r w:rsidRPr="00A1781D">
        <w:rPr>
          <w:rFonts w:ascii="Times New Roman" w:eastAsia="Times New Roman" w:hAnsi="Times New Roman" w:cs="Times New Roman"/>
          <w:sz w:val="24"/>
        </w:rPr>
        <w:t xml:space="preserve"> таких суб’єктів господарювання</w:t>
      </w:r>
      <w:r>
        <w:rPr>
          <w:rFonts w:ascii="Times New Roman" w:eastAsia="Times New Roman" w:hAnsi="Times New Roman" w:cs="Times New Roman"/>
          <w:sz w:val="24"/>
        </w:rPr>
        <w:t>.</w:t>
      </w:r>
      <w:r w:rsidR="00D9027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90274">
        <w:rPr>
          <w:rFonts w:ascii="Times New Roman" w:eastAsia="Times New Roman" w:hAnsi="Times New Roman" w:cs="Times New Roman"/>
          <w:sz w:val="24"/>
        </w:rPr>
        <w:t>Категоріювання</w:t>
      </w:r>
      <w:proofErr w:type="spellEnd"/>
      <w:r w:rsidR="00D90274">
        <w:rPr>
          <w:rFonts w:ascii="Times New Roman" w:eastAsia="Times New Roman" w:hAnsi="Times New Roman" w:cs="Times New Roman"/>
          <w:sz w:val="24"/>
        </w:rPr>
        <w:t xml:space="preserve"> цих суб’єктів</w:t>
      </w:r>
      <w:r w:rsidR="00D90274" w:rsidRPr="00D90274">
        <w:rPr>
          <w:rFonts w:ascii="Times New Roman" w:eastAsia="Times New Roman" w:hAnsi="Times New Roman" w:cs="Times New Roman"/>
          <w:sz w:val="24"/>
        </w:rPr>
        <w:t xml:space="preserve"> </w:t>
      </w:r>
      <w:r w:rsidR="00D90274" w:rsidRPr="00A1781D">
        <w:rPr>
          <w:rFonts w:ascii="Times New Roman" w:eastAsia="Times New Roman" w:hAnsi="Times New Roman" w:cs="Times New Roman"/>
          <w:sz w:val="24"/>
        </w:rPr>
        <w:t>господарювання</w:t>
      </w:r>
      <w:r w:rsidR="00D90274">
        <w:rPr>
          <w:rFonts w:ascii="Times New Roman" w:eastAsia="Times New Roman" w:hAnsi="Times New Roman" w:cs="Times New Roman"/>
          <w:sz w:val="24"/>
        </w:rPr>
        <w:t xml:space="preserve"> (на великі, середні, малі, мікро) здійснено на підставі інформації з їх веб-сторінок та інших відкритих джерел інформації.</w:t>
      </w:r>
    </w:p>
    <w:p w14:paraId="255FA886" w14:textId="77777777" w:rsidR="00DE2F6C" w:rsidRPr="001C4834" w:rsidRDefault="00DE2F6C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Style w:val="aa"/>
        <w:tblW w:w="5074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980"/>
        <w:gridCol w:w="3687"/>
        <w:gridCol w:w="4107"/>
      </w:tblGrid>
      <w:tr w:rsidR="00C94208" w:rsidRPr="001C4834" w14:paraId="5113F0F8" w14:textId="77777777" w:rsidTr="001D4D8A">
        <w:trPr>
          <w:trHeight w:val="520"/>
        </w:trPr>
        <w:tc>
          <w:tcPr>
            <w:tcW w:w="101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93EA2" w14:textId="77777777" w:rsidR="00E60ED2" w:rsidRPr="001C4834" w:rsidRDefault="00E60ED2" w:rsidP="00B93D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Вид альтернативи</w:t>
            </w:r>
          </w:p>
        </w:tc>
        <w:tc>
          <w:tcPr>
            <w:tcW w:w="188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4A27F" w14:textId="77777777" w:rsidR="00E60ED2" w:rsidRPr="001C4834" w:rsidRDefault="00E60ED2" w:rsidP="00B93D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Вигоди</w:t>
            </w:r>
          </w:p>
        </w:tc>
        <w:tc>
          <w:tcPr>
            <w:tcW w:w="210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AAD36" w14:textId="77777777" w:rsidR="00E60ED2" w:rsidRPr="001C4834" w:rsidRDefault="00E60ED2" w:rsidP="00B93D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Витрати</w:t>
            </w:r>
          </w:p>
        </w:tc>
      </w:tr>
      <w:tr w:rsidR="00C94208" w:rsidRPr="001C4834" w14:paraId="16823418" w14:textId="77777777" w:rsidTr="001D4D8A">
        <w:trPr>
          <w:trHeight w:val="466"/>
        </w:trPr>
        <w:tc>
          <w:tcPr>
            <w:tcW w:w="101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3A01B" w14:textId="7E13A957" w:rsidR="00CD67B2" w:rsidRPr="001C4834" w:rsidRDefault="001D4D8A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Альтернатива 1: </w:t>
            </w:r>
            <w:r w:rsidR="008515C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залишення </w:t>
            </w:r>
            <w:r w:rsidRPr="00BE27CF">
              <w:rPr>
                <w:rFonts w:ascii="Times New Roman" w:eastAsia="Times New Roman" w:hAnsi="Times New Roman" w:cs="Times New Roman"/>
                <w:sz w:val="24"/>
                <w:szCs w:val="28"/>
              </w:rPr>
              <w:t>існуючої ситуації без змін</w:t>
            </w:r>
          </w:p>
        </w:tc>
        <w:tc>
          <w:tcPr>
            <w:tcW w:w="188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0D1B9" w14:textId="77777777" w:rsidR="00295ADF" w:rsidRDefault="00295ADF" w:rsidP="00295A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95ADF">
              <w:rPr>
                <w:rFonts w:ascii="Times New Roman" w:eastAsia="Times New Roman" w:hAnsi="Times New Roman" w:cs="Times New Roman"/>
                <w:sz w:val="24"/>
                <w:szCs w:val="28"/>
              </w:rPr>
              <w:t>Вигода полягає у відсутності необхідності витрат (часових та фінансових) на</w:t>
            </w:r>
            <w:r>
              <w:t xml:space="preserve"> </w:t>
            </w:r>
            <w:r w:rsidRPr="00295ADF">
              <w:rPr>
                <w:rFonts w:ascii="Times New Roman" w:eastAsia="Times New Roman" w:hAnsi="Times New Roman" w:cs="Times New Roman"/>
                <w:sz w:val="24"/>
                <w:szCs w:val="28"/>
              </w:rPr>
              <w:t>ознайомлення з новими вимогами регулювання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14:paraId="127DF691" w14:textId="50D6D494" w:rsidR="00295ADF" w:rsidRDefault="00295ADF" w:rsidP="00295A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295AD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бсяг заощаджених коштів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може бути </w:t>
            </w:r>
            <w:r w:rsidRPr="00295ADF">
              <w:rPr>
                <w:rFonts w:ascii="Times New Roman" w:eastAsia="Times New Roman" w:hAnsi="Times New Roman" w:cs="Times New Roman"/>
                <w:sz w:val="24"/>
                <w:szCs w:val="28"/>
              </w:rPr>
              <w:t>оцінений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орієнтовно в </w:t>
            </w:r>
            <w:r w:rsidRPr="00295AD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2808 грн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(1,5 год х 48 </w:t>
            </w:r>
            <w:r w:rsidRPr="00760B61">
              <w:rPr>
                <w:rFonts w:ascii="Times New Roman" w:eastAsia="Times New Roman" w:hAnsi="Times New Roman" w:cs="Times New Roman"/>
                <w:sz w:val="24"/>
                <w:szCs w:val="28"/>
              </w:rPr>
              <w:t>грн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х 39 суб’єктів)</w:t>
            </w:r>
          </w:p>
          <w:p w14:paraId="4AEAC7B1" w14:textId="73BAE320" w:rsidR="00DA32BE" w:rsidRDefault="00DA32BE" w:rsidP="00295A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180216E2" w14:textId="6BE4FDD5" w:rsidR="00295ADF" w:rsidRPr="001C4834" w:rsidRDefault="00295ADF" w:rsidP="00295A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0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3167A" w14:textId="0C7F95B7" w:rsidR="00D87A6F" w:rsidRPr="001C4834" w:rsidRDefault="00D05717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571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Втрата прибутку, який міг би бути отриманий від операцій з реалізації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товарів</w:t>
            </w:r>
            <w:r w:rsidRPr="00D0571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шляхом організації проведення митних аукціонів</w:t>
            </w:r>
            <w:r w:rsidR="00C839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C839FD">
              <w:rPr>
                <w:rFonts w:ascii="Times New Roman" w:eastAsia="Times New Roman" w:hAnsi="Times New Roman" w:cs="Times New Roman"/>
                <w:sz w:val="24"/>
                <w:szCs w:val="28"/>
              </w:rPr>
              <w:t>редукціонів</w:t>
            </w:r>
            <w:proofErr w:type="spellEnd"/>
            <w:r w:rsidR="00C839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Враховуючи діючий розмір комісійної винагороди (5% </w:t>
            </w:r>
            <w:r w:rsidR="00C839F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ціни продажу лота) та обсяги майна, що продовжують зберігатися на складах митниць (</w:t>
            </w:r>
            <w:r w:rsidR="00C839FD" w:rsidRPr="00C839FD">
              <w:rPr>
                <w:rFonts w:ascii="Times New Roman" w:eastAsia="Times New Roman" w:hAnsi="Times New Roman" w:cs="Times New Roman"/>
                <w:sz w:val="24"/>
                <w:szCs w:val="28"/>
              </w:rPr>
              <w:t>651,8 млн грн</w:t>
            </w:r>
            <w:r w:rsidR="00C839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), орієнтовна сума втраченого прибутку суб’єктів господарювання складає </w:t>
            </w:r>
            <w:r w:rsidR="00C839FD" w:rsidRPr="00C839F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32,6 млн грн</w:t>
            </w:r>
          </w:p>
        </w:tc>
      </w:tr>
      <w:tr w:rsidR="00E60ED2" w:rsidRPr="001C4834" w14:paraId="640D0B2B" w14:textId="77777777" w:rsidTr="001D4D8A">
        <w:trPr>
          <w:trHeight w:val="468"/>
        </w:trPr>
        <w:tc>
          <w:tcPr>
            <w:tcW w:w="101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E3A56" w14:textId="74AA823A" w:rsidR="00CD67B2" w:rsidRPr="001C4834" w:rsidRDefault="001D4D8A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Альтернатива 2: п</w:t>
            </w:r>
            <w:r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рийняття </w:t>
            </w:r>
            <w:proofErr w:type="spellStart"/>
            <w:r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>проєкту</w:t>
            </w:r>
            <w:proofErr w:type="spellEnd"/>
            <w:r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>акта</w:t>
            </w:r>
            <w:proofErr w:type="spellEnd"/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8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2F91E" w14:textId="0D9BA555" w:rsidR="00D67854" w:rsidRPr="00602F52" w:rsidRDefault="00D05717" w:rsidP="00B93D0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Збільшення прибутку від операцій з реалізації </w:t>
            </w:r>
            <w:r w:rsidR="00D67854">
              <w:rPr>
                <w:rFonts w:ascii="Times New Roman" w:eastAsia="Times New Roman" w:hAnsi="Times New Roman" w:cs="Times New Roman"/>
                <w:sz w:val="24"/>
                <w:szCs w:val="28"/>
              </w:rPr>
              <w:t>товарів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шляхом проведення митних аукціонів</w:t>
            </w:r>
            <w:r w:rsidR="00602F5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602F52">
              <w:rPr>
                <w:rFonts w:ascii="Times New Roman" w:eastAsia="Times New Roman" w:hAnsi="Times New Roman" w:cs="Times New Roman"/>
                <w:sz w:val="24"/>
                <w:szCs w:val="28"/>
              </w:rPr>
              <w:t>редукціонів</w:t>
            </w:r>
            <w:proofErr w:type="spellEnd"/>
            <w:r w:rsidR="00602F52">
              <w:rPr>
                <w:rFonts w:ascii="Times New Roman" w:eastAsia="Times New Roman" w:hAnsi="Times New Roman" w:cs="Times New Roman"/>
                <w:sz w:val="24"/>
                <w:szCs w:val="28"/>
              </w:rPr>
              <w:t>. 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більшення асортименту майна, що виставлятиметься на торги, </w:t>
            </w:r>
            <w:r w:rsidR="00D678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матиме наслідком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збільшення</w:t>
            </w:r>
            <w:r w:rsidR="00D678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обсягів </w:t>
            </w:r>
            <w:r w:rsidR="00D678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реалізації такого майна, а отже і </w:t>
            </w:r>
            <w:r w:rsidR="00602F52">
              <w:rPr>
                <w:rFonts w:ascii="Times New Roman" w:eastAsia="Times New Roman" w:hAnsi="Times New Roman" w:cs="Times New Roman"/>
                <w:sz w:val="24"/>
                <w:szCs w:val="28"/>
              </w:rPr>
              <w:t>комісійної винагороди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="00602F5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 огляду на обсяги майна</w:t>
            </w:r>
            <w:r w:rsidR="00602F52">
              <w:t xml:space="preserve">, </w:t>
            </w:r>
            <w:r w:rsidR="00602F52" w:rsidRPr="00602F5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що продовжують зберігатися на складах митниць (651,8 млн грн), орієнтовна сума </w:t>
            </w:r>
            <w:r w:rsidR="00602F52">
              <w:rPr>
                <w:rFonts w:ascii="Times New Roman" w:eastAsia="Times New Roman" w:hAnsi="Times New Roman" w:cs="Times New Roman"/>
                <w:sz w:val="24"/>
                <w:szCs w:val="28"/>
              </w:rPr>
              <w:t>комісійної винагороди суб’єктів господарювання складатиме</w:t>
            </w:r>
            <w:r w:rsidR="00602F52" w:rsidRPr="00602F5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602F5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32,6 млн грн</w:t>
            </w:r>
          </w:p>
        </w:tc>
        <w:tc>
          <w:tcPr>
            <w:tcW w:w="210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6D61" w14:textId="4E7EBFFF" w:rsidR="00760B61" w:rsidRDefault="00602F52" w:rsidP="00760B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="008A14A7" w:rsidRPr="008A14A7">
              <w:rPr>
                <w:rFonts w:ascii="Times New Roman" w:eastAsia="Times New Roman" w:hAnsi="Times New Roman" w:cs="Times New Roman"/>
                <w:sz w:val="24"/>
                <w:szCs w:val="28"/>
              </w:rPr>
              <w:t>итрати, пов’язані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8A14A7" w:rsidRPr="008A14A7"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r w:rsidR="008A14A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8A14A7" w:rsidRPr="008A14A7">
              <w:rPr>
                <w:rFonts w:ascii="Times New Roman" w:eastAsia="Times New Roman" w:hAnsi="Times New Roman" w:cs="Times New Roman"/>
                <w:sz w:val="24"/>
                <w:szCs w:val="28"/>
              </w:rPr>
              <w:t>необхідністю</w:t>
            </w:r>
            <w:r w:rsidR="008A14A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ознайомлення </w:t>
            </w:r>
            <w:r w:rsidR="008A14A7" w:rsidRPr="008A14A7"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r w:rsidR="008A14A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8A14A7" w:rsidRPr="008A14A7">
              <w:rPr>
                <w:rFonts w:ascii="Times New Roman" w:eastAsia="Times New Roman" w:hAnsi="Times New Roman" w:cs="Times New Roman"/>
                <w:sz w:val="24"/>
                <w:szCs w:val="28"/>
              </w:rPr>
              <w:t>новими вимогами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760B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регулювання (орієнтовно 1,5 год х 48 </w:t>
            </w:r>
            <w:r w:rsidR="00760B61" w:rsidRPr="00760B61">
              <w:rPr>
                <w:rFonts w:ascii="Times New Roman" w:eastAsia="Times New Roman" w:hAnsi="Times New Roman" w:cs="Times New Roman"/>
                <w:sz w:val="24"/>
                <w:szCs w:val="28"/>
              </w:rPr>
              <w:t>грн</w:t>
            </w:r>
            <w:r w:rsidR="00760B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х 39 суб’єктів = </w:t>
            </w:r>
            <w:r w:rsidR="00760B61" w:rsidRPr="00760B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2808 грн</w:t>
            </w:r>
            <w:r w:rsidR="00760B61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14:paraId="04EBC5B9" w14:textId="620F7175" w:rsidR="00E60ED2" w:rsidRPr="001C4834" w:rsidRDefault="00E60ED2" w:rsidP="00602F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14:paraId="0EE907FC" w14:textId="3E647246" w:rsidR="00D05717" w:rsidRPr="001D43C1" w:rsidRDefault="00760B61" w:rsidP="00760B6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D43C1">
        <w:rPr>
          <w:rFonts w:ascii="Times New Roman" w:hAnsi="Times New Roman" w:cs="Times New Roman"/>
          <w:sz w:val="24"/>
          <w:szCs w:val="28"/>
        </w:rPr>
        <w:t>* Розраховано, виходячи з розміру мінімальної заробітної плати, установленої Законом України «Про Державний бюджет України на 2025 рік».</w:t>
      </w:r>
    </w:p>
    <w:p w14:paraId="2E80CDA2" w14:textId="77777777" w:rsidR="00760B61" w:rsidRDefault="00760B61" w:rsidP="00760B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4832"/>
        <w:gridCol w:w="4799"/>
      </w:tblGrid>
      <w:tr w:rsidR="00C94208" w:rsidRPr="001C4834" w14:paraId="4B885F2D" w14:textId="77777777" w:rsidTr="0078399B">
        <w:trPr>
          <w:jc w:val="center"/>
        </w:trPr>
        <w:tc>
          <w:tcPr>
            <w:tcW w:w="4832" w:type="dxa"/>
            <w:vAlign w:val="center"/>
          </w:tcPr>
          <w:p w14:paraId="401DD1C5" w14:textId="77777777" w:rsidR="00602F52" w:rsidRDefault="00602F52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Сумарні витрати</w:t>
            </w:r>
          </w:p>
          <w:p w14:paraId="0D844C85" w14:textId="6869DBB0" w:rsidR="00B521D3" w:rsidRPr="001C4834" w:rsidRDefault="00B521D3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за альтернативами</w:t>
            </w:r>
          </w:p>
        </w:tc>
        <w:tc>
          <w:tcPr>
            <w:tcW w:w="4799" w:type="dxa"/>
            <w:vAlign w:val="center"/>
          </w:tcPr>
          <w:p w14:paraId="789D34B8" w14:textId="77777777" w:rsidR="00602F52" w:rsidRDefault="00602F52" w:rsidP="00B9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Сума витрат,</w:t>
            </w:r>
          </w:p>
          <w:p w14:paraId="277841FD" w14:textId="7A89A8F2" w:rsidR="00B521D3" w:rsidRPr="00D439DC" w:rsidRDefault="001D43C1" w:rsidP="001D43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439D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млн грн</w:t>
            </w:r>
          </w:p>
        </w:tc>
      </w:tr>
      <w:tr w:rsidR="00C94208" w:rsidRPr="001C4834" w14:paraId="1666E0B4" w14:textId="77777777" w:rsidTr="0078399B">
        <w:trPr>
          <w:jc w:val="center"/>
        </w:trPr>
        <w:tc>
          <w:tcPr>
            <w:tcW w:w="4832" w:type="dxa"/>
            <w:vAlign w:val="center"/>
          </w:tcPr>
          <w:p w14:paraId="78BEC724" w14:textId="77777777" w:rsidR="005E7EA3" w:rsidRDefault="005E7EA3" w:rsidP="00B93D0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Альтернатива 1:</w:t>
            </w:r>
          </w:p>
          <w:p w14:paraId="36CF93EC" w14:textId="574B245C" w:rsidR="00602F52" w:rsidRPr="005E7EA3" w:rsidRDefault="008515C0" w:rsidP="00B93D0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E7EA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залишення </w:t>
            </w:r>
            <w:r w:rsidR="001D4D8A" w:rsidRPr="005E7EA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існуючої ситуації без змін</w:t>
            </w:r>
          </w:p>
        </w:tc>
        <w:tc>
          <w:tcPr>
            <w:tcW w:w="4799" w:type="dxa"/>
            <w:vAlign w:val="center"/>
          </w:tcPr>
          <w:p w14:paraId="546A8B17" w14:textId="5B341863" w:rsidR="00B521D3" w:rsidRPr="005E7EA3" w:rsidRDefault="005E7EA3" w:rsidP="00B93D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5E7EA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694,4</w:t>
            </w:r>
          </w:p>
        </w:tc>
      </w:tr>
      <w:tr w:rsidR="00602F52" w:rsidRPr="001C4834" w14:paraId="15063240" w14:textId="77777777" w:rsidTr="0078399B">
        <w:trPr>
          <w:jc w:val="center"/>
        </w:trPr>
        <w:tc>
          <w:tcPr>
            <w:tcW w:w="4832" w:type="dxa"/>
            <w:vAlign w:val="center"/>
          </w:tcPr>
          <w:p w14:paraId="4A8F9E7C" w14:textId="525543F6" w:rsidR="00602F52" w:rsidRDefault="00602F52" w:rsidP="00602F52">
            <w:pPr>
              <w:ind w:left="30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Витрати держави</w:t>
            </w:r>
          </w:p>
        </w:tc>
        <w:tc>
          <w:tcPr>
            <w:tcW w:w="4799" w:type="dxa"/>
            <w:vAlign w:val="center"/>
          </w:tcPr>
          <w:p w14:paraId="02BFD976" w14:textId="7557CA57" w:rsidR="00602F52" w:rsidRDefault="001D43C1" w:rsidP="001D4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661,8</w:t>
            </w:r>
          </w:p>
        </w:tc>
      </w:tr>
      <w:tr w:rsidR="00602F52" w:rsidRPr="001C4834" w14:paraId="31C2F77D" w14:textId="77777777" w:rsidTr="0078399B">
        <w:trPr>
          <w:jc w:val="center"/>
        </w:trPr>
        <w:tc>
          <w:tcPr>
            <w:tcW w:w="4832" w:type="dxa"/>
            <w:vAlign w:val="center"/>
          </w:tcPr>
          <w:p w14:paraId="41408C5A" w14:textId="6AEDC540" w:rsidR="00602F52" w:rsidRDefault="00602F52" w:rsidP="00602F52">
            <w:pPr>
              <w:ind w:left="30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Витрати суб’єктів господарювання</w:t>
            </w:r>
          </w:p>
        </w:tc>
        <w:tc>
          <w:tcPr>
            <w:tcW w:w="4799" w:type="dxa"/>
            <w:vAlign w:val="center"/>
          </w:tcPr>
          <w:p w14:paraId="645526EB" w14:textId="0745D512" w:rsidR="00602F52" w:rsidRDefault="001D43C1" w:rsidP="001D4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32,6</w:t>
            </w:r>
          </w:p>
        </w:tc>
      </w:tr>
      <w:tr w:rsidR="00B521D3" w:rsidRPr="001C4834" w14:paraId="6392C36B" w14:textId="77777777" w:rsidTr="0078399B">
        <w:trPr>
          <w:jc w:val="center"/>
        </w:trPr>
        <w:tc>
          <w:tcPr>
            <w:tcW w:w="4832" w:type="dxa"/>
            <w:vAlign w:val="center"/>
          </w:tcPr>
          <w:p w14:paraId="54201D90" w14:textId="77777777" w:rsidR="005E7EA3" w:rsidRDefault="001D4D8A" w:rsidP="005E7EA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E7EA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Альтернатива 2:</w:t>
            </w:r>
          </w:p>
          <w:p w14:paraId="05CCB7C1" w14:textId="1CB4835C" w:rsidR="00B521D3" w:rsidRPr="005E7EA3" w:rsidRDefault="001D4D8A" w:rsidP="005E7EA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E7EA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прийняття </w:t>
            </w:r>
            <w:proofErr w:type="spellStart"/>
            <w:r w:rsidRPr="005E7EA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проєкту</w:t>
            </w:r>
            <w:proofErr w:type="spellEnd"/>
            <w:r w:rsidRPr="005E7EA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E7EA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акта</w:t>
            </w:r>
            <w:proofErr w:type="spellEnd"/>
          </w:p>
        </w:tc>
        <w:tc>
          <w:tcPr>
            <w:tcW w:w="4799" w:type="dxa"/>
            <w:vAlign w:val="center"/>
          </w:tcPr>
          <w:p w14:paraId="19B22DC6" w14:textId="6368EAD2" w:rsidR="00B521D3" w:rsidRPr="005E7EA3" w:rsidRDefault="005E7EA3" w:rsidP="00B93D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5E7EA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0,003</w:t>
            </w:r>
          </w:p>
        </w:tc>
      </w:tr>
      <w:tr w:rsidR="00602F52" w:rsidRPr="001C4834" w14:paraId="0EFA5024" w14:textId="77777777" w:rsidTr="0078399B">
        <w:trPr>
          <w:jc w:val="center"/>
        </w:trPr>
        <w:tc>
          <w:tcPr>
            <w:tcW w:w="4832" w:type="dxa"/>
            <w:vAlign w:val="center"/>
          </w:tcPr>
          <w:p w14:paraId="71454FFC" w14:textId="1A39FC4E" w:rsidR="00602F52" w:rsidRDefault="00602F52" w:rsidP="00602F52">
            <w:pPr>
              <w:ind w:left="30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Витрати держави</w:t>
            </w:r>
          </w:p>
        </w:tc>
        <w:tc>
          <w:tcPr>
            <w:tcW w:w="4799" w:type="dxa"/>
            <w:vAlign w:val="center"/>
          </w:tcPr>
          <w:p w14:paraId="0B1A6751" w14:textId="2745D9B6" w:rsidR="00602F52" w:rsidRDefault="001D43C1" w:rsidP="001D4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0,0</w:t>
            </w:r>
            <w:r w:rsidR="000B4D4D">
              <w:rPr>
                <w:rFonts w:ascii="Times New Roman" w:eastAsia="Times New Roman" w:hAnsi="Times New Roman" w:cs="Times New Roman"/>
                <w:sz w:val="24"/>
                <w:szCs w:val="28"/>
              </w:rPr>
              <w:t>*</w:t>
            </w:r>
          </w:p>
        </w:tc>
      </w:tr>
      <w:tr w:rsidR="00602F52" w:rsidRPr="001C4834" w14:paraId="0094B41D" w14:textId="77777777" w:rsidTr="0078399B">
        <w:trPr>
          <w:jc w:val="center"/>
        </w:trPr>
        <w:tc>
          <w:tcPr>
            <w:tcW w:w="4832" w:type="dxa"/>
            <w:vAlign w:val="center"/>
          </w:tcPr>
          <w:p w14:paraId="67C02AC8" w14:textId="7C7DAE08" w:rsidR="00602F52" w:rsidRDefault="00602F52" w:rsidP="00602F52">
            <w:pPr>
              <w:ind w:left="30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Витрати суб’єктів господарювання</w:t>
            </w:r>
          </w:p>
        </w:tc>
        <w:tc>
          <w:tcPr>
            <w:tcW w:w="4799" w:type="dxa"/>
            <w:vAlign w:val="center"/>
          </w:tcPr>
          <w:p w14:paraId="52361A1D" w14:textId="18BBAE5E" w:rsidR="00602F52" w:rsidRDefault="001D43C1" w:rsidP="00602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0,003</w:t>
            </w:r>
            <w:r w:rsidR="00D439DC">
              <w:rPr>
                <w:rFonts w:ascii="Times New Roman" w:eastAsia="Times New Roman" w:hAnsi="Times New Roman" w:cs="Times New Roman"/>
                <w:sz w:val="24"/>
                <w:szCs w:val="28"/>
              </w:rPr>
              <w:t>**</w:t>
            </w:r>
          </w:p>
        </w:tc>
      </w:tr>
    </w:tbl>
    <w:p w14:paraId="3FB0E254" w14:textId="5E7589FF" w:rsidR="00E36CAF" w:rsidRDefault="000B4D4D" w:rsidP="000B4D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* З</w:t>
      </w:r>
      <w:r w:rsidRPr="000B4D4D">
        <w:rPr>
          <w:rFonts w:ascii="Times New Roman" w:eastAsia="Times New Roman" w:hAnsi="Times New Roman" w:cs="Times New Roman"/>
          <w:sz w:val="24"/>
          <w:szCs w:val="28"/>
        </w:rPr>
        <w:t xml:space="preserve">аходи з підготовки та прийняття регуляторного акту будуть здійснюватися в межах звичайної операційної діяльності органів державної влади,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а тому </w:t>
      </w:r>
      <w:r w:rsidRPr="000B4D4D">
        <w:rPr>
          <w:rFonts w:ascii="Times New Roman" w:eastAsia="Times New Roman" w:hAnsi="Times New Roman" w:cs="Times New Roman"/>
          <w:sz w:val="24"/>
          <w:szCs w:val="28"/>
        </w:rPr>
        <w:t>відсутня потреба окремого фінансування або додаткових витрат.</w:t>
      </w:r>
    </w:p>
    <w:p w14:paraId="5E3BEBE1" w14:textId="04EFF75C" w:rsidR="00D439DC" w:rsidRPr="000B4D4D" w:rsidRDefault="00D439DC" w:rsidP="000B4D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** </w:t>
      </w:r>
      <w:r w:rsidRPr="00D439DC">
        <w:rPr>
          <w:rFonts w:ascii="Times New Roman" w:eastAsia="Times New Roman" w:hAnsi="Times New Roman" w:cs="Times New Roman"/>
          <w:sz w:val="24"/>
          <w:szCs w:val="28"/>
        </w:rPr>
        <w:t>Витрати, пов’язані з необхідністю ознайомлення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з новими вимогами регулювання – 2 808 </w:t>
      </w:r>
      <w:r w:rsidRPr="00D439DC">
        <w:rPr>
          <w:rFonts w:ascii="Times New Roman" w:eastAsia="Times New Roman" w:hAnsi="Times New Roman" w:cs="Times New Roman"/>
          <w:sz w:val="24"/>
          <w:szCs w:val="28"/>
        </w:rPr>
        <w:t>грн (1,5 год х 48 грн х 39 суб’єктів)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21B96369" w14:textId="77777777" w:rsidR="000B4D4D" w:rsidRPr="001C4834" w:rsidRDefault="000B4D4D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32EC75" w14:textId="77777777" w:rsidR="00A76BDA" w:rsidRPr="001C4834" w:rsidRDefault="00A94BAB" w:rsidP="00AB73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834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="00A76BDA" w:rsidRPr="001C4834">
        <w:rPr>
          <w:rFonts w:ascii="Times New Roman" w:eastAsia="Times New Roman" w:hAnsi="Times New Roman" w:cs="Times New Roman"/>
          <w:b/>
          <w:sz w:val="28"/>
          <w:szCs w:val="28"/>
        </w:rPr>
        <w:t>V. Вибір найбільш оптимального альтернат</w:t>
      </w:r>
      <w:r w:rsidR="007177D7" w:rsidRPr="001C4834">
        <w:rPr>
          <w:rFonts w:ascii="Times New Roman" w:eastAsia="Times New Roman" w:hAnsi="Times New Roman" w:cs="Times New Roman"/>
          <w:b/>
          <w:sz w:val="28"/>
          <w:szCs w:val="28"/>
        </w:rPr>
        <w:t>ивного способу досягнення цілей</w:t>
      </w:r>
    </w:p>
    <w:p w14:paraId="2AA62371" w14:textId="77777777" w:rsidR="00FD1E08" w:rsidRPr="001C4834" w:rsidRDefault="00FD1E08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34">
        <w:rPr>
          <w:rFonts w:ascii="Times New Roman" w:eastAsia="Times New Roman" w:hAnsi="Times New Roman" w:cs="Times New Roman"/>
          <w:sz w:val="28"/>
          <w:szCs w:val="28"/>
        </w:rPr>
        <w:t>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цілей.</w:t>
      </w:r>
    </w:p>
    <w:p w14:paraId="42AA5ED9" w14:textId="173FE029" w:rsidR="00FD1E08" w:rsidRDefault="00FD1E08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34">
        <w:rPr>
          <w:rFonts w:ascii="Times New Roman" w:eastAsia="Times New Roman" w:hAnsi="Times New Roman" w:cs="Times New Roman"/>
          <w:sz w:val="28"/>
          <w:szCs w:val="28"/>
        </w:rPr>
        <w:t>Вартість балів визначається за чотирибальною системою оцінки ступ</w:t>
      </w:r>
      <w:r w:rsidR="00BC774C">
        <w:rPr>
          <w:rFonts w:ascii="Times New Roman" w:eastAsia="Times New Roman" w:hAnsi="Times New Roman" w:cs="Times New Roman"/>
          <w:sz w:val="28"/>
          <w:szCs w:val="28"/>
        </w:rPr>
        <w:t>еня досягнення визначених цілей, де:</w:t>
      </w:r>
    </w:p>
    <w:p w14:paraId="08874171" w14:textId="39BB1089" w:rsidR="00BC774C" w:rsidRDefault="00BC774C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 – цілі прийняття регуляторного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які можуть бути досягнуті повною мірою (проблема більше існувати не буде);</w:t>
      </w:r>
    </w:p>
    <w:p w14:paraId="7DDB1EC6" w14:textId="05A72EDA" w:rsidR="00BC774C" w:rsidRDefault="00BC774C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– цілі прийняття регуляторного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які можуть бути досягнуті майже повною мірою (усі важливі аспекти проблеми існувати не будуть);</w:t>
      </w:r>
    </w:p>
    <w:p w14:paraId="0950A9EC" w14:textId="6D735A71" w:rsidR="00BC774C" w:rsidRDefault="00BC774C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– цілі прийняття регуляторного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757271EC" w14:textId="74A13516" w:rsidR="00BC774C" w:rsidRDefault="00BC774C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– цілі прийняття регуляторного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які не можуть бути досягнуті (проблема продовжує існувати).</w:t>
      </w:r>
    </w:p>
    <w:p w14:paraId="1CE6A234" w14:textId="77777777" w:rsidR="00BC774C" w:rsidRPr="001C4834" w:rsidRDefault="00BC774C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118"/>
        <w:gridCol w:w="2823"/>
        <w:gridCol w:w="3682"/>
      </w:tblGrid>
      <w:tr w:rsidR="00C94208" w:rsidRPr="001C4834" w14:paraId="0A687231" w14:textId="77777777" w:rsidTr="00E85DBD">
        <w:trPr>
          <w:trHeight w:val="454"/>
        </w:trPr>
        <w:tc>
          <w:tcPr>
            <w:tcW w:w="16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57889" w14:textId="77777777" w:rsidR="00A76BDA" w:rsidRPr="001C4834" w:rsidRDefault="00A76BDA" w:rsidP="00B93D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Рейтинг результативності (досягнення цілей під час вирішення</w:t>
            </w:r>
          </w:p>
        </w:tc>
        <w:tc>
          <w:tcPr>
            <w:tcW w:w="1467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C9CA9" w14:textId="77777777" w:rsidR="00C878E8" w:rsidRDefault="00A76BDA" w:rsidP="00C878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Бал результативності</w:t>
            </w:r>
          </w:p>
          <w:p w14:paraId="75EDE11B" w14:textId="40669D48" w:rsidR="00A76BDA" w:rsidRPr="001C4834" w:rsidRDefault="00A76BDA" w:rsidP="00C878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(за чотирибальною системою оцінки)</w:t>
            </w:r>
          </w:p>
        </w:tc>
        <w:tc>
          <w:tcPr>
            <w:tcW w:w="1913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1B1A2" w14:textId="23B67074" w:rsidR="00A76BDA" w:rsidRPr="001C4834" w:rsidRDefault="00A76BDA" w:rsidP="00B93D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Комента</w:t>
            </w:r>
            <w:r w:rsidR="005772E4"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рі щодо присвоєння відповідного </w:t>
            </w: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бал</w:t>
            </w:r>
            <w:r w:rsidR="005772E4"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</w:p>
        </w:tc>
      </w:tr>
      <w:tr w:rsidR="00C94208" w:rsidRPr="001C4834" w14:paraId="6AF797CC" w14:textId="77777777" w:rsidTr="004279A9">
        <w:trPr>
          <w:trHeight w:val="910"/>
        </w:trPr>
        <w:tc>
          <w:tcPr>
            <w:tcW w:w="1620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F743A" w14:textId="57ECB8EF" w:rsidR="00CD67B2" w:rsidRPr="001C4834" w:rsidRDefault="001D4D8A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Альтернатива 1: </w:t>
            </w:r>
            <w:r w:rsidR="008515C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залишення </w:t>
            </w:r>
            <w:r w:rsidRPr="00BE27CF">
              <w:rPr>
                <w:rFonts w:ascii="Times New Roman" w:eastAsia="Times New Roman" w:hAnsi="Times New Roman" w:cs="Times New Roman"/>
                <w:sz w:val="24"/>
                <w:szCs w:val="28"/>
              </w:rPr>
              <w:t>існуючої ситуації без змін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8D57" w14:textId="3161B056" w:rsidR="00D91D00" w:rsidRPr="001C4834" w:rsidRDefault="001D4D8A" w:rsidP="00C878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FC2DA" w14:textId="5DB17A8D" w:rsidR="00D91D00" w:rsidRDefault="00C878E8" w:rsidP="00C878E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Залишення </w:t>
            </w:r>
            <w:r w:rsidRPr="00C878E8">
              <w:rPr>
                <w:rFonts w:ascii="Times New Roman" w:eastAsia="Times New Roman" w:hAnsi="Times New Roman" w:cs="Times New Roman"/>
                <w:sz w:val="24"/>
                <w:szCs w:val="28"/>
              </w:rPr>
              <w:t>існуючої ситуації без змін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 дозволить вирішити наявну проблему, яка продовжуватиме існувати</w:t>
            </w:r>
          </w:p>
          <w:p w14:paraId="27DD2C42" w14:textId="05111A6F" w:rsidR="00C878E8" w:rsidRPr="00C878E8" w:rsidRDefault="00C878E8" w:rsidP="00C878E8">
            <w:pPr>
              <w:spacing w:line="240" w:lineRule="auto"/>
              <w:jc w:val="both"/>
            </w:pPr>
          </w:p>
        </w:tc>
      </w:tr>
      <w:tr w:rsidR="00C94208" w:rsidRPr="001C4834" w14:paraId="33C63789" w14:textId="77777777" w:rsidTr="004279A9">
        <w:trPr>
          <w:trHeight w:val="910"/>
        </w:trPr>
        <w:tc>
          <w:tcPr>
            <w:tcW w:w="1620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BE8A1" w14:textId="0FB03BF3" w:rsidR="00CD67B2" w:rsidRPr="001C4834" w:rsidRDefault="001D4D8A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Альтернатива 2: п</w:t>
            </w:r>
            <w:r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рийняття </w:t>
            </w:r>
            <w:proofErr w:type="spellStart"/>
            <w:r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>проєкту</w:t>
            </w:r>
            <w:proofErr w:type="spellEnd"/>
            <w:r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>акта</w:t>
            </w:r>
            <w:proofErr w:type="spellEnd"/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827CE" w14:textId="31D3E336" w:rsidR="00D91D00" w:rsidRPr="001C4834" w:rsidRDefault="00C878E8" w:rsidP="00C878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CFF8" w14:textId="4E543E29" w:rsidR="00D91D00" w:rsidRPr="001C4834" w:rsidRDefault="00C878E8" w:rsidP="00C878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Прийняття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дозволить вирішити наявну проблему в повній мірі</w:t>
            </w:r>
          </w:p>
        </w:tc>
      </w:tr>
    </w:tbl>
    <w:p w14:paraId="564D3F76" w14:textId="77777777" w:rsidR="00A76BDA" w:rsidRPr="001C4834" w:rsidRDefault="00A76BDA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153"/>
        <w:gridCol w:w="2466"/>
        <w:gridCol w:w="2494"/>
        <w:gridCol w:w="2518"/>
      </w:tblGrid>
      <w:tr w:rsidR="00C94208" w:rsidRPr="001C4834" w14:paraId="5B23D765" w14:textId="77777777" w:rsidTr="00BF770C">
        <w:trPr>
          <w:trHeight w:val="732"/>
        </w:trPr>
        <w:tc>
          <w:tcPr>
            <w:tcW w:w="111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870A6" w14:textId="308A698A" w:rsidR="00A76BDA" w:rsidRPr="001C4834" w:rsidRDefault="00A76BDA" w:rsidP="00B93D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Рейтинг результативності</w:t>
            </w:r>
          </w:p>
        </w:tc>
        <w:tc>
          <w:tcPr>
            <w:tcW w:w="128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687E4" w14:textId="77777777" w:rsidR="00A76BDA" w:rsidRPr="001C4834" w:rsidRDefault="00A76BDA" w:rsidP="00B93D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Вигоди</w:t>
            </w:r>
          </w:p>
          <w:p w14:paraId="17A80BC6" w14:textId="77777777" w:rsidR="00A76BDA" w:rsidRPr="001C4834" w:rsidRDefault="00A76BDA" w:rsidP="00B93D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(підсумок)</w:t>
            </w:r>
          </w:p>
        </w:tc>
        <w:tc>
          <w:tcPr>
            <w:tcW w:w="129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A7126" w14:textId="77777777" w:rsidR="005246F8" w:rsidRPr="001C4834" w:rsidRDefault="005246F8" w:rsidP="00B93D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Витрати</w:t>
            </w:r>
          </w:p>
          <w:p w14:paraId="24D86B85" w14:textId="5B7A5F64" w:rsidR="00A76BDA" w:rsidRPr="001C4834" w:rsidRDefault="00A76BDA" w:rsidP="00B93D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(підсумок)</w:t>
            </w:r>
          </w:p>
        </w:tc>
        <w:tc>
          <w:tcPr>
            <w:tcW w:w="130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196D3" w14:textId="77777777" w:rsidR="00A76BDA" w:rsidRPr="001C4834" w:rsidRDefault="00A76BDA" w:rsidP="00B93D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Обґрунтування відповідного місця альтернативи у рейтингу</w:t>
            </w:r>
          </w:p>
        </w:tc>
      </w:tr>
      <w:tr w:rsidR="00C94208" w:rsidRPr="001C4834" w14:paraId="35CEA76A" w14:textId="77777777" w:rsidTr="00BF770C">
        <w:trPr>
          <w:trHeight w:val="2525"/>
        </w:trPr>
        <w:tc>
          <w:tcPr>
            <w:tcW w:w="111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732F" w14:textId="1EFB2263" w:rsidR="00CD67B2" w:rsidRPr="001C4834" w:rsidRDefault="001D4D8A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Альтернатива 1: </w:t>
            </w:r>
            <w:r w:rsidR="008515C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залишення </w:t>
            </w:r>
            <w:r w:rsidRPr="00BE27CF">
              <w:rPr>
                <w:rFonts w:ascii="Times New Roman" w:eastAsia="Times New Roman" w:hAnsi="Times New Roman" w:cs="Times New Roman"/>
                <w:sz w:val="24"/>
                <w:szCs w:val="28"/>
              </w:rPr>
              <w:t>існуючої ситуації без змін</w:t>
            </w:r>
          </w:p>
        </w:tc>
        <w:tc>
          <w:tcPr>
            <w:tcW w:w="128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F9059" w14:textId="540682F5" w:rsidR="00EF0D36" w:rsidRDefault="006E0EAA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Д</w:t>
            </w:r>
            <w:r w:rsidR="00EF0D36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ля держави</w:t>
            </w:r>
            <w:r w:rsidR="00295ADF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:</w:t>
            </w:r>
          </w:p>
          <w:p w14:paraId="7FA1724D" w14:textId="77777777" w:rsidR="00D058F4" w:rsidRDefault="00295ADF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295AD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игода полягає у відсутності необхідності витрат (часових та фінансових) на підготовку та прийняття регуляторного акту. Водночас, оскільки заходи з підготовки та прийняття регуляторного акту здійснюються в межах звичайної операційної діяльності органів державної влади, обсяг заощаджених коштів у випадку не ініціювання розробки </w:t>
            </w:r>
            <w:r w:rsidRPr="00295AD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регуляторного акту оцінений бути не може.</w:t>
            </w:r>
          </w:p>
          <w:p w14:paraId="26511DCD" w14:textId="77777777" w:rsidR="00D058F4" w:rsidRDefault="00D058F4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F9777E9" w14:textId="3E282CF2" w:rsidR="006E0EAA" w:rsidRDefault="00EF0D36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Для </w:t>
            </w:r>
            <w:r w:rsidR="00AB74E6" w:rsidRPr="001C4834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суб’єктів господарювання:</w:t>
            </w:r>
          </w:p>
          <w:p w14:paraId="49A49B69" w14:textId="1498D27F" w:rsidR="00D058F4" w:rsidRPr="00D058F4" w:rsidRDefault="00D058F4" w:rsidP="00D058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D058F4">
              <w:rPr>
                <w:rFonts w:ascii="Times New Roman" w:eastAsia="Times New Roman" w:hAnsi="Times New Roman" w:cs="Times New Roman"/>
                <w:sz w:val="24"/>
                <w:szCs w:val="28"/>
              </w:rPr>
              <w:t>игода полягає у відсутності необхідності витрат (часових та фінансових) на ознайомлення з новими вимогами регулювання.</w:t>
            </w:r>
          </w:p>
          <w:p w14:paraId="3B6EFA73" w14:textId="4793517D" w:rsidR="006E0EAA" w:rsidRPr="001C4834" w:rsidRDefault="00D058F4" w:rsidP="00D058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58F4">
              <w:rPr>
                <w:rFonts w:ascii="Times New Roman" w:eastAsia="Times New Roman" w:hAnsi="Times New Roman" w:cs="Times New Roman"/>
                <w:sz w:val="24"/>
                <w:szCs w:val="28"/>
              </w:rPr>
              <w:t>Обсяг заощаджених коштів може бути оцінений орієнтовно в 2808 грн (1,5 год х 48 грн х 39 суб’єктів)</w:t>
            </w:r>
          </w:p>
        </w:tc>
        <w:tc>
          <w:tcPr>
            <w:tcW w:w="129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AF4A8" w14:textId="57555D86" w:rsidR="006E0EAA" w:rsidRDefault="006E0EAA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lastRenderedPageBreak/>
              <w:t>Для держави:</w:t>
            </w:r>
          </w:p>
          <w:p w14:paraId="02F00445" w14:textId="77777777" w:rsidR="00D64873" w:rsidRDefault="00D64873" w:rsidP="00D64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D6487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трати потенційно можливих сум коштів, які могли б бути отримані у випадку наявності ефективної процедури реалізації товарів на митних аукціонах, </w:t>
            </w:r>
            <w:proofErr w:type="spellStart"/>
            <w:r w:rsidRPr="00D64873">
              <w:rPr>
                <w:rFonts w:ascii="Times New Roman" w:eastAsia="Times New Roman" w:hAnsi="Times New Roman" w:cs="Times New Roman"/>
                <w:sz w:val="24"/>
                <w:szCs w:val="28"/>
              </w:rPr>
              <w:t>редукціонах</w:t>
            </w:r>
            <w:proofErr w:type="spellEnd"/>
            <w:r w:rsidRPr="00D64873">
              <w:rPr>
                <w:rFonts w:ascii="Times New Roman" w:eastAsia="Times New Roman" w:hAnsi="Times New Roman" w:cs="Times New Roman"/>
                <w:sz w:val="24"/>
                <w:szCs w:val="28"/>
              </w:rPr>
              <w:t>. Станом на 01.03.2025 на складах митниць обліковується залишків товарів, що перейшли у власність держави, на загальну вартість 651,8 млн грн., які потенційно можуть розглядатися об’єктом реалізації 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митних аукціонах,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редукціонах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14:paraId="656920AC" w14:textId="77777777" w:rsidR="00D64873" w:rsidRDefault="00D64873" w:rsidP="00D64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3AA791C5" w14:textId="4BFB6801" w:rsidR="00D64873" w:rsidRPr="001C4834" w:rsidRDefault="00D64873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D64873">
              <w:rPr>
                <w:rFonts w:ascii="Times New Roman" w:eastAsia="Times New Roman" w:hAnsi="Times New Roman" w:cs="Times New Roman"/>
                <w:sz w:val="24"/>
                <w:szCs w:val="28"/>
              </w:rPr>
              <w:t>итрати на зберігання залишків товарів на складах митниць, які не вдалося своєчасно реалізувати з огляду на відсутність ефективної процедури їх реалізації, фінансування робіт з подальшого знищення/утилізації таких товарів. Середньорічні витрати на зазначені цілі складають приблизно 10 млн грн. (на підставі аналізу останніх двох років).</w:t>
            </w:r>
          </w:p>
          <w:p w14:paraId="4CE8EA07" w14:textId="77777777" w:rsidR="00BB4482" w:rsidRPr="00BB4482" w:rsidRDefault="00BB4482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FF7A3BD" w14:textId="6D936966" w:rsidR="00A4715E" w:rsidRPr="001C4834" w:rsidRDefault="00BB4482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Для </w:t>
            </w:r>
            <w:r w:rsidR="00A4715E" w:rsidRPr="001C4834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суб’єктів господарювання: </w:t>
            </w:r>
          </w:p>
          <w:p w14:paraId="482A7E39" w14:textId="29AF0654" w:rsidR="005772E4" w:rsidRPr="001C4834" w:rsidRDefault="00312D21" w:rsidP="00312D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312D2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трата прибутку, який міг би бути отриманий від операцій з реалізації товарів шляхом організації проведення митних аукціонів, </w:t>
            </w:r>
            <w:proofErr w:type="spellStart"/>
            <w:r w:rsidRPr="00312D21">
              <w:rPr>
                <w:rFonts w:ascii="Times New Roman" w:eastAsia="Times New Roman" w:hAnsi="Times New Roman" w:cs="Times New Roman"/>
                <w:sz w:val="24"/>
                <w:szCs w:val="28"/>
              </w:rPr>
              <w:t>редукціонів</w:t>
            </w:r>
            <w:proofErr w:type="spellEnd"/>
            <w:r w:rsidRPr="00312D21">
              <w:rPr>
                <w:rFonts w:ascii="Times New Roman" w:eastAsia="Times New Roman" w:hAnsi="Times New Roman" w:cs="Times New Roman"/>
                <w:sz w:val="24"/>
                <w:szCs w:val="28"/>
              </w:rPr>
              <w:t>. Враховуючи діючий розмір комісійної винагороди (5% ціни продажу лота) та обсяги майна, що продовжують зберігатися на складах митниць (651,8 млн грн), орієнтовна сума втраченого прибутку суб’єктів господарювання складає 32,6 млн грн</w:t>
            </w:r>
          </w:p>
        </w:tc>
        <w:tc>
          <w:tcPr>
            <w:tcW w:w="130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92740" w14:textId="65FAF766" w:rsidR="000066D7" w:rsidRPr="001C4834" w:rsidRDefault="000066D7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Є найгіршою з альтернатив, оскільки не відповідає </w:t>
            </w:r>
            <w:r w:rsidR="005772E4"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інтересам жодної заінтересованої с</w:t>
            </w:r>
            <w:r w:rsidR="00D64873">
              <w:rPr>
                <w:rFonts w:ascii="Times New Roman" w:eastAsia="Times New Roman" w:hAnsi="Times New Roman" w:cs="Times New Roman"/>
                <w:sz w:val="24"/>
                <w:szCs w:val="28"/>
              </w:rPr>
              <w:t>торони</w:t>
            </w:r>
          </w:p>
          <w:p w14:paraId="28A39439" w14:textId="77777777" w:rsidR="000066D7" w:rsidRPr="001C4834" w:rsidRDefault="000066D7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67A1D9C" w14:textId="79A33971" w:rsidR="006E0EAA" w:rsidRPr="001C4834" w:rsidRDefault="006E0EAA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6E0EAA" w:rsidRPr="001C4834" w14:paraId="67EEC81C" w14:textId="77777777" w:rsidTr="00EA799C">
        <w:trPr>
          <w:trHeight w:val="603"/>
        </w:trPr>
        <w:tc>
          <w:tcPr>
            <w:tcW w:w="111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4E91F" w14:textId="4B976788" w:rsidR="00CD67B2" w:rsidRPr="001C4834" w:rsidRDefault="001D4D8A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Альтернатива 2: п</w:t>
            </w:r>
            <w:r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рийняття </w:t>
            </w:r>
            <w:proofErr w:type="spellStart"/>
            <w:r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>проєкту</w:t>
            </w:r>
            <w:proofErr w:type="spellEnd"/>
            <w:r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>акта</w:t>
            </w:r>
            <w:proofErr w:type="spellEnd"/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8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02647" w14:textId="6738E9E9" w:rsidR="00A4715E" w:rsidRPr="001C4834" w:rsidRDefault="00A4715E" w:rsidP="00B93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1C4834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Для держави:</w:t>
            </w:r>
          </w:p>
          <w:p w14:paraId="1D74E5FC" w14:textId="35F10FA3" w:rsidR="00D64873" w:rsidRPr="00D64873" w:rsidRDefault="00D64873" w:rsidP="00D64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D6487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тримання додаткових сум </w:t>
            </w:r>
            <w:r w:rsidRPr="00D6487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коштів за рахунок наявності ефективної процедури реалізації товарів на митних аукціонах, </w:t>
            </w:r>
            <w:proofErr w:type="spellStart"/>
            <w:r w:rsidRPr="00D64873">
              <w:rPr>
                <w:rFonts w:ascii="Times New Roman" w:eastAsia="Times New Roman" w:hAnsi="Times New Roman" w:cs="Times New Roman"/>
                <w:sz w:val="24"/>
                <w:szCs w:val="28"/>
              </w:rPr>
              <w:t>редукціонах</w:t>
            </w:r>
            <w:proofErr w:type="spellEnd"/>
            <w:r w:rsidRPr="00D64873">
              <w:rPr>
                <w:rFonts w:ascii="Times New Roman" w:eastAsia="Times New Roman" w:hAnsi="Times New Roman" w:cs="Times New Roman"/>
                <w:sz w:val="24"/>
                <w:szCs w:val="28"/>
              </w:rPr>
              <w:t>. Орієнтовна сума надходжень оцінюється на рівні облікової суми залишку майна на складах митниць, які станом на 01.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03.2025 складають 651,8 млн грн;</w:t>
            </w:r>
          </w:p>
          <w:p w14:paraId="28A7A973" w14:textId="77777777" w:rsidR="00D64873" w:rsidRPr="00D64873" w:rsidRDefault="00D64873" w:rsidP="00D64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1B3D7B6F" w14:textId="1D9DF906" w:rsidR="00D64873" w:rsidRDefault="00D64873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r w:rsidRPr="00D64873">
              <w:rPr>
                <w:rFonts w:ascii="Times New Roman" w:eastAsia="Times New Roman" w:hAnsi="Times New Roman" w:cs="Times New Roman"/>
                <w:sz w:val="24"/>
                <w:szCs w:val="28"/>
              </w:rPr>
              <w:t>меншення витрат на зберігання товарів на складах митниць внаслідок зменшення обсягу таких товарів шляхом своєчасної їх реалізації, а також уникнення потреби у фінансуванні заходів щодо знищення/утилізації залишків нереалізованих товарів. Орієнтовний розмір коштів, які будуть заощаджені, складає 10 млн грн (на підставі аналізу середньорічних витрат на вказані цілі)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14:paraId="50671B9E" w14:textId="77777777" w:rsidR="00D64873" w:rsidRDefault="00D64873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</w:p>
          <w:p w14:paraId="238309CC" w14:textId="529CFD1C" w:rsidR="00A4715E" w:rsidRPr="001C4834" w:rsidRDefault="00BB4482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Для </w:t>
            </w:r>
            <w:r w:rsidR="00A4715E" w:rsidRPr="001C4834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суб’єктів господарювання:</w:t>
            </w:r>
          </w:p>
          <w:p w14:paraId="41D9AD31" w14:textId="4EB6B2DF" w:rsidR="006E335F" w:rsidRPr="001C4834" w:rsidRDefault="00D64873" w:rsidP="00D64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r w:rsidRPr="00D6487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більшення прибутку від операцій з реалізації товарів шляхом проведення митних аукціонів, </w:t>
            </w:r>
            <w:proofErr w:type="spellStart"/>
            <w:r w:rsidRPr="00D64873">
              <w:rPr>
                <w:rFonts w:ascii="Times New Roman" w:eastAsia="Times New Roman" w:hAnsi="Times New Roman" w:cs="Times New Roman"/>
                <w:sz w:val="24"/>
                <w:szCs w:val="28"/>
              </w:rPr>
              <w:t>редукціонів</w:t>
            </w:r>
            <w:proofErr w:type="spellEnd"/>
            <w:r w:rsidRPr="00D6487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Збільшення асортименту майна, що виставлятиметься на торги, матиме наслідком збільшення  обсягів реалізації такого </w:t>
            </w:r>
            <w:r w:rsidRPr="00D6487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майна, а отже і комісійної винагороди. З огляду на обсяги майна, що продовжують зберігатися на складах митниць (651,8 млн грн), орієнтовна сума комісійної винагороди суб’єктів господарювання складатиме 32,6 млн грн</w:t>
            </w:r>
          </w:p>
        </w:tc>
        <w:tc>
          <w:tcPr>
            <w:tcW w:w="129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9C240" w14:textId="58603F17" w:rsidR="00E36CAF" w:rsidRDefault="00554063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lastRenderedPageBreak/>
              <w:t xml:space="preserve">Для держави, </w:t>
            </w:r>
          </w:p>
          <w:p w14:paraId="3F2217A7" w14:textId="672D3A61" w:rsidR="00E36CAF" w:rsidRPr="00D64873" w:rsidRDefault="00D64873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D6487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итрати на підготовку та прийняття </w:t>
            </w:r>
            <w:r w:rsidRPr="00D6487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регуляторного акту. Водночас, оскільки заходи з підготовки та прийняття регуляторного акту будуть здійснюватися в межах звичайної операційної діяльності органів державної влади, відсутня потреба окремого фінансування або додаткових витрат.</w:t>
            </w:r>
          </w:p>
          <w:p w14:paraId="5D8402C4" w14:textId="77777777" w:rsidR="00D64873" w:rsidRDefault="00D64873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</w:p>
          <w:p w14:paraId="31118B8B" w14:textId="77777777" w:rsidR="00E36CAF" w:rsidRDefault="00E36CAF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Для</w:t>
            </w:r>
            <w:r w:rsidR="00B521D3" w:rsidRPr="001C4834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суб’єктів господарювання:</w:t>
            </w:r>
          </w:p>
          <w:p w14:paraId="53D1633E" w14:textId="13C2BCE6" w:rsidR="00A4715E" w:rsidRPr="001C4834" w:rsidRDefault="00D64873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D64873">
              <w:rPr>
                <w:rFonts w:ascii="Times New Roman" w:eastAsia="Times New Roman" w:hAnsi="Times New Roman" w:cs="Times New Roman"/>
                <w:sz w:val="24"/>
                <w:szCs w:val="28"/>
              </w:rPr>
              <w:t>итрати, пов’язані з необхідністю ознайомлення з новими вимогами регулювання (орієнтовно 1,5 год х 48 грн х 39 суб’єктів = 2808 грн)</w:t>
            </w:r>
          </w:p>
          <w:p w14:paraId="22D92029" w14:textId="77777777" w:rsidR="006E0EAA" w:rsidRPr="001C4834" w:rsidRDefault="006E0EAA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5C63C" w14:textId="532352A8" w:rsidR="000066D7" w:rsidRPr="001C4834" w:rsidRDefault="000066D7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Є найоптимальнішою серед запропонованих альтернатив, оскільки </w:t>
            </w: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відповідає вимогам регуляторної політики і досяга</w:t>
            </w:r>
            <w:r w:rsidR="00866E37"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є цілей державного регулювання. </w:t>
            </w:r>
            <w:r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Є вигідною </w:t>
            </w:r>
            <w:r w:rsidR="00E1639E" w:rsidRPr="001C483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="00D64873">
              <w:rPr>
                <w:rFonts w:ascii="Times New Roman" w:eastAsia="Times New Roman" w:hAnsi="Times New Roman" w:cs="Times New Roman"/>
                <w:sz w:val="24"/>
                <w:szCs w:val="28"/>
              </w:rPr>
              <w:t>ля всіх заінтересованих сторін</w:t>
            </w:r>
          </w:p>
          <w:p w14:paraId="34B790CC" w14:textId="77777777" w:rsidR="00866E37" w:rsidRPr="001C4834" w:rsidRDefault="00866E37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E867978" w14:textId="48C739ED" w:rsidR="00E36CAF" w:rsidRPr="001C4834" w:rsidRDefault="00E36CAF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14:paraId="4E7FBA01" w14:textId="77777777" w:rsidR="00A76BDA" w:rsidRPr="001C4834" w:rsidRDefault="00A76BDA" w:rsidP="00B93D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5075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131"/>
        <w:gridCol w:w="4526"/>
        <w:gridCol w:w="3118"/>
      </w:tblGrid>
      <w:tr w:rsidR="00C94208" w:rsidRPr="001C4834" w14:paraId="7426C7AA" w14:textId="77777777" w:rsidTr="001B763F">
        <w:trPr>
          <w:trHeight w:val="1030"/>
        </w:trPr>
        <w:tc>
          <w:tcPr>
            <w:tcW w:w="10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F9E6B" w14:textId="77777777" w:rsidR="00A76BDA" w:rsidRPr="001C4834" w:rsidRDefault="00A76BDA" w:rsidP="00B93D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231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D317C" w14:textId="77777777" w:rsidR="00A76BDA" w:rsidRPr="001C4834" w:rsidRDefault="00A76BDA" w:rsidP="00B93D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 щодо переваг обраної альтернативи/причини відмови від альтернативи</w:t>
            </w:r>
          </w:p>
        </w:tc>
        <w:tc>
          <w:tcPr>
            <w:tcW w:w="159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027E2" w14:textId="77777777" w:rsidR="00A76BDA" w:rsidRPr="001C4834" w:rsidRDefault="00A76BDA" w:rsidP="00B93D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1C4834">
              <w:rPr>
                <w:rFonts w:ascii="Times New Roman" w:eastAsia="Times New Roman" w:hAnsi="Times New Roman" w:cs="Times New Roman"/>
                <w:sz w:val="24"/>
                <w:szCs w:val="24"/>
              </w:rPr>
              <w:t>акта</w:t>
            </w:r>
            <w:proofErr w:type="spellEnd"/>
          </w:p>
        </w:tc>
      </w:tr>
      <w:tr w:rsidR="00C94208" w:rsidRPr="001C4834" w14:paraId="77854C39" w14:textId="77777777" w:rsidTr="001B763F">
        <w:trPr>
          <w:trHeight w:val="745"/>
        </w:trPr>
        <w:tc>
          <w:tcPr>
            <w:tcW w:w="10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2A83E" w14:textId="693A068E" w:rsidR="001D5725" w:rsidRPr="001C4834" w:rsidRDefault="001D4D8A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Альтернатива 1: </w:t>
            </w:r>
            <w:r w:rsidR="008515C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залишення </w:t>
            </w:r>
            <w:r w:rsidRPr="00BE27CF">
              <w:rPr>
                <w:rFonts w:ascii="Times New Roman" w:eastAsia="Times New Roman" w:hAnsi="Times New Roman" w:cs="Times New Roman"/>
                <w:sz w:val="24"/>
                <w:szCs w:val="28"/>
              </w:rPr>
              <w:t>існуючої ситуації без змін</w:t>
            </w:r>
            <w:r w:rsidR="001D5725" w:rsidRPr="001C4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D2611" w14:textId="1EA43ADB" w:rsidR="00CE063B" w:rsidRPr="001C4834" w:rsidRDefault="00CE063B" w:rsidP="00AB7C43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Ця альтернативна не може бути застосована </w:t>
            </w:r>
            <w:r w:rsidR="001D5725" w:rsidRPr="001C4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оскільки </w:t>
            </w:r>
            <w:r w:rsidR="00754A03" w:rsidRPr="001C4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CE063B">
              <w:rPr>
                <w:rFonts w:ascii="Times New Roman" w:hAnsi="Times New Roman" w:cs="Times New Roman"/>
                <w:sz w:val="24"/>
                <w:szCs w:val="24"/>
              </w:rPr>
              <w:t>відповідає інтересам жодної заінтересов</w:t>
            </w:r>
            <w:r w:rsidR="00AB7C43">
              <w:rPr>
                <w:rFonts w:ascii="Times New Roman" w:hAnsi="Times New Roman" w:cs="Times New Roman"/>
                <w:sz w:val="24"/>
                <w:szCs w:val="24"/>
              </w:rPr>
              <w:t>аної сторони</w:t>
            </w:r>
          </w:p>
        </w:tc>
        <w:tc>
          <w:tcPr>
            <w:tcW w:w="159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A4851" w14:textId="77777777" w:rsidR="001D5725" w:rsidRPr="001C4834" w:rsidRDefault="001D5725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 зовнішніх чинників відсутній</w:t>
            </w:r>
          </w:p>
        </w:tc>
      </w:tr>
      <w:tr w:rsidR="00C94208" w:rsidRPr="001C4834" w14:paraId="639C567A" w14:textId="77777777" w:rsidTr="001B763F">
        <w:trPr>
          <w:trHeight w:val="745"/>
        </w:trPr>
        <w:tc>
          <w:tcPr>
            <w:tcW w:w="10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C4921" w14:textId="7B003658" w:rsidR="001D5725" w:rsidRPr="001C4834" w:rsidRDefault="001D4D8A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Альтернатива 2: п</w:t>
            </w:r>
            <w:r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рийняття </w:t>
            </w:r>
            <w:proofErr w:type="spellStart"/>
            <w:r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>проєкту</w:t>
            </w:r>
            <w:proofErr w:type="spellEnd"/>
            <w:r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9044F">
              <w:rPr>
                <w:rFonts w:ascii="Times New Roman" w:eastAsia="Times New Roman" w:hAnsi="Times New Roman" w:cs="Times New Roman"/>
                <w:sz w:val="24"/>
                <w:szCs w:val="28"/>
              </w:rPr>
              <w:t>акта</w:t>
            </w:r>
            <w:proofErr w:type="spellEnd"/>
            <w:r w:rsidR="001D5725" w:rsidRPr="001C4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E492F" w14:textId="086643DB" w:rsidR="001D5725" w:rsidRPr="001C4834" w:rsidRDefault="00CE063B" w:rsidP="00AB7C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Ця альтернатива </w:t>
            </w:r>
            <w:r w:rsidRPr="00CE063B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 цілей державного регулювання та є</w:t>
            </w:r>
            <w:r w:rsidRPr="00CE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вигідною д</w:t>
            </w:r>
            <w:r w:rsidR="00AB7C43">
              <w:rPr>
                <w:rFonts w:ascii="Times New Roman" w:eastAsia="Times New Roman" w:hAnsi="Times New Roman" w:cs="Times New Roman"/>
                <w:sz w:val="24"/>
                <w:szCs w:val="24"/>
              </w:rPr>
              <w:t>ля всіх заінтересованих сторін</w:t>
            </w:r>
          </w:p>
        </w:tc>
        <w:tc>
          <w:tcPr>
            <w:tcW w:w="159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A73E0" w14:textId="77777777" w:rsidR="001D5725" w:rsidRPr="001C4834" w:rsidRDefault="001D5725" w:rsidP="00B93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834"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 зовнішніх чинників відсутній</w:t>
            </w:r>
          </w:p>
        </w:tc>
      </w:tr>
    </w:tbl>
    <w:p w14:paraId="295DE9BE" w14:textId="3A9D6C91" w:rsidR="00DF4A20" w:rsidRDefault="00DF4A20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B6A802" w14:textId="131F0DB7" w:rsidR="005F3786" w:rsidRPr="001C4834" w:rsidRDefault="005F3786" w:rsidP="00AB73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834">
        <w:rPr>
          <w:rFonts w:ascii="Times New Roman" w:eastAsia="Times New Roman" w:hAnsi="Times New Roman" w:cs="Times New Roman"/>
          <w:b/>
          <w:sz w:val="28"/>
          <w:szCs w:val="28"/>
        </w:rPr>
        <w:t>V. Механізм та заходи, які забезпечать розв’язання визначеної проблеми</w:t>
      </w:r>
    </w:p>
    <w:p w14:paraId="42B714C7" w14:textId="77777777" w:rsidR="00CE063B" w:rsidRDefault="00CE063B" w:rsidP="00CE063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Механізмом, який забезпечить розв’язання визначеної проблеми, є </w:t>
      </w:r>
      <w:r w:rsidRPr="001C4834">
        <w:rPr>
          <w:rFonts w:ascii="Times New Roman" w:eastAsia="Times New Roman" w:hAnsi="Times New Roman" w:cs="Times New Roman"/>
          <w:sz w:val="28"/>
          <w:szCs w:val="28"/>
        </w:rPr>
        <w:t xml:space="preserve">прийняття регуляторного </w:t>
      </w:r>
      <w:proofErr w:type="spellStart"/>
      <w:r w:rsidRPr="001C4834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193FEF" w14:textId="3CE1DD63" w:rsidR="004C3F28" w:rsidRDefault="00CE063B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Організаційні заходи, які необхідно здійснити для </w:t>
      </w:r>
      <w:r w:rsidR="004C3F28">
        <w:rPr>
          <w:rFonts w:ascii="Times New Roman" w:eastAsia="Times New Roman" w:hAnsi="Times New Roman" w:cs="Times New Roman"/>
          <w:sz w:val="28"/>
          <w:szCs w:val="28"/>
        </w:rPr>
        <w:t xml:space="preserve">впровадження регуляторного </w:t>
      </w:r>
      <w:proofErr w:type="spellStart"/>
      <w:r w:rsidR="004C3F2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4C3F2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64D0897" w14:textId="5CDFC529" w:rsidR="004C3F28" w:rsidRDefault="004C3F28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дії органів державної влади – </w:t>
      </w:r>
      <w:r w:rsidR="00CE063B">
        <w:rPr>
          <w:rFonts w:ascii="Times New Roman" w:eastAsia="Times New Roman" w:hAnsi="Times New Roman" w:cs="Times New Roman"/>
          <w:sz w:val="28"/>
          <w:szCs w:val="28"/>
        </w:rPr>
        <w:t xml:space="preserve">підготувати </w:t>
      </w:r>
      <w:proofErr w:type="spellStart"/>
      <w:r w:rsidR="00CE063B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CE063B">
        <w:rPr>
          <w:rFonts w:ascii="Times New Roman" w:eastAsia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="00CE063B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CE06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38A4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63B">
        <w:rPr>
          <w:rFonts w:ascii="Times New Roman" w:eastAsia="Times New Roman" w:hAnsi="Times New Roman" w:cs="Times New Roman"/>
          <w:sz w:val="28"/>
          <w:szCs w:val="28"/>
        </w:rPr>
        <w:t xml:space="preserve">процедуру його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погодження із заінтересованими центральними органами виконавчої влади;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розгляд Кабінету Міністрів України; забезпечити інформування громадськості про вимоги регуляторного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шляхом його офіційного оприлюднення;</w:t>
      </w:r>
    </w:p>
    <w:p w14:paraId="1C3CF1D0" w14:textId="60D5425E" w:rsidR="004C3F28" w:rsidRDefault="004C3F28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дії </w:t>
      </w:r>
      <w:r w:rsidRPr="004C3F28">
        <w:rPr>
          <w:rFonts w:ascii="Times New Roman" w:eastAsia="Times New Roman" w:hAnsi="Times New Roman" w:cs="Times New Roman"/>
          <w:sz w:val="28"/>
          <w:szCs w:val="28"/>
        </w:rPr>
        <w:t>суб’єктів господарювання – ознайомитися з вимогами регулювання (пошук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063B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CE0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F28">
        <w:rPr>
          <w:rFonts w:ascii="Times New Roman" w:eastAsia="Times New Roman" w:hAnsi="Times New Roman" w:cs="Times New Roman"/>
          <w:sz w:val="28"/>
          <w:szCs w:val="28"/>
        </w:rPr>
        <w:t xml:space="preserve">регуляторного </w:t>
      </w:r>
      <w:proofErr w:type="spellStart"/>
      <w:r w:rsidRPr="004C3F2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4C3F28">
        <w:rPr>
          <w:rFonts w:ascii="Times New Roman" w:eastAsia="Times New Roman" w:hAnsi="Times New Roman" w:cs="Times New Roman"/>
          <w:sz w:val="28"/>
          <w:szCs w:val="28"/>
        </w:rPr>
        <w:t xml:space="preserve"> в мережі Інтернет</w:t>
      </w:r>
      <w:r w:rsidR="00CE063B">
        <w:rPr>
          <w:rFonts w:ascii="Times New Roman" w:eastAsia="Times New Roman" w:hAnsi="Times New Roman" w:cs="Times New Roman"/>
          <w:sz w:val="28"/>
          <w:szCs w:val="28"/>
        </w:rPr>
        <w:t xml:space="preserve"> та його опрацювання); організувати виконання вимог нового регулювання.</w:t>
      </w:r>
    </w:p>
    <w:p w14:paraId="215106C6" w14:textId="77777777" w:rsidR="00AB73F8" w:rsidRDefault="004C3F28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28">
        <w:rPr>
          <w:rFonts w:ascii="Times New Roman" w:eastAsia="Times New Roman" w:hAnsi="Times New Roman" w:cs="Times New Roman"/>
          <w:sz w:val="28"/>
          <w:szCs w:val="28"/>
        </w:rPr>
        <w:t xml:space="preserve">Ризики впливу зовнішніх факторів на дію регуляторного </w:t>
      </w:r>
      <w:proofErr w:type="spellStart"/>
      <w:r w:rsidRPr="004C3F28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4C3F28">
        <w:rPr>
          <w:rFonts w:ascii="Times New Roman" w:eastAsia="Times New Roman" w:hAnsi="Times New Roman" w:cs="Times New Roman"/>
          <w:sz w:val="28"/>
          <w:szCs w:val="28"/>
        </w:rPr>
        <w:t xml:space="preserve"> немає.</w:t>
      </w:r>
    </w:p>
    <w:p w14:paraId="3AE40934" w14:textId="67881ED6" w:rsidR="00AB73F8" w:rsidRDefault="00AB73F8" w:rsidP="00B93D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Досягнення цілей не передбачає додаткових організаційних заходів.</w:t>
      </w:r>
    </w:p>
    <w:p w14:paraId="012307AE" w14:textId="79D37103" w:rsidR="00CF3ECA" w:rsidRDefault="00AB73F8" w:rsidP="00AB73F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Можливої шкоди у разі очікуваних наслідків дії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прогнозується.</w:t>
      </w:r>
    </w:p>
    <w:p w14:paraId="3FA370DB" w14:textId="77777777" w:rsidR="00AB73F8" w:rsidRDefault="00AB73F8" w:rsidP="00AB73F8">
      <w:pPr>
        <w:spacing w:line="240" w:lineRule="auto"/>
        <w:ind w:firstLine="567"/>
        <w:jc w:val="both"/>
        <w:rPr>
          <w:rStyle w:val="rvts15"/>
          <w:b/>
          <w:sz w:val="28"/>
          <w:szCs w:val="28"/>
        </w:rPr>
      </w:pPr>
    </w:p>
    <w:p w14:paraId="7CE87425" w14:textId="353D062F" w:rsidR="00F81563" w:rsidRPr="001C4834" w:rsidRDefault="00F81563" w:rsidP="00AB73F8">
      <w:pPr>
        <w:pStyle w:val="rvps12"/>
        <w:shd w:val="clear" w:color="auto" w:fill="FFFFFF" w:themeFill="background1"/>
        <w:spacing w:before="0" w:beforeAutospacing="0" w:after="0" w:afterAutospacing="0"/>
        <w:jc w:val="center"/>
        <w:rPr>
          <w:rStyle w:val="rvts15"/>
          <w:sz w:val="28"/>
          <w:szCs w:val="28"/>
        </w:rPr>
      </w:pPr>
      <w:r w:rsidRPr="001C4834">
        <w:rPr>
          <w:rStyle w:val="rvts15"/>
          <w:b/>
          <w:sz w:val="28"/>
          <w:szCs w:val="28"/>
        </w:rPr>
        <w:t xml:space="preserve">VI. Оцінка виконання вимог регуляторного </w:t>
      </w:r>
      <w:proofErr w:type="spellStart"/>
      <w:r w:rsidRPr="001C4834">
        <w:rPr>
          <w:rStyle w:val="rvts15"/>
          <w:b/>
          <w:sz w:val="28"/>
          <w:szCs w:val="28"/>
        </w:rPr>
        <w:t>акта</w:t>
      </w:r>
      <w:proofErr w:type="spellEnd"/>
      <w:r w:rsidRPr="001C4834">
        <w:rPr>
          <w:rStyle w:val="rvts15"/>
          <w:b/>
          <w:sz w:val="28"/>
          <w:szCs w:val="28"/>
        </w:rPr>
        <w:t xml:space="preserve"> залежно від ресурсів, якими розпоряджаються органи виконавчої влади чи органи місцевого </w:t>
      </w:r>
      <w:r w:rsidRPr="001C4834">
        <w:rPr>
          <w:rStyle w:val="rvts15"/>
          <w:b/>
          <w:sz w:val="28"/>
          <w:szCs w:val="28"/>
        </w:rPr>
        <w:lastRenderedPageBreak/>
        <w:t>самоврядування, фізичні та юридичні особи, які повинні проваджувати або виконувати ці вимоги</w:t>
      </w:r>
    </w:p>
    <w:p w14:paraId="180DA9C8" w14:textId="5826A480" w:rsidR="00BE6B93" w:rsidRDefault="005B5C15" w:rsidP="00BE6B93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834">
        <w:rPr>
          <w:rFonts w:ascii="Times New Roman" w:hAnsi="Times New Roman" w:cs="Times New Roman"/>
          <w:sz w:val="28"/>
          <w:szCs w:val="28"/>
        </w:rPr>
        <w:t xml:space="preserve">Реалізація регуляторного </w:t>
      </w:r>
      <w:proofErr w:type="spellStart"/>
      <w:r w:rsidRPr="001C4834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1C4834">
        <w:rPr>
          <w:rFonts w:ascii="Times New Roman" w:hAnsi="Times New Roman" w:cs="Times New Roman"/>
          <w:sz w:val="28"/>
          <w:szCs w:val="28"/>
        </w:rPr>
        <w:t xml:space="preserve"> не </w:t>
      </w:r>
      <w:r w:rsidR="006E7F85" w:rsidRPr="001C4834">
        <w:rPr>
          <w:rFonts w:ascii="Times New Roman" w:hAnsi="Times New Roman" w:cs="Times New Roman"/>
          <w:sz w:val="28"/>
          <w:szCs w:val="28"/>
        </w:rPr>
        <w:t xml:space="preserve">потребуватиме </w:t>
      </w:r>
      <w:r w:rsidRPr="001C4834">
        <w:rPr>
          <w:rFonts w:ascii="Times New Roman" w:hAnsi="Times New Roman" w:cs="Times New Roman"/>
          <w:sz w:val="28"/>
          <w:szCs w:val="28"/>
        </w:rPr>
        <w:t>додаткових</w:t>
      </w:r>
      <w:r w:rsidR="006E7F85" w:rsidRPr="001C4834">
        <w:rPr>
          <w:rFonts w:ascii="Times New Roman" w:hAnsi="Times New Roman" w:cs="Times New Roman"/>
          <w:sz w:val="28"/>
          <w:szCs w:val="28"/>
        </w:rPr>
        <w:t xml:space="preserve"> бюджетних витрат і ресурсів на адміністрування регулювання органами виконавчої влади чи ор</w:t>
      </w:r>
      <w:r w:rsidR="00AB73F8">
        <w:rPr>
          <w:rFonts w:ascii="Times New Roman" w:hAnsi="Times New Roman" w:cs="Times New Roman"/>
          <w:sz w:val="28"/>
          <w:szCs w:val="28"/>
        </w:rPr>
        <w:t>ганами місцевого самоврядування</w:t>
      </w:r>
      <w:r w:rsidR="006E7F85" w:rsidRPr="001C4834">
        <w:rPr>
          <w:rFonts w:ascii="Times New Roman" w:hAnsi="Times New Roman" w:cs="Times New Roman"/>
          <w:sz w:val="28"/>
          <w:szCs w:val="28"/>
        </w:rPr>
        <w:t>.</w:t>
      </w:r>
      <w:r w:rsidR="00BE6B93">
        <w:rPr>
          <w:rFonts w:ascii="Times New Roman" w:hAnsi="Times New Roman" w:cs="Times New Roman"/>
          <w:sz w:val="28"/>
          <w:szCs w:val="28"/>
        </w:rPr>
        <w:t xml:space="preserve"> Відтак, розрахунок витрат на адміністрування регулювання для відповідного органу державної влади чи органу місцевого самоврядування, що залучений до процесу регулювання, не здійснювався.</w:t>
      </w:r>
    </w:p>
    <w:p w14:paraId="68A7C24D" w14:textId="1D74CB77" w:rsidR="00AB73F8" w:rsidRDefault="00AB73F8" w:rsidP="00AB73F8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Здійснено розрахунки витрат суб’єктів малого підприємництва на виконання вимог регулювання згідно з додатком 4 до Методики проведення аналізу впливу регуляторного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834">
        <w:rPr>
          <w:rFonts w:ascii="Times New Roman" w:hAnsi="Times New Roman" w:cs="Times New Roman"/>
          <w:sz w:val="28"/>
          <w:szCs w:val="28"/>
        </w:rPr>
        <w:t>(М-Тест)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E5B764" w14:textId="4E604D22" w:rsidR="00AB73F8" w:rsidRDefault="00AB73F8" w:rsidP="00AB73F8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Розрахунки витрат суб’єктів господарювання великого і середнього підприємництва не проводились </w:t>
      </w:r>
      <w:r w:rsidR="00BE6B93">
        <w:rPr>
          <w:rFonts w:ascii="Times New Roman" w:hAnsi="Times New Roman" w:cs="Times New Roman"/>
          <w:sz w:val="28"/>
          <w:szCs w:val="28"/>
        </w:rPr>
        <w:t xml:space="preserve">з причини того, що сфера дії </w:t>
      </w:r>
      <w:proofErr w:type="spellStart"/>
      <w:r w:rsidR="00BE6B9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BE6B93">
        <w:rPr>
          <w:rFonts w:ascii="Times New Roman" w:hAnsi="Times New Roman" w:cs="Times New Roman"/>
          <w:sz w:val="28"/>
          <w:szCs w:val="28"/>
        </w:rPr>
        <w:t xml:space="preserve"> регулярного </w:t>
      </w:r>
      <w:proofErr w:type="spellStart"/>
      <w:r w:rsidR="00BE6B93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BE6B93">
        <w:rPr>
          <w:rFonts w:ascii="Times New Roman" w:hAnsi="Times New Roman" w:cs="Times New Roman"/>
          <w:sz w:val="28"/>
          <w:szCs w:val="28"/>
        </w:rPr>
        <w:t xml:space="preserve"> – виключно </w:t>
      </w:r>
      <w:r w:rsidR="00BE6B93" w:rsidRPr="00BE6B93">
        <w:rPr>
          <w:rFonts w:ascii="Times New Roman" w:hAnsi="Times New Roman" w:cs="Times New Roman"/>
          <w:sz w:val="28"/>
          <w:szCs w:val="28"/>
        </w:rPr>
        <w:t>суб’єкт</w:t>
      </w:r>
      <w:r w:rsidR="00BE6B93">
        <w:rPr>
          <w:rFonts w:ascii="Times New Roman" w:hAnsi="Times New Roman" w:cs="Times New Roman"/>
          <w:sz w:val="28"/>
          <w:szCs w:val="28"/>
        </w:rPr>
        <w:t>и</w:t>
      </w:r>
      <w:r w:rsidR="00BE6B93" w:rsidRPr="00BE6B93">
        <w:rPr>
          <w:rFonts w:ascii="Times New Roman" w:hAnsi="Times New Roman" w:cs="Times New Roman"/>
          <w:sz w:val="28"/>
          <w:szCs w:val="28"/>
        </w:rPr>
        <w:t xml:space="preserve"> малого підприємництва</w:t>
      </w:r>
      <w:r w:rsidR="00BE6B93">
        <w:rPr>
          <w:rFonts w:ascii="Times New Roman" w:hAnsi="Times New Roman" w:cs="Times New Roman"/>
          <w:sz w:val="28"/>
          <w:szCs w:val="28"/>
        </w:rPr>
        <w:t>.</w:t>
      </w:r>
    </w:p>
    <w:p w14:paraId="1B3AA3DA" w14:textId="23BE8D80" w:rsidR="00BE6B93" w:rsidRDefault="00BE6B93" w:rsidP="00AB73F8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Оцінка виконання вимог регулювання, а саме: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витрат суб’єктів господарювання та держави здійснена в рамках розділу ІІІ цього аналізу (визначення та оцінка альтернативних способів досягнення цілей).</w:t>
      </w:r>
    </w:p>
    <w:p w14:paraId="4AC22A2E" w14:textId="54B9E3DA" w:rsidR="00AB73F8" w:rsidRDefault="001D5725" w:rsidP="00312D21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834">
        <w:rPr>
          <w:rFonts w:ascii="Times New Roman" w:eastAsia="Calibri" w:hAnsi="Times New Roman" w:cs="Times New Roman"/>
          <w:sz w:val="28"/>
          <w:szCs w:val="28"/>
          <w:lang w:eastAsia="en-US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14:paraId="7A66F85C" w14:textId="77777777" w:rsidR="00312D21" w:rsidRPr="00312D21" w:rsidRDefault="00312D21" w:rsidP="00312D21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Calibri" w:hAnsi="Times New Roman" w:cs="Times New Roman"/>
          <w:szCs w:val="28"/>
          <w:lang w:eastAsia="en-US"/>
        </w:rPr>
      </w:pPr>
    </w:p>
    <w:p w14:paraId="140F38D4" w14:textId="77777777" w:rsidR="00F81563" w:rsidRPr="001C4834" w:rsidRDefault="00F81563" w:rsidP="005F773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834">
        <w:rPr>
          <w:rFonts w:ascii="Times New Roman" w:hAnsi="Times New Roman" w:cs="Times New Roman"/>
          <w:b/>
          <w:sz w:val="28"/>
          <w:szCs w:val="28"/>
        </w:rPr>
        <w:t xml:space="preserve">VII. Обґрунтування запропонованого строку дії регуляторного </w:t>
      </w:r>
      <w:proofErr w:type="spellStart"/>
      <w:r w:rsidRPr="001C4834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14:paraId="5179FCB8" w14:textId="77777777" w:rsidR="00F23A7B" w:rsidRDefault="009427A5" w:rsidP="00F23A7B">
      <w:pPr>
        <w:pStyle w:val="rvps12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bookmarkStart w:id="0" w:name="n167"/>
      <w:bookmarkStart w:id="1" w:name="n168"/>
      <w:bookmarkEnd w:id="0"/>
      <w:bookmarkEnd w:id="1"/>
      <w:r w:rsidRPr="009427A5">
        <w:rPr>
          <w:sz w:val="28"/>
          <w:szCs w:val="28"/>
          <w:lang w:eastAsia="ru-RU"/>
        </w:rPr>
        <w:t xml:space="preserve">Строк дії цього регуляторного </w:t>
      </w:r>
      <w:proofErr w:type="spellStart"/>
      <w:r w:rsidRPr="009427A5">
        <w:rPr>
          <w:sz w:val="28"/>
          <w:szCs w:val="28"/>
          <w:lang w:eastAsia="ru-RU"/>
        </w:rPr>
        <w:t>акта</w:t>
      </w:r>
      <w:proofErr w:type="spellEnd"/>
      <w:r w:rsidRPr="009427A5">
        <w:rPr>
          <w:sz w:val="28"/>
          <w:szCs w:val="28"/>
          <w:lang w:eastAsia="ru-RU"/>
        </w:rPr>
        <w:t xml:space="preserve"> встановлюється на необмежений </w:t>
      </w:r>
      <w:r w:rsidR="005F773F">
        <w:rPr>
          <w:sz w:val="28"/>
          <w:szCs w:val="28"/>
          <w:lang w:eastAsia="ru-RU"/>
        </w:rPr>
        <w:t>термін оскілки він регулює відносини, які мають пості</w:t>
      </w:r>
      <w:r w:rsidR="00F23A7B">
        <w:rPr>
          <w:sz w:val="28"/>
          <w:szCs w:val="28"/>
          <w:lang w:eastAsia="ru-RU"/>
        </w:rPr>
        <w:t xml:space="preserve">йний характер. Зміна строку дії </w:t>
      </w:r>
      <w:r w:rsidRPr="009427A5">
        <w:rPr>
          <w:sz w:val="28"/>
          <w:szCs w:val="28"/>
          <w:lang w:eastAsia="ru-RU"/>
        </w:rPr>
        <w:t xml:space="preserve">регуляторного </w:t>
      </w:r>
      <w:proofErr w:type="spellStart"/>
      <w:r w:rsidRPr="009427A5">
        <w:rPr>
          <w:sz w:val="28"/>
          <w:szCs w:val="28"/>
          <w:lang w:eastAsia="ru-RU"/>
        </w:rPr>
        <w:t>акта</w:t>
      </w:r>
      <w:proofErr w:type="spellEnd"/>
      <w:r w:rsidRPr="009427A5">
        <w:rPr>
          <w:sz w:val="28"/>
          <w:szCs w:val="28"/>
          <w:lang w:eastAsia="ru-RU"/>
        </w:rPr>
        <w:t xml:space="preserve"> можлива</w:t>
      </w:r>
      <w:r w:rsidR="00F23A7B">
        <w:rPr>
          <w:sz w:val="28"/>
          <w:szCs w:val="28"/>
          <w:lang w:eastAsia="ru-RU"/>
        </w:rPr>
        <w:t xml:space="preserve"> у</w:t>
      </w:r>
      <w:r w:rsidRPr="009427A5">
        <w:rPr>
          <w:sz w:val="28"/>
          <w:szCs w:val="28"/>
          <w:lang w:eastAsia="ru-RU"/>
        </w:rPr>
        <w:t xml:space="preserve"> разі </w:t>
      </w:r>
      <w:r w:rsidR="00F23A7B">
        <w:rPr>
          <w:sz w:val="28"/>
          <w:szCs w:val="28"/>
          <w:lang w:eastAsia="ru-RU"/>
        </w:rPr>
        <w:t xml:space="preserve">виникнення потреби приведення регуляторного </w:t>
      </w:r>
      <w:proofErr w:type="spellStart"/>
      <w:r w:rsidR="00F23A7B">
        <w:rPr>
          <w:sz w:val="28"/>
          <w:szCs w:val="28"/>
          <w:lang w:eastAsia="ru-RU"/>
        </w:rPr>
        <w:t>акта</w:t>
      </w:r>
      <w:proofErr w:type="spellEnd"/>
      <w:r w:rsidR="00F23A7B">
        <w:rPr>
          <w:sz w:val="28"/>
          <w:szCs w:val="28"/>
          <w:lang w:eastAsia="ru-RU"/>
        </w:rPr>
        <w:t xml:space="preserve"> у відповідність до актів законодавства вищої юридичної сили.</w:t>
      </w:r>
    </w:p>
    <w:p w14:paraId="52911595" w14:textId="20ABCBEC" w:rsidR="005B5C15" w:rsidRDefault="009427A5" w:rsidP="00F23A7B">
      <w:pPr>
        <w:pStyle w:val="rvps12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9427A5">
        <w:rPr>
          <w:sz w:val="28"/>
          <w:szCs w:val="28"/>
          <w:lang w:eastAsia="ru-RU"/>
        </w:rPr>
        <w:t>Термін набрання чинності регуляторним актом –</w:t>
      </w:r>
      <w:r w:rsidR="00F23A7B">
        <w:rPr>
          <w:sz w:val="28"/>
          <w:szCs w:val="28"/>
          <w:lang w:eastAsia="ru-RU"/>
        </w:rPr>
        <w:t xml:space="preserve"> </w:t>
      </w:r>
      <w:r w:rsidRPr="009427A5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</w:t>
      </w:r>
      <w:r w:rsidRPr="009427A5">
        <w:rPr>
          <w:sz w:val="28"/>
          <w:szCs w:val="28"/>
          <w:lang w:eastAsia="ru-RU"/>
        </w:rPr>
        <w:t>дня його офіційного опублікування</w:t>
      </w:r>
      <w:r>
        <w:rPr>
          <w:sz w:val="28"/>
          <w:szCs w:val="28"/>
          <w:lang w:eastAsia="ru-RU"/>
        </w:rPr>
        <w:t>.</w:t>
      </w:r>
    </w:p>
    <w:p w14:paraId="22E88B20" w14:textId="77777777" w:rsidR="00CF3ECA" w:rsidRPr="00F801D1" w:rsidRDefault="00CF3ECA" w:rsidP="00B93D0A">
      <w:pPr>
        <w:pStyle w:val="rvps12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Cs w:val="28"/>
          <w:lang w:eastAsia="ru-RU"/>
        </w:rPr>
      </w:pPr>
    </w:p>
    <w:p w14:paraId="22F5CE5F" w14:textId="77777777" w:rsidR="00F81563" w:rsidRPr="001C4834" w:rsidRDefault="00F81563" w:rsidP="005F773F">
      <w:pPr>
        <w:pStyle w:val="rvps12"/>
        <w:shd w:val="clear" w:color="auto" w:fill="FFFFFF" w:themeFill="background1"/>
        <w:spacing w:before="0" w:beforeAutospacing="0" w:after="0" w:afterAutospacing="0"/>
        <w:jc w:val="center"/>
        <w:rPr>
          <w:rStyle w:val="rvts15"/>
          <w:b/>
          <w:sz w:val="28"/>
          <w:szCs w:val="28"/>
        </w:rPr>
      </w:pPr>
      <w:r w:rsidRPr="001C4834">
        <w:rPr>
          <w:rStyle w:val="rvts15"/>
          <w:b/>
          <w:sz w:val="28"/>
          <w:szCs w:val="28"/>
        </w:rPr>
        <w:t xml:space="preserve">VIII. Визначення показників результативності дії регуляторного </w:t>
      </w:r>
      <w:proofErr w:type="spellStart"/>
      <w:r w:rsidRPr="001C4834">
        <w:rPr>
          <w:rStyle w:val="rvts15"/>
          <w:b/>
          <w:sz w:val="28"/>
          <w:szCs w:val="28"/>
        </w:rPr>
        <w:t>акта</w:t>
      </w:r>
      <w:proofErr w:type="spellEnd"/>
    </w:p>
    <w:p w14:paraId="2130357C" w14:textId="77777777" w:rsidR="006A4B3C" w:rsidRDefault="009427A5" w:rsidP="00B93D0A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7A5">
        <w:rPr>
          <w:rFonts w:ascii="Times New Roman" w:hAnsi="Times New Roman" w:cs="Times New Roman"/>
          <w:sz w:val="28"/>
          <w:szCs w:val="28"/>
        </w:rPr>
        <w:t>Розмір надходжень до державного та місцевих бюджетів і державних цільових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7A5">
        <w:rPr>
          <w:rFonts w:ascii="Times New Roman" w:hAnsi="Times New Roman" w:cs="Times New Roman"/>
          <w:sz w:val="28"/>
          <w:szCs w:val="28"/>
        </w:rPr>
        <w:t>ф</w:t>
      </w:r>
      <w:r w:rsidR="006A4B3C">
        <w:rPr>
          <w:rFonts w:ascii="Times New Roman" w:hAnsi="Times New Roman" w:cs="Times New Roman"/>
          <w:sz w:val="28"/>
          <w:szCs w:val="28"/>
        </w:rPr>
        <w:t xml:space="preserve">ондів, пов’язаних із дією </w:t>
      </w:r>
      <w:proofErr w:type="spellStart"/>
      <w:r w:rsidR="006A4B3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6A4B3C">
        <w:rPr>
          <w:rFonts w:ascii="Times New Roman" w:hAnsi="Times New Roman" w:cs="Times New Roman"/>
          <w:sz w:val="28"/>
          <w:szCs w:val="28"/>
        </w:rPr>
        <w:t>:</w:t>
      </w:r>
    </w:p>
    <w:p w14:paraId="10B99B7C" w14:textId="57F77C65" w:rsidR="009427A5" w:rsidRDefault="006A4B3C" w:rsidP="00B93D0A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прямі надходження до державного чи</w:t>
      </w:r>
      <w:r w:rsidR="009427A5" w:rsidRPr="009427A5">
        <w:rPr>
          <w:rFonts w:ascii="Times New Roman" w:hAnsi="Times New Roman" w:cs="Times New Roman"/>
          <w:sz w:val="28"/>
          <w:szCs w:val="28"/>
        </w:rPr>
        <w:t xml:space="preserve"> місцевого</w:t>
      </w:r>
      <w:r w:rsidR="009427A5">
        <w:rPr>
          <w:rFonts w:ascii="Times New Roman" w:hAnsi="Times New Roman" w:cs="Times New Roman"/>
          <w:sz w:val="28"/>
          <w:szCs w:val="28"/>
        </w:rPr>
        <w:t xml:space="preserve"> </w:t>
      </w:r>
      <w:r w:rsidR="009427A5" w:rsidRPr="009427A5">
        <w:rPr>
          <w:rFonts w:ascii="Times New Roman" w:hAnsi="Times New Roman" w:cs="Times New Roman"/>
          <w:sz w:val="28"/>
          <w:szCs w:val="28"/>
        </w:rPr>
        <w:t xml:space="preserve">бюджетів запропонованим </w:t>
      </w:r>
      <w:proofErr w:type="spellStart"/>
      <w:r w:rsidR="009427A5" w:rsidRPr="009427A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роєктом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акту – не передбачаються;</w:t>
      </w:r>
    </w:p>
    <w:p w14:paraId="298BF976" w14:textId="7D478D1F" w:rsidR="006A4B3C" w:rsidRDefault="006A4B3C" w:rsidP="00B93D0A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непрямі надходження (розмір коштів, одержаних від реалізації товарів на митних аукціонах,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редукціонах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збільшаться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47296C3" w14:textId="1CDF12E7" w:rsidR="009427A5" w:rsidRPr="009427A5" w:rsidRDefault="009427A5" w:rsidP="00B93D0A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7A5">
        <w:rPr>
          <w:rFonts w:ascii="Times New Roman" w:hAnsi="Times New Roman" w:cs="Times New Roman"/>
          <w:sz w:val="28"/>
          <w:szCs w:val="28"/>
        </w:rPr>
        <w:t xml:space="preserve">Відстеження результативності регуляторного </w:t>
      </w:r>
      <w:proofErr w:type="spellStart"/>
      <w:r w:rsidRPr="009427A5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9427A5">
        <w:rPr>
          <w:rFonts w:ascii="Times New Roman" w:hAnsi="Times New Roman" w:cs="Times New Roman"/>
          <w:sz w:val="28"/>
          <w:szCs w:val="28"/>
        </w:rPr>
        <w:t xml:space="preserve"> буде здійснюватися шляхом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7A5">
        <w:rPr>
          <w:rFonts w:ascii="Times New Roman" w:hAnsi="Times New Roman" w:cs="Times New Roman"/>
          <w:sz w:val="28"/>
          <w:szCs w:val="28"/>
        </w:rPr>
        <w:t>збору та аналізу статистичних даних стосовно таких показників:</w:t>
      </w:r>
    </w:p>
    <w:p w14:paraId="5D4298BC" w14:textId="3609F355" w:rsidR="002C73CC" w:rsidRDefault="006A4B3C" w:rsidP="00B93D0A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427A5" w:rsidRPr="009427A5">
        <w:rPr>
          <w:rFonts w:ascii="Times New Roman" w:hAnsi="Times New Roman" w:cs="Times New Roman"/>
          <w:sz w:val="28"/>
          <w:szCs w:val="28"/>
        </w:rPr>
        <w:t>ількість</w:t>
      </w:r>
      <w:r>
        <w:rPr>
          <w:rFonts w:ascii="Times New Roman" w:hAnsi="Times New Roman" w:cs="Times New Roman"/>
          <w:sz w:val="28"/>
          <w:szCs w:val="28"/>
        </w:rPr>
        <w:t xml:space="preserve"> та вартість</w:t>
      </w:r>
      <w:r w:rsidR="002C73CC" w:rsidRPr="002C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3CC">
        <w:rPr>
          <w:rFonts w:ascii="Times New Roman" w:hAnsi="Times New Roman" w:cs="Times New Roman"/>
          <w:color w:val="000000"/>
          <w:sz w:val="28"/>
          <w:szCs w:val="28"/>
        </w:rPr>
        <w:t xml:space="preserve">лотів, опублікованих до продажу на </w:t>
      </w:r>
      <w:r w:rsidR="001326FC">
        <w:rPr>
          <w:rFonts w:ascii="Times New Roman" w:hAnsi="Times New Roman" w:cs="Times New Roman"/>
          <w:color w:val="000000"/>
          <w:sz w:val="28"/>
          <w:szCs w:val="28"/>
        </w:rPr>
        <w:t>електронних аукціонах</w:t>
      </w:r>
      <w:r w:rsidR="002C73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DDB40D9" w14:textId="54AF24E6" w:rsidR="002C73CC" w:rsidRDefault="002C73CC" w:rsidP="00B93D0A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кількість проведених </w:t>
      </w:r>
      <w:r w:rsidR="001326FC">
        <w:rPr>
          <w:rFonts w:ascii="Times New Roman" w:hAnsi="Times New Roman" w:cs="Times New Roman"/>
          <w:color w:val="000000"/>
          <w:sz w:val="28"/>
          <w:szCs w:val="28"/>
        </w:rPr>
        <w:t>електронних аукціонів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33A4699" w14:textId="798D3D01" w:rsidR="001326FC" w:rsidRDefault="002C73CC" w:rsidP="00B93D0A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кількість</w:t>
      </w:r>
      <w:r w:rsidR="006A4B3C">
        <w:rPr>
          <w:rFonts w:ascii="Times New Roman" w:hAnsi="Times New Roman" w:cs="Times New Roman"/>
          <w:color w:val="000000"/>
          <w:sz w:val="28"/>
          <w:szCs w:val="28"/>
        </w:rPr>
        <w:t xml:space="preserve"> та вартість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лотів, ре</w:t>
      </w:r>
      <w:r w:rsidR="001326FC">
        <w:rPr>
          <w:rFonts w:ascii="Times New Roman" w:hAnsi="Times New Roman" w:cs="Times New Roman"/>
          <w:color w:val="000000"/>
          <w:sz w:val="28"/>
          <w:szCs w:val="28"/>
        </w:rPr>
        <w:t>алізованих на митних аукціонах;</w:t>
      </w:r>
    </w:p>
    <w:p w14:paraId="5D4A434D" w14:textId="78C10652" w:rsidR="002C73CC" w:rsidRDefault="001326FC" w:rsidP="00B93D0A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кількість </w:t>
      </w:r>
      <w:r w:rsidR="006A4B3C">
        <w:rPr>
          <w:rFonts w:ascii="Times New Roman" w:hAnsi="Times New Roman" w:cs="Times New Roman"/>
          <w:color w:val="000000"/>
          <w:sz w:val="28"/>
          <w:szCs w:val="28"/>
        </w:rPr>
        <w:t xml:space="preserve">та вартість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лотів, реалізованих на </w:t>
      </w:r>
      <w:proofErr w:type="spellStart"/>
      <w:r w:rsidR="002C73CC">
        <w:rPr>
          <w:rFonts w:ascii="Times New Roman" w:hAnsi="Times New Roman" w:cs="Times New Roman"/>
          <w:color w:val="000000"/>
          <w:sz w:val="28"/>
          <w:szCs w:val="28"/>
        </w:rPr>
        <w:t>редукціонах</w:t>
      </w:r>
      <w:proofErr w:type="spellEnd"/>
      <w:r w:rsidR="002C73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C1A6E3" w14:textId="3AE7CB01" w:rsidR="009427A5" w:rsidRDefault="009427A5" w:rsidP="00B93D0A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F5B">
        <w:rPr>
          <w:rFonts w:ascii="Times New Roman" w:hAnsi="Times New Roman" w:cs="Times New Roman"/>
          <w:sz w:val="28"/>
          <w:szCs w:val="28"/>
        </w:rPr>
        <w:t xml:space="preserve">Рівень поінформованості суб’єктів господарювання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E4F5B">
        <w:rPr>
          <w:rFonts w:ascii="Times New Roman" w:hAnsi="Times New Roman" w:cs="Times New Roman"/>
          <w:sz w:val="28"/>
          <w:szCs w:val="28"/>
        </w:rPr>
        <w:t xml:space="preserve"> високий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відповідний аналіз регуляторного впливу оприлюднено для громадського о</w:t>
      </w:r>
      <w:r w:rsidR="00E67229">
        <w:rPr>
          <w:rFonts w:ascii="Times New Roman" w:hAnsi="Times New Roman" w:cs="Times New Roman"/>
          <w:sz w:val="28"/>
          <w:szCs w:val="28"/>
        </w:rPr>
        <w:t>бговорення на офіційному</w:t>
      </w:r>
      <w:r w:rsidR="0051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16C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Мінфіну.</w:t>
      </w:r>
    </w:p>
    <w:p w14:paraId="574639EF" w14:textId="77777777" w:rsidR="0016434F" w:rsidRPr="00F801D1" w:rsidRDefault="0016434F" w:rsidP="00B93D0A">
      <w:pPr>
        <w:pStyle w:val="rvps12"/>
        <w:spacing w:before="0" w:beforeAutospacing="0" w:after="0" w:afterAutospacing="0"/>
        <w:ind w:firstLine="567"/>
        <w:jc w:val="both"/>
        <w:rPr>
          <w:rStyle w:val="rvts15"/>
          <w:b/>
          <w:szCs w:val="28"/>
        </w:rPr>
      </w:pPr>
    </w:p>
    <w:p w14:paraId="7169E072" w14:textId="542980FD" w:rsidR="00F674F2" w:rsidRPr="001C4834" w:rsidRDefault="00F674F2" w:rsidP="005F773F">
      <w:pPr>
        <w:pStyle w:val="rvps12"/>
        <w:spacing w:before="0" w:beforeAutospacing="0" w:after="0" w:afterAutospacing="0"/>
        <w:jc w:val="center"/>
        <w:rPr>
          <w:rStyle w:val="rvts15"/>
          <w:b/>
          <w:sz w:val="28"/>
          <w:szCs w:val="28"/>
        </w:rPr>
      </w:pPr>
      <w:r w:rsidRPr="001C4834">
        <w:rPr>
          <w:rStyle w:val="rvts15"/>
          <w:b/>
          <w:sz w:val="28"/>
          <w:szCs w:val="28"/>
        </w:rPr>
        <w:lastRenderedPageBreak/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1C4834">
        <w:rPr>
          <w:rStyle w:val="rvts15"/>
          <w:b/>
          <w:sz w:val="28"/>
          <w:szCs w:val="28"/>
        </w:rPr>
        <w:t>акта</w:t>
      </w:r>
      <w:proofErr w:type="spellEnd"/>
    </w:p>
    <w:p w14:paraId="56E4BB72" w14:textId="3468BAB9" w:rsidR="00423005" w:rsidRPr="00423005" w:rsidRDefault="00423005" w:rsidP="00312D21">
      <w:pPr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3005">
        <w:rPr>
          <w:rFonts w:ascii="Times New Roman" w:hAnsi="Times New Roman" w:cs="Times New Roman"/>
          <w:bCs/>
          <w:iCs/>
          <w:sz w:val="28"/>
          <w:szCs w:val="28"/>
        </w:rPr>
        <w:t xml:space="preserve">Базове відстеження результативності </w:t>
      </w:r>
      <w:proofErr w:type="spellStart"/>
      <w:r w:rsidRPr="00423005">
        <w:rPr>
          <w:rFonts w:ascii="Times New Roman" w:hAnsi="Times New Roman" w:cs="Times New Roman"/>
          <w:bCs/>
          <w:iCs/>
          <w:sz w:val="28"/>
          <w:szCs w:val="28"/>
        </w:rPr>
        <w:t>акта</w:t>
      </w:r>
      <w:proofErr w:type="spellEnd"/>
      <w:r w:rsidRPr="00423005">
        <w:rPr>
          <w:rFonts w:ascii="Times New Roman" w:hAnsi="Times New Roman" w:cs="Times New Roman"/>
          <w:bCs/>
          <w:iCs/>
          <w:sz w:val="28"/>
          <w:szCs w:val="28"/>
        </w:rPr>
        <w:t xml:space="preserve"> буде здійснюватися через рік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23005">
        <w:rPr>
          <w:rFonts w:ascii="Times New Roman" w:hAnsi="Times New Roman" w:cs="Times New Roman"/>
          <w:bCs/>
          <w:iCs/>
          <w:sz w:val="28"/>
          <w:szCs w:val="28"/>
        </w:rPr>
        <w:t>після набрання</w:t>
      </w:r>
      <w:r w:rsidR="0014419A">
        <w:rPr>
          <w:rFonts w:ascii="Times New Roman" w:hAnsi="Times New Roman" w:cs="Times New Roman"/>
          <w:bCs/>
          <w:iCs/>
          <w:sz w:val="28"/>
          <w:szCs w:val="28"/>
        </w:rPr>
        <w:t xml:space="preserve"> ним</w:t>
      </w:r>
      <w:r w:rsidRPr="00423005">
        <w:rPr>
          <w:rFonts w:ascii="Times New Roman" w:hAnsi="Times New Roman" w:cs="Times New Roman"/>
          <w:bCs/>
          <w:iCs/>
          <w:sz w:val="28"/>
          <w:szCs w:val="28"/>
        </w:rPr>
        <w:t xml:space="preserve"> чинності.</w:t>
      </w:r>
    </w:p>
    <w:p w14:paraId="069CCCAE" w14:textId="589900D9" w:rsidR="00423005" w:rsidRDefault="00423005" w:rsidP="00B93D0A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3005">
        <w:rPr>
          <w:rFonts w:ascii="Times New Roman" w:hAnsi="Times New Roman" w:cs="Times New Roman"/>
          <w:bCs/>
          <w:iCs/>
          <w:sz w:val="28"/>
          <w:szCs w:val="28"/>
        </w:rPr>
        <w:t xml:space="preserve">Повторне відстеження результативності </w:t>
      </w:r>
      <w:proofErr w:type="spellStart"/>
      <w:r w:rsidRPr="00423005">
        <w:rPr>
          <w:rFonts w:ascii="Times New Roman" w:hAnsi="Times New Roman" w:cs="Times New Roman"/>
          <w:bCs/>
          <w:iCs/>
          <w:sz w:val="28"/>
          <w:szCs w:val="28"/>
        </w:rPr>
        <w:t>акта</w:t>
      </w:r>
      <w:proofErr w:type="spellEnd"/>
      <w:r w:rsidRPr="00423005">
        <w:rPr>
          <w:rFonts w:ascii="Times New Roman" w:hAnsi="Times New Roman" w:cs="Times New Roman"/>
          <w:bCs/>
          <w:iCs/>
          <w:sz w:val="28"/>
          <w:szCs w:val="28"/>
        </w:rPr>
        <w:t xml:space="preserve"> буде здійснюватися через два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23005">
        <w:rPr>
          <w:rFonts w:ascii="Times New Roman" w:hAnsi="Times New Roman" w:cs="Times New Roman"/>
          <w:bCs/>
          <w:iCs/>
          <w:sz w:val="28"/>
          <w:szCs w:val="28"/>
        </w:rPr>
        <w:t>роки з дня набрання ним чинності.</w:t>
      </w:r>
    </w:p>
    <w:p w14:paraId="00C271A2" w14:textId="6F45D065" w:rsidR="00E972BC" w:rsidRDefault="0014419A" w:rsidP="00B93D0A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Періодичні</w:t>
      </w:r>
      <w:r w:rsidR="00E972BC" w:rsidRPr="00E972BC">
        <w:rPr>
          <w:rFonts w:ascii="Times New Roman" w:hAnsi="Times New Roman" w:cs="Times New Roman"/>
          <w:bCs/>
          <w:iCs/>
          <w:sz w:val="28"/>
          <w:szCs w:val="28"/>
        </w:rPr>
        <w:t xml:space="preserve"> відстеження</w:t>
      </w:r>
      <w:r w:rsidRPr="001441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23005">
        <w:rPr>
          <w:rFonts w:ascii="Times New Roman" w:hAnsi="Times New Roman" w:cs="Times New Roman"/>
          <w:bCs/>
          <w:iCs/>
          <w:sz w:val="28"/>
          <w:szCs w:val="28"/>
        </w:rPr>
        <w:t xml:space="preserve">результативності </w:t>
      </w:r>
      <w:proofErr w:type="spellStart"/>
      <w:r w:rsidRPr="00423005">
        <w:rPr>
          <w:rFonts w:ascii="Times New Roman" w:hAnsi="Times New Roman" w:cs="Times New Roman"/>
          <w:bCs/>
          <w:iCs/>
          <w:sz w:val="28"/>
          <w:szCs w:val="28"/>
        </w:rPr>
        <w:t>акта</w:t>
      </w:r>
      <w:proofErr w:type="spellEnd"/>
      <w:r w:rsidR="00E972BC" w:rsidRPr="00E972BC">
        <w:rPr>
          <w:rFonts w:ascii="Times New Roman" w:hAnsi="Times New Roman" w:cs="Times New Roman"/>
          <w:bCs/>
          <w:iCs/>
          <w:sz w:val="28"/>
          <w:szCs w:val="28"/>
        </w:rPr>
        <w:t xml:space="preserve"> здійснюватим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E972BC" w:rsidRPr="00E972BC">
        <w:rPr>
          <w:rFonts w:ascii="Times New Roman" w:hAnsi="Times New Roman" w:cs="Times New Roman"/>
          <w:bCs/>
          <w:iCs/>
          <w:sz w:val="28"/>
          <w:szCs w:val="28"/>
        </w:rPr>
        <w:t xml:space="preserve">ться раз на </w:t>
      </w:r>
      <w:r>
        <w:rPr>
          <w:rFonts w:ascii="Times New Roman" w:hAnsi="Times New Roman" w:cs="Times New Roman"/>
          <w:bCs/>
          <w:iCs/>
          <w:sz w:val="28"/>
          <w:szCs w:val="28"/>
        </w:rPr>
        <w:t>кожні три роки</w:t>
      </w:r>
      <w:r w:rsidR="00E972BC" w:rsidRPr="00E972BC">
        <w:rPr>
          <w:rFonts w:ascii="Times New Roman" w:hAnsi="Times New Roman" w:cs="Times New Roman"/>
          <w:bCs/>
          <w:iCs/>
          <w:sz w:val="28"/>
          <w:szCs w:val="28"/>
        </w:rPr>
        <w:t>, починаючи з</w:t>
      </w:r>
      <w:r w:rsidR="00E972B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72BC" w:rsidRPr="00E972BC">
        <w:rPr>
          <w:rFonts w:ascii="Times New Roman" w:hAnsi="Times New Roman" w:cs="Times New Roman"/>
          <w:bCs/>
          <w:iCs/>
          <w:sz w:val="28"/>
          <w:szCs w:val="28"/>
        </w:rPr>
        <w:t xml:space="preserve">дня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закінчення </w:t>
      </w:r>
      <w:r w:rsidR="00E972BC" w:rsidRPr="00E972BC">
        <w:rPr>
          <w:rFonts w:ascii="Times New Roman" w:hAnsi="Times New Roman" w:cs="Times New Roman"/>
          <w:bCs/>
          <w:iCs/>
          <w:sz w:val="28"/>
          <w:szCs w:val="28"/>
        </w:rPr>
        <w:t>заходів з повторно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го відстеження результативності цього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7BABD15" w14:textId="3537B2B1" w:rsidR="003F6E43" w:rsidRDefault="0014419A" w:rsidP="00B93D0A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Вид даних, які використовуватимуться для відстеження – статичні дані за показниками результативності регуляторного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акта</w:t>
      </w:r>
      <w:proofErr w:type="spellEnd"/>
      <w:r w:rsidR="003F6E43">
        <w:rPr>
          <w:rFonts w:ascii="Times New Roman" w:hAnsi="Times New Roman" w:cs="Times New Roman"/>
          <w:bCs/>
          <w:iCs/>
          <w:sz w:val="28"/>
          <w:szCs w:val="28"/>
        </w:rPr>
        <w:t xml:space="preserve">, зазначеними у розділі </w:t>
      </w:r>
      <w:r w:rsidR="003F6E43" w:rsidRPr="003F6E43">
        <w:rPr>
          <w:rFonts w:ascii="Times New Roman" w:hAnsi="Times New Roman" w:cs="Times New Roman"/>
          <w:bCs/>
          <w:iCs/>
          <w:sz w:val="28"/>
          <w:szCs w:val="28"/>
        </w:rPr>
        <w:t>VIII</w:t>
      </w:r>
      <w:r w:rsidR="003F6E43">
        <w:rPr>
          <w:rFonts w:ascii="Times New Roman" w:hAnsi="Times New Roman" w:cs="Times New Roman"/>
          <w:bCs/>
          <w:iCs/>
          <w:sz w:val="28"/>
          <w:szCs w:val="28"/>
        </w:rPr>
        <w:t xml:space="preserve"> цього аналізу.</w:t>
      </w:r>
    </w:p>
    <w:p w14:paraId="0F204A27" w14:textId="78B1BD8F" w:rsidR="007878E3" w:rsidRDefault="007878E3" w:rsidP="00B93D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834">
        <w:rPr>
          <w:rFonts w:ascii="Times New Roman" w:hAnsi="Times New Roman" w:cs="Times New Roman"/>
          <w:sz w:val="28"/>
          <w:szCs w:val="28"/>
        </w:rPr>
        <w:t>У разі виявлення неврегульованих та/або проблемних питань на підставі аналізу зауважень та пропозицій державних органів, суб’єкті</w:t>
      </w:r>
      <w:r w:rsidR="00261253">
        <w:rPr>
          <w:rFonts w:ascii="Times New Roman" w:hAnsi="Times New Roman" w:cs="Times New Roman"/>
          <w:sz w:val="28"/>
          <w:szCs w:val="28"/>
        </w:rPr>
        <w:t xml:space="preserve">в господарювання, фізичних осіб, </w:t>
      </w:r>
      <w:r w:rsidRPr="001C4834">
        <w:rPr>
          <w:rFonts w:ascii="Times New Roman" w:hAnsi="Times New Roman" w:cs="Times New Roman"/>
          <w:sz w:val="28"/>
          <w:szCs w:val="28"/>
        </w:rPr>
        <w:t>ці питання будуть врегульовані шляхом унесення відповідних змін.</w:t>
      </w:r>
    </w:p>
    <w:p w14:paraId="44594618" w14:textId="75D181E2" w:rsidR="003F6E43" w:rsidRDefault="003F6E43" w:rsidP="00B93D0A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0170B072" w14:textId="77777777" w:rsidR="00D439DC" w:rsidRPr="00F801D1" w:rsidRDefault="00D439DC" w:rsidP="00B93D0A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01BA9E1A" w14:textId="518F861E" w:rsidR="00261253" w:rsidRDefault="00261253" w:rsidP="00B93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4649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</w:tblGrid>
      <w:tr w:rsidR="00261253" w:rsidRPr="004019FD" w14:paraId="73CDF24A" w14:textId="77777777" w:rsidTr="002B3AEE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072C64B7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Додаток 4</w:t>
            </w:r>
          </w:p>
          <w:p w14:paraId="4D206844" w14:textId="77777777" w:rsidR="00261253" w:rsidRPr="004019FD" w:rsidRDefault="00261253" w:rsidP="002B3AEE">
            <w:pPr>
              <w:spacing w:line="240" w:lineRule="auto"/>
              <w:ind w:left="-759" w:firstLine="7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до Методики проведення аналізу впливу</w:t>
            </w:r>
          </w:p>
          <w:p w14:paraId="6F4CE3D9" w14:textId="77777777" w:rsidR="00261253" w:rsidRPr="004019FD" w:rsidRDefault="00261253" w:rsidP="002B3AEE">
            <w:pPr>
              <w:spacing w:line="240" w:lineRule="auto"/>
              <w:ind w:left="-759" w:firstLine="7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 xml:space="preserve">   регуляторного </w:t>
            </w:r>
            <w:proofErr w:type="spellStart"/>
            <w:r w:rsidRPr="004019FD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401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0B533D7" w14:textId="77777777" w:rsidR="00BE070B" w:rsidRPr="004019FD" w:rsidRDefault="00BE070B" w:rsidP="00261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0DBF2D" w14:textId="77777777" w:rsidR="00261253" w:rsidRPr="004019FD" w:rsidRDefault="00261253" w:rsidP="002612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9FD">
        <w:rPr>
          <w:rFonts w:ascii="Times New Roman" w:hAnsi="Times New Roman" w:cs="Times New Roman"/>
          <w:b/>
          <w:sz w:val="24"/>
          <w:szCs w:val="24"/>
        </w:rPr>
        <w:t>ТЕСТ</w:t>
      </w:r>
    </w:p>
    <w:p w14:paraId="7D6C0D2B" w14:textId="77777777" w:rsidR="00261253" w:rsidRPr="004019FD" w:rsidRDefault="00261253" w:rsidP="002612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9FD">
        <w:rPr>
          <w:rFonts w:ascii="Times New Roman" w:hAnsi="Times New Roman" w:cs="Times New Roman"/>
          <w:b/>
          <w:sz w:val="24"/>
          <w:szCs w:val="24"/>
        </w:rPr>
        <w:t>малого підприємництва (М-Тест)</w:t>
      </w:r>
    </w:p>
    <w:p w14:paraId="35421326" w14:textId="77777777" w:rsidR="00261253" w:rsidRPr="004019FD" w:rsidRDefault="00261253" w:rsidP="002612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55B44" w14:textId="0166E6F0" w:rsidR="00261253" w:rsidRPr="004019FD" w:rsidRDefault="00261253" w:rsidP="002612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FD">
        <w:rPr>
          <w:rFonts w:ascii="Times New Roman" w:hAnsi="Times New Roman" w:cs="Times New Roman"/>
          <w:sz w:val="24"/>
          <w:szCs w:val="24"/>
        </w:rPr>
        <w:t>1. Консультації з представниками мікро- та малого підприємництва щодо оцінки впливу регулювання</w:t>
      </w:r>
      <w:r w:rsidR="00992E69">
        <w:rPr>
          <w:rFonts w:ascii="Times New Roman" w:hAnsi="Times New Roman" w:cs="Times New Roman"/>
          <w:sz w:val="24"/>
          <w:szCs w:val="24"/>
        </w:rPr>
        <w:t>.</w:t>
      </w:r>
    </w:p>
    <w:p w14:paraId="1B36A1A3" w14:textId="73B30B19" w:rsidR="00261253" w:rsidRPr="004019FD" w:rsidRDefault="00261253" w:rsidP="00992E6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9FD">
        <w:rPr>
          <w:rFonts w:ascii="Times New Roman" w:hAnsi="Times New Roman" w:cs="Times New Roman"/>
          <w:sz w:val="24"/>
          <w:szCs w:val="24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</w:t>
      </w:r>
      <w:r w:rsidRPr="004019FD">
        <w:rPr>
          <w:rFonts w:ascii="Times New Roman" w:hAnsi="Times New Roman" w:cs="Times New Roman"/>
          <w:sz w:val="24"/>
          <w:szCs w:val="24"/>
        </w:rPr>
        <w:br/>
        <w:t xml:space="preserve">яких необхідно для здійснення регулювання, проведено розробником у період </w:t>
      </w:r>
      <w:r w:rsidRPr="004019FD">
        <w:rPr>
          <w:rFonts w:ascii="Times New Roman" w:hAnsi="Times New Roman" w:cs="Times New Roman"/>
          <w:sz w:val="24"/>
          <w:szCs w:val="24"/>
        </w:rPr>
        <w:br/>
        <w:t xml:space="preserve">з </w:t>
      </w:r>
      <w:r w:rsidR="002B3AEE">
        <w:rPr>
          <w:rFonts w:ascii="Times New Roman" w:hAnsi="Times New Roman" w:cs="Times New Roman"/>
          <w:sz w:val="24"/>
          <w:szCs w:val="24"/>
        </w:rPr>
        <w:t>12.03.2025</w:t>
      </w:r>
      <w:r w:rsidRPr="004019FD">
        <w:rPr>
          <w:rFonts w:ascii="Times New Roman" w:hAnsi="Times New Roman" w:cs="Times New Roman"/>
          <w:sz w:val="24"/>
          <w:szCs w:val="24"/>
        </w:rPr>
        <w:t xml:space="preserve"> по </w:t>
      </w:r>
      <w:r w:rsidR="002B3AEE">
        <w:rPr>
          <w:rFonts w:ascii="Times New Roman" w:hAnsi="Times New Roman" w:cs="Times New Roman"/>
          <w:sz w:val="24"/>
          <w:szCs w:val="24"/>
        </w:rPr>
        <w:t>14.03.2025 (включно)</w:t>
      </w:r>
      <w:r w:rsidRPr="004019F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289"/>
        <w:gridCol w:w="1730"/>
        <w:gridCol w:w="3089"/>
      </w:tblGrid>
      <w:tr w:rsidR="00261253" w:rsidRPr="004019FD" w14:paraId="069E482E" w14:textId="77777777" w:rsidTr="002B3AEE">
        <w:tc>
          <w:tcPr>
            <w:tcW w:w="1526" w:type="dxa"/>
            <w:vAlign w:val="center"/>
          </w:tcPr>
          <w:p w14:paraId="19E3AF27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3289" w:type="dxa"/>
            <w:vAlign w:val="center"/>
          </w:tcPr>
          <w:p w14:paraId="4EC322D7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730" w:type="dxa"/>
            <w:vAlign w:val="center"/>
          </w:tcPr>
          <w:p w14:paraId="2F1C6A5F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Кількість учасників консультацій, осіб</w:t>
            </w:r>
          </w:p>
        </w:tc>
        <w:tc>
          <w:tcPr>
            <w:tcW w:w="3089" w:type="dxa"/>
            <w:vAlign w:val="center"/>
          </w:tcPr>
          <w:p w14:paraId="7029974D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Основні результати консультацій (опис)</w:t>
            </w:r>
          </w:p>
        </w:tc>
      </w:tr>
      <w:tr w:rsidR="00261253" w:rsidRPr="004019FD" w14:paraId="1104C2FD" w14:textId="77777777" w:rsidTr="002B3AEE">
        <w:tc>
          <w:tcPr>
            <w:tcW w:w="1526" w:type="dxa"/>
          </w:tcPr>
          <w:p w14:paraId="0143D313" w14:textId="4D18A0FE" w:rsidR="00261253" w:rsidRPr="004019FD" w:rsidRDefault="002B3AEE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14:paraId="22052285" w14:textId="0D9438EA" w:rsidR="00261253" w:rsidRPr="004019FD" w:rsidRDefault="002B3AEE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Телефонні консультації із суб’єктами малого підприємництва</w:t>
            </w:r>
          </w:p>
        </w:tc>
        <w:tc>
          <w:tcPr>
            <w:tcW w:w="1730" w:type="dxa"/>
          </w:tcPr>
          <w:p w14:paraId="3A0A1F03" w14:textId="7E5B23ED" w:rsidR="00261253" w:rsidRPr="004019FD" w:rsidRDefault="002B3AEE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9" w:type="dxa"/>
          </w:tcPr>
          <w:p w14:paraId="31547B23" w14:textId="1540A1AF" w:rsidR="00261253" w:rsidRPr="004019FD" w:rsidRDefault="002B3AEE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Запропоноване регулювання сприймається. Отримано інформацію щодо переліку процедур, які суб’єкту необхідно виконати у зв’язку із запровадженням  нових норм регулювання: ознайомитись із новими вимогами регулювання – 1 година часу</w:t>
            </w:r>
          </w:p>
        </w:tc>
      </w:tr>
    </w:tbl>
    <w:p w14:paraId="7EB90C25" w14:textId="77777777" w:rsidR="00261253" w:rsidRPr="004019FD" w:rsidRDefault="00261253" w:rsidP="00261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3D60A" w14:textId="77777777" w:rsidR="00261253" w:rsidRPr="004019FD" w:rsidRDefault="00261253" w:rsidP="002612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FD">
        <w:rPr>
          <w:rFonts w:ascii="Times New Roman" w:hAnsi="Times New Roman" w:cs="Times New Roman"/>
          <w:sz w:val="24"/>
          <w:szCs w:val="24"/>
        </w:rPr>
        <w:t xml:space="preserve">2. Вимірювання впливу регулювання на суб’єктів малого підприємництва (мікро- </w:t>
      </w:r>
      <w:r w:rsidRPr="004019FD">
        <w:rPr>
          <w:rFonts w:ascii="Times New Roman" w:hAnsi="Times New Roman" w:cs="Times New Roman"/>
          <w:sz w:val="24"/>
          <w:szCs w:val="24"/>
        </w:rPr>
        <w:br/>
        <w:t>та малі):</w:t>
      </w:r>
    </w:p>
    <w:p w14:paraId="65F20A1E" w14:textId="03E93953" w:rsidR="00261253" w:rsidRPr="004019FD" w:rsidRDefault="00261253" w:rsidP="002612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FD">
        <w:rPr>
          <w:rFonts w:ascii="Times New Roman" w:hAnsi="Times New Roman" w:cs="Times New Roman"/>
          <w:sz w:val="24"/>
          <w:szCs w:val="24"/>
        </w:rPr>
        <w:t>кількість суб’єктів малого підприємництва, на яких поширюється регулювання:</w:t>
      </w:r>
      <w:r w:rsidR="00EF6345">
        <w:rPr>
          <w:rFonts w:ascii="Times New Roman" w:hAnsi="Times New Roman" w:cs="Times New Roman"/>
          <w:sz w:val="24"/>
          <w:szCs w:val="24"/>
        </w:rPr>
        <w:t xml:space="preserve"> 39 </w:t>
      </w:r>
      <w:r w:rsidRPr="004019FD">
        <w:rPr>
          <w:rFonts w:ascii="Times New Roman" w:hAnsi="Times New Roman" w:cs="Times New Roman"/>
          <w:sz w:val="24"/>
          <w:szCs w:val="24"/>
        </w:rPr>
        <w:t xml:space="preserve">(одиниць), у тому числі малого підприємництва </w:t>
      </w:r>
      <w:r w:rsidR="00EF6345">
        <w:rPr>
          <w:rFonts w:ascii="Times New Roman" w:hAnsi="Times New Roman" w:cs="Times New Roman"/>
          <w:sz w:val="24"/>
          <w:szCs w:val="24"/>
        </w:rPr>
        <w:t xml:space="preserve">0 </w:t>
      </w:r>
      <w:r w:rsidRPr="004019FD">
        <w:rPr>
          <w:rFonts w:ascii="Times New Roman" w:hAnsi="Times New Roman" w:cs="Times New Roman"/>
          <w:sz w:val="24"/>
          <w:szCs w:val="24"/>
        </w:rPr>
        <w:t>(од</w:t>
      </w:r>
      <w:r w:rsidR="00EF6345">
        <w:rPr>
          <w:rFonts w:ascii="Times New Roman" w:hAnsi="Times New Roman" w:cs="Times New Roman"/>
          <w:sz w:val="24"/>
          <w:szCs w:val="24"/>
        </w:rPr>
        <w:t xml:space="preserve">иниць) та </w:t>
      </w:r>
      <w:proofErr w:type="spellStart"/>
      <w:r w:rsidR="00EF6345">
        <w:rPr>
          <w:rFonts w:ascii="Times New Roman" w:hAnsi="Times New Roman" w:cs="Times New Roman"/>
          <w:sz w:val="24"/>
          <w:szCs w:val="24"/>
        </w:rPr>
        <w:t>мікропідприємництва</w:t>
      </w:r>
      <w:proofErr w:type="spellEnd"/>
      <w:r w:rsidR="00EF6345">
        <w:rPr>
          <w:rFonts w:ascii="Times New Roman" w:hAnsi="Times New Roman" w:cs="Times New Roman"/>
          <w:sz w:val="24"/>
          <w:szCs w:val="24"/>
        </w:rPr>
        <w:t xml:space="preserve"> 39</w:t>
      </w:r>
      <w:r w:rsidR="00EF63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19FD">
        <w:rPr>
          <w:rFonts w:ascii="Times New Roman" w:hAnsi="Times New Roman" w:cs="Times New Roman"/>
          <w:sz w:val="24"/>
          <w:szCs w:val="24"/>
        </w:rPr>
        <w:t>(одиниць);</w:t>
      </w:r>
    </w:p>
    <w:p w14:paraId="38421BB1" w14:textId="31533C3F" w:rsidR="00261253" w:rsidRPr="004019FD" w:rsidRDefault="00261253" w:rsidP="002612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FD">
        <w:rPr>
          <w:rFonts w:ascii="Times New Roman" w:hAnsi="Times New Roman" w:cs="Times New Roman"/>
          <w:sz w:val="24"/>
          <w:szCs w:val="24"/>
        </w:rPr>
        <w:t>питома вага суб’єктів малого підприємництва у загальній кількості суб’єктів господарювання, н</w:t>
      </w:r>
      <w:r w:rsidR="00EF6345">
        <w:rPr>
          <w:rFonts w:ascii="Times New Roman" w:hAnsi="Times New Roman" w:cs="Times New Roman"/>
          <w:sz w:val="24"/>
          <w:szCs w:val="24"/>
        </w:rPr>
        <w:t xml:space="preserve">а яких проблема справляє вплив </w:t>
      </w:r>
      <w:r w:rsidR="00EF6345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Pr="004019FD">
        <w:rPr>
          <w:rFonts w:ascii="Times New Roman" w:hAnsi="Times New Roman" w:cs="Times New Roman"/>
          <w:sz w:val="24"/>
          <w:szCs w:val="24"/>
        </w:rPr>
        <w:t xml:space="preserve"> (відсотків) (відповідно до таблиці «Оцінка впливу на сферу інтересів суб’єктів господарювання» </w:t>
      </w:r>
      <w:r w:rsidRPr="004019FD">
        <w:rPr>
          <w:rFonts w:ascii="Times New Roman" w:hAnsi="Times New Roman" w:cs="Times New Roman"/>
          <w:sz w:val="24"/>
          <w:szCs w:val="24"/>
        </w:rPr>
        <w:br/>
        <w:t xml:space="preserve">додатка 1 до Методики проведення аналізу впливу регуляторного </w:t>
      </w:r>
      <w:proofErr w:type="spellStart"/>
      <w:r w:rsidRPr="004019FD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4019FD">
        <w:rPr>
          <w:rFonts w:ascii="Times New Roman" w:hAnsi="Times New Roman" w:cs="Times New Roman"/>
          <w:sz w:val="24"/>
          <w:szCs w:val="24"/>
        </w:rPr>
        <w:t>).</w:t>
      </w:r>
    </w:p>
    <w:p w14:paraId="5B2D29BE" w14:textId="77777777" w:rsidR="00261253" w:rsidRPr="004019FD" w:rsidRDefault="00261253" w:rsidP="0026125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2A5C04" w14:textId="3ED4730C" w:rsidR="00261253" w:rsidRPr="004019FD" w:rsidRDefault="00261253" w:rsidP="00992E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FD">
        <w:rPr>
          <w:rFonts w:ascii="Times New Roman" w:hAnsi="Times New Roman" w:cs="Times New Roman"/>
          <w:sz w:val="24"/>
          <w:szCs w:val="24"/>
        </w:rPr>
        <w:t>3. Розрахунок витрат суб’єктів малого підприємництва на виконання вимог регулювання</w:t>
      </w:r>
      <w:r w:rsidR="00992E6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51"/>
        <w:gridCol w:w="1843"/>
        <w:gridCol w:w="1984"/>
        <w:gridCol w:w="1843"/>
      </w:tblGrid>
      <w:tr w:rsidR="00261253" w:rsidRPr="004019FD" w14:paraId="13056B88" w14:textId="77777777" w:rsidTr="002B3AEE">
        <w:tc>
          <w:tcPr>
            <w:tcW w:w="1668" w:type="dxa"/>
            <w:vAlign w:val="center"/>
          </w:tcPr>
          <w:p w14:paraId="0818B8C8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2551" w:type="dxa"/>
            <w:vAlign w:val="center"/>
          </w:tcPr>
          <w:p w14:paraId="37759464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Найменування оцінки</w:t>
            </w:r>
          </w:p>
        </w:tc>
        <w:tc>
          <w:tcPr>
            <w:tcW w:w="1843" w:type="dxa"/>
            <w:vAlign w:val="center"/>
          </w:tcPr>
          <w:p w14:paraId="34CAA1F6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У перший рік (стартовий рік впровадження регулювання)</w:t>
            </w:r>
          </w:p>
        </w:tc>
        <w:tc>
          <w:tcPr>
            <w:tcW w:w="1984" w:type="dxa"/>
            <w:vAlign w:val="center"/>
          </w:tcPr>
          <w:p w14:paraId="5CB427D7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Періодичні (за наступний рік)</w:t>
            </w:r>
          </w:p>
        </w:tc>
        <w:tc>
          <w:tcPr>
            <w:tcW w:w="1843" w:type="dxa"/>
            <w:vAlign w:val="center"/>
          </w:tcPr>
          <w:p w14:paraId="06695C45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Витрати за п’ять років</w:t>
            </w:r>
          </w:p>
        </w:tc>
      </w:tr>
      <w:tr w:rsidR="00261253" w:rsidRPr="004019FD" w14:paraId="23E97116" w14:textId="77777777" w:rsidTr="002B3AEE">
        <w:tc>
          <w:tcPr>
            <w:tcW w:w="9889" w:type="dxa"/>
            <w:gridSpan w:val="5"/>
          </w:tcPr>
          <w:p w14:paraId="51FAF72E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261253" w:rsidRPr="004019FD" w14:paraId="20E2E6E1" w14:textId="77777777" w:rsidTr="002B3AEE">
        <w:tc>
          <w:tcPr>
            <w:tcW w:w="1668" w:type="dxa"/>
          </w:tcPr>
          <w:p w14:paraId="4DA41682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4F9351E" w14:textId="620BB43F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необхідного обладнання </w:t>
            </w:r>
            <w:r w:rsidRPr="00401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(пристроїв,</w:t>
            </w:r>
            <w:r w:rsidR="00EF6345">
              <w:rPr>
                <w:rFonts w:ascii="Times New Roman" w:hAnsi="Times New Roman" w:cs="Times New Roman"/>
                <w:sz w:val="24"/>
                <w:szCs w:val="24"/>
              </w:rPr>
              <w:t xml:space="preserve"> машин, механізмів)</w:t>
            </w:r>
          </w:p>
        </w:tc>
        <w:tc>
          <w:tcPr>
            <w:tcW w:w="1843" w:type="dxa"/>
          </w:tcPr>
          <w:p w14:paraId="0777801E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AA591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984" w:type="dxa"/>
          </w:tcPr>
          <w:p w14:paraId="122E54AA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2BEF3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843" w:type="dxa"/>
          </w:tcPr>
          <w:p w14:paraId="4B1424CD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4B2F9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261253" w:rsidRPr="004019FD" w14:paraId="07B83028" w14:textId="77777777" w:rsidTr="002B3AEE">
        <w:tc>
          <w:tcPr>
            <w:tcW w:w="1668" w:type="dxa"/>
          </w:tcPr>
          <w:p w14:paraId="3BC01935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83ED841" w14:textId="2F4E28A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Процедури повірки та/або постановки на відповідний облік у визначеному органі державної вл</w:t>
            </w:r>
            <w:r w:rsidR="00EF6345">
              <w:rPr>
                <w:rFonts w:ascii="Times New Roman" w:hAnsi="Times New Roman" w:cs="Times New Roman"/>
                <w:sz w:val="24"/>
                <w:szCs w:val="24"/>
              </w:rPr>
              <w:t>ади чи місцевого самоврядування</w:t>
            </w:r>
          </w:p>
        </w:tc>
        <w:tc>
          <w:tcPr>
            <w:tcW w:w="1843" w:type="dxa"/>
          </w:tcPr>
          <w:p w14:paraId="1DFB203D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089EB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984" w:type="dxa"/>
          </w:tcPr>
          <w:p w14:paraId="0387DA56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FC02E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843" w:type="dxa"/>
          </w:tcPr>
          <w:p w14:paraId="760C5B41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5D5CE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261253" w:rsidRPr="004019FD" w14:paraId="6CF69AA1" w14:textId="77777777" w:rsidTr="002B3AEE">
        <w:tc>
          <w:tcPr>
            <w:tcW w:w="1668" w:type="dxa"/>
          </w:tcPr>
          <w:p w14:paraId="401C2CB9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089242A3" w14:textId="6D7436DD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Процедури експлуатації обладнання (експлуатаційн</w:t>
            </w:r>
            <w:r w:rsidR="00EF6345">
              <w:rPr>
                <w:rFonts w:ascii="Times New Roman" w:hAnsi="Times New Roman" w:cs="Times New Roman"/>
                <w:sz w:val="24"/>
                <w:szCs w:val="24"/>
              </w:rPr>
              <w:t>і витрати – витратні матеріали)</w:t>
            </w:r>
          </w:p>
        </w:tc>
        <w:tc>
          <w:tcPr>
            <w:tcW w:w="1843" w:type="dxa"/>
          </w:tcPr>
          <w:p w14:paraId="6E132E2B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F2858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984" w:type="dxa"/>
          </w:tcPr>
          <w:p w14:paraId="3C1BBA92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13D99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843" w:type="dxa"/>
          </w:tcPr>
          <w:p w14:paraId="0C34BFCC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EA4D6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261253" w:rsidRPr="004019FD" w14:paraId="6B41EC42" w14:textId="77777777" w:rsidTr="002B3AEE">
        <w:tc>
          <w:tcPr>
            <w:tcW w:w="1668" w:type="dxa"/>
          </w:tcPr>
          <w:p w14:paraId="4B96FA1D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3F1D8897" w14:textId="4AC4DA7D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Процедури обслуговування облад</w:t>
            </w:r>
            <w:r w:rsidR="00EF6345">
              <w:rPr>
                <w:rFonts w:ascii="Times New Roman" w:hAnsi="Times New Roman" w:cs="Times New Roman"/>
                <w:sz w:val="24"/>
                <w:szCs w:val="24"/>
              </w:rPr>
              <w:t>нання (технічне обслуговування)</w:t>
            </w:r>
          </w:p>
        </w:tc>
        <w:tc>
          <w:tcPr>
            <w:tcW w:w="1843" w:type="dxa"/>
          </w:tcPr>
          <w:p w14:paraId="6B0DE71D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830B5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984" w:type="dxa"/>
          </w:tcPr>
          <w:p w14:paraId="2B215C42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D14E9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843" w:type="dxa"/>
          </w:tcPr>
          <w:p w14:paraId="71780CAD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B477A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261253" w:rsidRPr="004019FD" w14:paraId="4A743DD6" w14:textId="77777777" w:rsidTr="002B3AEE">
        <w:tc>
          <w:tcPr>
            <w:tcW w:w="1668" w:type="dxa"/>
          </w:tcPr>
          <w:p w14:paraId="5B11911E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4BF91087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Інші процедури (уточнити)</w:t>
            </w:r>
          </w:p>
        </w:tc>
        <w:tc>
          <w:tcPr>
            <w:tcW w:w="1843" w:type="dxa"/>
          </w:tcPr>
          <w:p w14:paraId="2CFBE2B6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52786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984" w:type="dxa"/>
          </w:tcPr>
          <w:p w14:paraId="503A1D7D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A2E22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843" w:type="dxa"/>
          </w:tcPr>
          <w:p w14:paraId="3018B382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B3DF2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261253" w:rsidRPr="004019FD" w14:paraId="1AE13338" w14:textId="77777777" w:rsidTr="00EF6345">
        <w:tc>
          <w:tcPr>
            <w:tcW w:w="1668" w:type="dxa"/>
          </w:tcPr>
          <w:p w14:paraId="68751B2C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6FA05E6B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Разом, гривень</w:t>
            </w:r>
          </w:p>
          <w:p w14:paraId="6D959C6D" w14:textId="5CDD1B14" w:rsidR="00261253" w:rsidRPr="004019FD" w:rsidRDefault="00261253" w:rsidP="00EF63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i/>
                <w:sz w:val="24"/>
                <w:szCs w:val="24"/>
              </w:rPr>
              <w:t>Формула:</w:t>
            </w:r>
            <w:r w:rsidR="00EF63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19FD">
              <w:rPr>
                <w:rFonts w:ascii="Times New Roman" w:hAnsi="Times New Roman" w:cs="Times New Roman"/>
                <w:i/>
                <w:sz w:val="24"/>
                <w:szCs w:val="24"/>
              </w:rPr>
              <w:t>(сума рядків 1 + 2 + 3 + 4 + 5)</w:t>
            </w:r>
          </w:p>
        </w:tc>
        <w:tc>
          <w:tcPr>
            <w:tcW w:w="1843" w:type="dxa"/>
            <w:vAlign w:val="center"/>
          </w:tcPr>
          <w:p w14:paraId="3093B88D" w14:textId="02F290A6" w:rsidR="00261253" w:rsidRPr="00EF6345" w:rsidRDefault="00EF6345" w:rsidP="00EF63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14:paraId="79FBDB52" w14:textId="2EA3D253" w:rsidR="00261253" w:rsidRPr="004019FD" w:rsidRDefault="00EF6345" w:rsidP="00EF6345">
            <w:pPr>
              <w:tabs>
                <w:tab w:val="left" w:pos="555"/>
                <w:tab w:val="center" w:pos="8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14:paraId="5052FDD8" w14:textId="5DC87F76" w:rsidR="00261253" w:rsidRPr="004019FD" w:rsidRDefault="00EF6345" w:rsidP="00EF63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61253" w:rsidRPr="004019FD" w14:paraId="43B28026" w14:textId="77777777" w:rsidTr="00EF6345">
        <w:tc>
          <w:tcPr>
            <w:tcW w:w="1668" w:type="dxa"/>
          </w:tcPr>
          <w:p w14:paraId="4C76A676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7EDCE2C4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Кількість суб’єктів господарювання, які мають виконати вимоги регулювання, одиниць</w:t>
            </w:r>
          </w:p>
        </w:tc>
        <w:tc>
          <w:tcPr>
            <w:tcW w:w="1843" w:type="dxa"/>
            <w:vAlign w:val="center"/>
          </w:tcPr>
          <w:p w14:paraId="10105A76" w14:textId="20B41C2F" w:rsidR="00261253" w:rsidRPr="004019FD" w:rsidRDefault="00EF6345" w:rsidP="00EF63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  <w:vAlign w:val="center"/>
          </w:tcPr>
          <w:p w14:paraId="4F9327A3" w14:textId="0CAEFB53" w:rsidR="00261253" w:rsidRPr="004019FD" w:rsidRDefault="00C444F4" w:rsidP="00EF63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vAlign w:val="center"/>
          </w:tcPr>
          <w:p w14:paraId="37DA105D" w14:textId="679FBBBD" w:rsidR="00261253" w:rsidRPr="004019FD" w:rsidRDefault="00EF6345" w:rsidP="00EF63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61253" w:rsidRPr="004019FD" w14:paraId="5E8DEAAA" w14:textId="77777777" w:rsidTr="00EF6345">
        <w:tc>
          <w:tcPr>
            <w:tcW w:w="1668" w:type="dxa"/>
          </w:tcPr>
          <w:p w14:paraId="31EB0CC5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2155A8AD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Сумарно, гривень</w:t>
            </w:r>
          </w:p>
          <w:p w14:paraId="333DC023" w14:textId="77777777" w:rsidR="00EF6345" w:rsidRDefault="00EF6345" w:rsidP="00EF634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Формула:</w:t>
            </w:r>
          </w:p>
          <w:p w14:paraId="775510DC" w14:textId="795EAFAF" w:rsidR="00261253" w:rsidRPr="00EF6345" w:rsidRDefault="00261253" w:rsidP="00EF634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i/>
                <w:sz w:val="24"/>
                <w:szCs w:val="24"/>
              </w:rPr>
              <w:t>(рядок 6 Х рядок 7)</w:t>
            </w:r>
          </w:p>
        </w:tc>
        <w:tc>
          <w:tcPr>
            <w:tcW w:w="1843" w:type="dxa"/>
            <w:vAlign w:val="center"/>
          </w:tcPr>
          <w:p w14:paraId="3DA9B44D" w14:textId="7CA40D06" w:rsidR="00261253" w:rsidRPr="004019FD" w:rsidRDefault="00EF6345" w:rsidP="00EF63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Align w:val="center"/>
          </w:tcPr>
          <w:p w14:paraId="11CDE8E2" w14:textId="0638F238" w:rsidR="00261253" w:rsidRPr="004019FD" w:rsidRDefault="00C444F4" w:rsidP="00EF63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E8C11A5" w14:textId="46117F51" w:rsidR="00261253" w:rsidRPr="004019FD" w:rsidRDefault="00EF6345" w:rsidP="00EF63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61253" w:rsidRPr="004019FD" w14:paraId="43738A87" w14:textId="77777777" w:rsidTr="002B3AEE">
        <w:tc>
          <w:tcPr>
            <w:tcW w:w="9889" w:type="dxa"/>
            <w:gridSpan w:val="5"/>
          </w:tcPr>
          <w:p w14:paraId="05706230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261253" w:rsidRPr="004019FD" w14:paraId="0AAE1FC3" w14:textId="77777777" w:rsidTr="002B3AEE">
        <w:tc>
          <w:tcPr>
            <w:tcW w:w="1668" w:type="dxa"/>
          </w:tcPr>
          <w:p w14:paraId="429634A2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176E11A8" w14:textId="2369E603" w:rsidR="00261253" w:rsidRPr="006965BF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Процедури отримання первинної інформації про вимоги регулювання</w:t>
            </w:r>
            <w:r w:rsidR="00696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14:paraId="74A81599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i/>
                <w:sz w:val="24"/>
                <w:szCs w:val="24"/>
              </w:rPr>
              <w:t>Формула:</w:t>
            </w:r>
          </w:p>
          <w:p w14:paraId="2372CE4A" w14:textId="74C2C926" w:rsidR="00261253" w:rsidRPr="00EF6345" w:rsidRDefault="00261253" w:rsidP="00EF634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витрати часу на отримання інформації про регулювання, отримання необхідних форм та заявок </w:t>
            </w:r>
            <w:r w:rsidRPr="0086600C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401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1843" w:type="dxa"/>
          </w:tcPr>
          <w:p w14:paraId="0660A4DC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13356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73B328C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F0990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EB7F3" w14:textId="519916F5" w:rsidR="00261253" w:rsidRPr="00EF6345" w:rsidRDefault="00EF6345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0B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EF6345">
              <w:rPr>
                <w:rFonts w:ascii="Times New Roman" w:hAnsi="Times New Roman" w:cs="Times New Roman"/>
                <w:sz w:val="24"/>
                <w:szCs w:val="24"/>
              </w:rPr>
              <w:t xml:space="preserve"> год Х 48,00 грн </w:t>
            </w:r>
            <w:r w:rsidR="007D6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="007D60B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EF6345">
              <w:rPr>
                <w:rFonts w:ascii="Times New Roman" w:hAnsi="Times New Roman" w:cs="Times New Roman"/>
                <w:sz w:val="24"/>
                <w:szCs w:val="24"/>
              </w:rPr>
              <w:t>,00 грн</w:t>
            </w:r>
          </w:p>
          <w:p w14:paraId="0D13A891" w14:textId="77777777" w:rsidR="00261253" w:rsidRPr="00EF6345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67A7F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064057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F1A28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6FB2E20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540F0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923AE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01ACB04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B1538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B99EB18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CEB2F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D306D" w14:textId="0D7F7410" w:rsidR="00EF6345" w:rsidRPr="00EF6345" w:rsidRDefault="00EF6345" w:rsidP="00EF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0B5">
              <w:rPr>
                <w:rFonts w:ascii="Times New Roman" w:hAnsi="Times New Roman" w:cs="Times New Roman"/>
                <w:sz w:val="24"/>
                <w:szCs w:val="24"/>
              </w:rPr>
              <w:t>,5 год Х 48,00 грн = 72</w:t>
            </w:r>
            <w:r w:rsidRPr="00EF6345">
              <w:rPr>
                <w:rFonts w:ascii="Times New Roman" w:hAnsi="Times New Roman" w:cs="Times New Roman"/>
                <w:sz w:val="24"/>
                <w:szCs w:val="24"/>
              </w:rPr>
              <w:t>,00 грн</w:t>
            </w:r>
          </w:p>
          <w:p w14:paraId="48374064" w14:textId="037D7315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253" w:rsidRPr="004019FD" w14:paraId="2F2E4C82" w14:textId="77777777" w:rsidTr="002B3AEE">
        <w:tc>
          <w:tcPr>
            <w:tcW w:w="1668" w:type="dxa"/>
          </w:tcPr>
          <w:p w14:paraId="550530BD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23ED33DE" w14:textId="72D88F14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Процедури організа</w:t>
            </w:r>
            <w:r w:rsidR="00EF6345">
              <w:rPr>
                <w:rFonts w:ascii="Times New Roman" w:hAnsi="Times New Roman" w:cs="Times New Roman"/>
                <w:sz w:val="24"/>
                <w:szCs w:val="24"/>
              </w:rPr>
              <w:t>ції виконання вимог регулювання</w:t>
            </w:r>
          </w:p>
        </w:tc>
        <w:tc>
          <w:tcPr>
            <w:tcW w:w="1843" w:type="dxa"/>
          </w:tcPr>
          <w:p w14:paraId="27FAD2F7" w14:textId="73D28C12" w:rsidR="00261253" w:rsidRPr="004019FD" w:rsidRDefault="00EF6345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19E755E3" w14:textId="2F16EB75" w:rsidR="00261253" w:rsidRPr="004019FD" w:rsidRDefault="00EF6345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32BB793" w14:textId="73F588BE" w:rsidR="00261253" w:rsidRPr="004019FD" w:rsidRDefault="00EF6345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253" w:rsidRPr="004019FD" w14:paraId="075579E7" w14:textId="77777777" w:rsidTr="002B3AEE">
        <w:tc>
          <w:tcPr>
            <w:tcW w:w="1668" w:type="dxa"/>
          </w:tcPr>
          <w:p w14:paraId="1E39E35B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</w:tcPr>
          <w:p w14:paraId="5319E3D3" w14:textId="539F2645" w:rsidR="00261253" w:rsidRPr="004019FD" w:rsidRDefault="00261253" w:rsidP="00EF63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Процедури офіційного звітування</w:t>
            </w:r>
          </w:p>
        </w:tc>
        <w:tc>
          <w:tcPr>
            <w:tcW w:w="1843" w:type="dxa"/>
          </w:tcPr>
          <w:p w14:paraId="2346000D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CC9DD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984" w:type="dxa"/>
          </w:tcPr>
          <w:p w14:paraId="015906A5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095DF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843" w:type="dxa"/>
          </w:tcPr>
          <w:p w14:paraId="4762731D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70271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</w:tr>
      <w:tr w:rsidR="00261253" w:rsidRPr="004019FD" w14:paraId="7A683207" w14:textId="77777777" w:rsidTr="002B3AEE">
        <w:tc>
          <w:tcPr>
            <w:tcW w:w="1668" w:type="dxa"/>
          </w:tcPr>
          <w:p w14:paraId="75324604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17EBD26F" w14:textId="5D90773A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Процедури щодо</w:t>
            </w:r>
            <w:r w:rsidR="00EF6345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процесу перевірок</w:t>
            </w:r>
          </w:p>
        </w:tc>
        <w:tc>
          <w:tcPr>
            <w:tcW w:w="1843" w:type="dxa"/>
          </w:tcPr>
          <w:p w14:paraId="4CF49F33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C4E2D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984" w:type="dxa"/>
          </w:tcPr>
          <w:p w14:paraId="24A00EB5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100FC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843" w:type="dxa"/>
          </w:tcPr>
          <w:p w14:paraId="436F851C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25A8A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</w:tr>
      <w:tr w:rsidR="00261253" w:rsidRPr="004019FD" w14:paraId="129B2B75" w14:textId="77777777" w:rsidTr="002B3AEE">
        <w:tc>
          <w:tcPr>
            <w:tcW w:w="1668" w:type="dxa"/>
          </w:tcPr>
          <w:p w14:paraId="0A5424D7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59160DF7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Інші процедури (уточнити)</w:t>
            </w:r>
          </w:p>
        </w:tc>
        <w:tc>
          <w:tcPr>
            <w:tcW w:w="1843" w:type="dxa"/>
          </w:tcPr>
          <w:p w14:paraId="3E22AFF8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3C5A4DE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52C871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2E07130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7632BFB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253" w:rsidRPr="004019FD" w14:paraId="079A2279" w14:textId="77777777" w:rsidTr="002B3AEE">
        <w:tc>
          <w:tcPr>
            <w:tcW w:w="1668" w:type="dxa"/>
          </w:tcPr>
          <w:p w14:paraId="65DED0DD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2FFF9251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Разом, гривень</w:t>
            </w:r>
          </w:p>
          <w:p w14:paraId="723E4F20" w14:textId="0DBBC522" w:rsidR="00261253" w:rsidRPr="004019FD" w:rsidRDefault="00261253" w:rsidP="00C444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i/>
                <w:sz w:val="24"/>
                <w:szCs w:val="24"/>
              </w:rPr>
              <w:t>Формула:</w:t>
            </w:r>
            <w:r w:rsidR="00C444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19FD">
              <w:rPr>
                <w:rFonts w:ascii="Times New Roman" w:hAnsi="Times New Roman" w:cs="Times New Roman"/>
                <w:i/>
                <w:sz w:val="24"/>
                <w:szCs w:val="24"/>
              </w:rPr>
              <w:t>(сума рядків 9 + 10 + 11 + 12 + 13)</w:t>
            </w:r>
          </w:p>
        </w:tc>
        <w:tc>
          <w:tcPr>
            <w:tcW w:w="1843" w:type="dxa"/>
          </w:tcPr>
          <w:p w14:paraId="5B6E7FE0" w14:textId="2523A5E0" w:rsidR="00261253" w:rsidRPr="004019FD" w:rsidRDefault="007D60B5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444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14:paraId="392C9AF4" w14:textId="6CCC7BEB" w:rsidR="00261253" w:rsidRPr="004019FD" w:rsidRDefault="00C444F4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7F414FAA" w14:textId="7D209831" w:rsidR="00261253" w:rsidRPr="004019FD" w:rsidRDefault="007D60B5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444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61253" w:rsidRPr="004019FD" w14:paraId="0B44798E" w14:textId="77777777" w:rsidTr="002B3AEE">
        <w:tc>
          <w:tcPr>
            <w:tcW w:w="1668" w:type="dxa"/>
          </w:tcPr>
          <w:p w14:paraId="3F293D38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2C1E6F34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Кількість суб’єктів малого підприємництва, які мають виконати вимоги регулювання, одиниць</w:t>
            </w:r>
          </w:p>
        </w:tc>
        <w:tc>
          <w:tcPr>
            <w:tcW w:w="1843" w:type="dxa"/>
          </w:tcPr>
          <w:p w14:paraId="269CD9E9" w14:textId="30C15DE0" w:rsidR="00261253" w:rsidRPr="004019FD" w:rsidRDefault="00C444F4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14:paraId="6A608613" w14:textId="63B83033" w:rsidR="00261253" w:rsidRPr="004019FD" w:rsidRDefault="00C444F4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61253" w:rsidRPr="00401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14:paraId="14047D38" w14:textId="286861DA" w:rsidR="00261253" w:rsidRPr="004019FD" w:rsidRDefault="00C444F4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61253" w:rsidRPr="004019FD" w14:paraId="4C9FE61B" w14:textId="77777777" w:rsidTr="002B3AEE">
        <w:tc>
          <w:tcPr>
            <w:tcW w:w="1668" w:type="dxa"/>
          </w:tcPr>
          <w:p w14:paraId="5CF7F681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14:paraId="2FB89C5D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Сумарно, гривень</w:t>
            </w:r>
          </w:p>
          <w:p w14:paraId="58536C08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i/>
                <w:sz w:val="24"/>
                <w:szCs w:val="24"/>
              </w:rPr>
              <w:t>Формула:</w:t>
            </w:r>
          </w:p>
          <w:p w14:paraId="13645D5B" w14:textId="7E9F59FF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i/>
                <w:sz w:val="24"/>
                <w:szCs w:val="24"/>
              </w:rPr>
              <w:t>(рядок 14 Х рядок 15</w:t>
            </w: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C5E157F" w14:textId="21490732" w:rsidR="00261253" w:rsidRPr="004019FD" w:rsidRDefault="007D60B5" w:rsidP="007D60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2 808</w:t>
            </w:r>
            <w:r w:rsidR="00C444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14:paraId="106B6DC6" w14:textId="7C992381" w:rsidR="00261253" w:rsidRPr="004019FD" w:rsidRDefault="00C444F4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045F0718" w14:textId="0A75B9FC" w:rsidR="00261253" w:rsidRPr="004019FD" w:rsidRDefault="007D60B5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2 808,00</w:t>
            </w:r>
          </w:p>
        </w:tc>
      </w:tr>
    </w:tbl>
    <w:p w14:paraId="2D4B711A" w14:textId="326A3E24" w:rsidR="00261253" w:rsidRDefault="006965BF" w:rsidP="001326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5BF">
        <w:rPr>
          <w:rFonts w:ascii="Times New Roman" w:hAnsi="Times New Roman" w:cs="Times New Roman"/>
          <w:sz w:val="24"/>
          <w:szCs w:val="24"/>
        </w:rPr>
        <w:t>*</w:t>
      </w:r>
      <w:r w:rsidR="001326FC">
        <w:rPr>
          <w:rFonts w:ascii="Times New Roman" w:hAnsi="Times New Roman" w:cs="Times New Roman"/>
          <w:sz w:val="24"/>
          <w:szCs w:val="24"/>
        </w:rPr>
        <w:t xml:space="preserve"> </w:t>
      </w:r>
      <w:r w:rsidR="001326FC" w:rsidRPr="001326FC">
        <w:rPr>
          <w:rFonts w:ascii="Times New Roman" w:hAnsi="Times New Roman" w:cs="Times New Roman"/>
          <w:sz w:val="24"/>
          <w:szCs w:val="24"/>
        </w:rPr>
        <w:t>Розраховано, виходячи з розміру мінімальної заробітної плати</w:t>
      </w:r>
      <w:r w:rsidR="001326FC">
        <w:rPr>
          <w:rFonts w:ascii="Times New Roman" w:hAnsi="Times New Roman" w:cs="Times New Roman"/>
          <w:sz w:val="24"/>
          <w:szCs w:val="24"/>
        </w:rPr>
        <w:t>, установленої Законом України «</w:t>
      </w:r>
      <w:r w:rsidR="001326FC" w:rsidRPr="001326FC">
        <w:rPr>
          <w:rFonts w:ascii="Times New Roman" w:hAnsi="Times New Roman" w:cs="Times New Roman"/>
          <w:sz w:val="24"/>
          <w:szCs w:val="24"/>
        </w:rPr>
        <w:t>Про</w:t>
      </w:r>
      <w:r w:rsidR="001326FC">
        <w:rPr>
          <w:rFonts w:ascii="Times New Roman" w:hAnsi="Times New Roman" w:cs="Times New Roman"/>
          <w:sz w:val="24"/>
          <w:szCs w:val="24"/>
        </w:rPr>
        <w:t xml:space="preserve"> </w:t>
      </w:r>
      <w:r w:rsidR="001326FC" w:rsidRPr="001326FC">
        <w:rPr>
          <w:rFonts w:ascii="Times New Roman" w:hAnsi="Times New Roman" w:cs="Times New Roman"/>
          <w:sz w:val="24"/>
          <w:szCs w:val="24"/>
        </w:rPr>
        <w:t>Держа</w:t>
      </w:r>
      <w:r w:rsidR="001326FC">
        <w:rPr>
          <w:rFonts w:ascii="Times New Roman" w:hAnsi="Times New Roman" w:cs="Times New Roman"/>
          <w:sz w:val="24"/>
          <w:szCs w:val="24"/>
        </w:rPr>
        <w:t>вний бюджет України на 2025 рік»</w:t>
      </w:r>
      <w:r w:rsidR="001326FC" w:rsidRPr="001326FC">
        <w:rPr>
          <w:rFonts w:ascii="Times New Roman" w:hAnsi="Times New Roman" w:cs="Times New Roman"/>
          <w:sz w:val="24"/>
          <w:szCs w:val="24"/>
        </w:rPr>
        <w:t>.</w:t>
      </w:r>
    </w:p>
    <w:p w14:paraId="2093A194" w14:textId="77777777" w:rsidR="006965BF" w:rsidRPr="004019FD" w:rsidRDefault="006965BF" w:rsidP="00261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8F6BB" w14:textId="2F5C51A8" w:rsidR="00261253" w:rsidRPr="004019FD" w:rsidRDefault="00261253" w:rsidP="00992E6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9FD">
        <w:rPr>
          <w:rFonts w:ascii="Times New Roman" w:hAnsi="Times New Roman" w:cs="Times New Roman"/>
          <w:sz w:val="24"/>
          <w:szCs w:val="24"/>
        </w:rPr>
        <w:t>4. Розрахунок сумарних витрат суб’єктів малого підприємництва, що виникають</w:t>
      </w:r>
      <w:r w:rsidR="00992E69">
        <w:rPr>
          <w:rFonts w:ascii="Times New Roman" w:hAnsi="Times New Roman" w:cs="Times New Roman"/>
          <w:sz w:val="24"/>
          <w:szCs w:val="24"/>
        </w:rPr>
        <w:t xml:space="preserve"> на виконання вимог регулювання.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969"/>
        <w:gridCol w:w="2126"/>
        <w:gridCol w:w="2268"/>
      </w:tblGrid>
      <w:tr w:rsidR="00261253" w:rsidRPr="004019FD" w14:paraId="171AAEE8" w14:textId="77777777" w:rsidTr="002B3AEE">
        <w:tc>
          <w:tcPr>
            <w:tcW w:w="1526" w:type="dxa"/>
            <w:vAlign w:val="center"/>
          </w:tcPr>
          <w:p w14:paraId="310E1F6E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3969" w:type="dxa"/>
            <w:vAlign w:val="center"/>
          </w:tcPr>
          <w:p w14:paraId="05D87AFB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</w:p>
        </w:tc>
        <w:tc>
          <w:tcPr>
            <w:tcW w:w="2126" w:type="dxa"/>
            <w:vAlign w:val="center"/>
          </w:tcPr>
          <w:p w14:paraId="5CF2B59D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Перший рік регулювання (стартовий)</w:t>
            </w:r>
          </w:p>
        </w:tc>
        <w:tc>
          <w:tcPr>
            <w:tcW w:w="2268" w:type="dxa"/>
            <w:vAlign w:val="center"/>
          </w:tcPr>
          <w:p w14:paraId="662E3E58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За п’ять років</w:t>
            </w:r>
          </w:p>
        </w:tc>
      </w:tr>
      <w:tr w:rsidR="00261253" w:rsidRPr="004019FD" w14:paraId="6E0791D0" w14:textId="77777777" w:rsidTr="002B3AEE">
        <w:tc>
          <w:tcPr>
            <w:tcW w:w="1526" w:type="dxa"/>
          </w:tcPr>
          <w:p w14:paraId="75B4B433" w14:textId="77777777" w:rsidR="00261253" w:rsidRPr="004019FD" w:rsidRDefault="00261253" w:rsidP="002B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071F207" w14:textId="77777777" w:rsidR="00261253" w:rsidRPr="004019FD" w:rsidRDefault="00261253" w:rsidP="002B3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126" w:type="dxa"/>
          </w:tcPr>
          <w:p w14:paraId="1E5EC6CB" w14:textId="6660F823" w:rsidR="00261253" w:rsidRPr="004019FD" w:rsidRDefault="00C444F4" w:rsidP="007D60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14:paraId="34FD21D4" w14:textId="57E74104" w:rsidR="00261253" w:rsidRPr="004019FD" w:rsidRDefault="00C444F4" w:rsidP="007D60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60B5" w:rsidRPr="004019FD" w14:paraId="752F0D5C" w14:textId="77777777" w:rsidTr="002B3AEE">
        <w:tc>
          <w:tcPr>
            <w:tcW w:w="1526" w:type="dxa"/>
          </w:tcPr>
          <w:p w14:paraId="3371C390" w14:textId="77777777" w:rsidR="007D60B5" w:rsidRPr="004019FD" w:rsidRDefault="007D60B5" w:rsidP="007D60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E682D7A" w14:textId="77777777" w:rsidR="007D60B5" w:rsidRPr="004019FD" w:rsidRDefault="007D60B5" w:rsidP="007D60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126" w:type="dxa"/>
          </w:tcPr>
          <w:p w14:paraId="6DA563B4" w14:textId="745B8B94" w:rsidR="007D60B5" w:rsidRPr="004019FD" w:rsidRDefault="007D60B5" w:rsidP="007D60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B5">
              <w:rPr>
                <w:rFonts w:ascii="Times New Roman" w:hAnsi="Times New Roman" w:cs="Times New Roman"/>
                <w:sz w:val="24"/>
                <w:szCs w:val="24"/>
              </w:rPr>
              <w:t>2 808,00</w:t>
            </w:r>
          </w:p>
        </w:tc>
        <w:tc>
          <w:tcPr>
            <w:tcW w:w="2268" w:type="dxa"/>
          </w:tcPr>
          <w:p w14:paraId="7CEEEE0B" w14:textId="048431B2" w:rsidR="007D60B5" w:rsidRPr="004019FD" w:rsidRDefault="007D60B5" w:rsidP="007D60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B5">
              <w:rPr>
                <w:rFonts w:ascii="Times New Roman" w:hAnsi="Times New Roman" w:cs="Times New Roman"/>
                <w:sz w:val="24"/>
                <w:szCs w:val="24"/>
              </w:rPr>
              <w:t>2 808,00</w:t>
            </w:r>
          </w:p>
        </w:tc>
      </w:tr>
      <w:tr w:rsidR="007D60B5" w:rsidRPr="004019FD" w14:paraId="1B2DEC65" w14:textId="77777777" w:rsidTr="002B3AEE">
        <w:tc>
          <w:tcPr>
            <w:tcW w:w="1526" w:type="dxa"/>
          </w:tcPr>
          <w:p w14:paraId="29207BE2" w14:textId="77777777" w:rsidR="007D60B5" w:rsidRPr="004019FD" w:rsidRDefault="007D60B5" w:rsidP="007D60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5E3D5182" w14:textId="77777777" w:rsidR="007D60B5" w:rsidRPr="004019FD" w:rsidRDefault="007D60B5" w:rsidP="007D60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126" w:type="dxa"/>
          </w:tcPr>
          <w:p w14:paraId="716CE235" w14:textId="67893B88" w:rsidR="007D60B5" w:rsidRPr="004019FD" w:rsidRDefault="007D60B5" w:rsidP="007D60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B5">
              <w:rPr>
                <w:rFonts w:ascii="Times New Roman" w:hAnsi="Times New Roman" w:cs="Times New Roman"/>
                <w:sz w:val="24"/>
                <w:szCs w:val="24"/>
              </w:rPr>
              <w:t>2 808,00</w:t>
            </w:r>
          </w:p>
        </w:tc>
        <w:tc>
          <w:tcPr>
            <w:tcW w:w="2268" w:type="dxa"/>
          </w:tcPr>
          <w:p w14:paraId="792F005D" w14:textId="0529FDA6" w:rsidR="007D60B5" w:rsidRPr="004019FD" w:rsidRDefault="007D60B5" w:rsidP="007D60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B5">
              <w:rPr>
                <w:rFonts w:ascii="Times New Roman" w:hAnsi="Times New Roman" w:cs="Times New Roman"/>
                <w:sz w:val="24"/>
                <w:szCs w:val="24"/>
              </w:rPr>
              <w:t>2 808,00</w:t>
            </w:r>
          </w:p>
        </w:tc>
      </w:tr>
      <w:tr w:rsidR="007D60B5" w:rsidRPr="004019FD" w14:paraId="118B3A17" w14:textId="77777777" w:rsidTr="002B3AEE">
        <w:tc>
          <w:tcPr>
            <w:tcW w:w="1526" w:type="dxa"/>
          </w:tcPr>
          <w:p w14:paraId="4BD294DD" w14:textId="77777777" w:rsidR="007D60B5" w:rsidRPr="004019FD" w:rsidRDefault="007D60B5" w:rsidP="007D60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68A5C8A3" w14:textId="77777777" w:rsidR="007D60B5" w:rsidRPr="004019FD" w:rsidRDefault="007D60B5" w:rsidP="007D60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126" w:type="dxa"/>
          </w:tcPr>
          <w:p w14:paraId="3B0EF3B3" w14:textId="1A29C0AF" w:rsidR="007D60B5" w:rsidRPr="004019FD" w:rsidRDefault="007D60B5" w:rsidP="007D60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14:paraId="47A7F5BD" w14:textId="5C1919B0" w:rsidR="007D60B5" w:rsidRPr="004019FD" w:rsidRDefault="007D60B5" w:rsidP="007D60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60B5" w:rsidRPr="004019FD" w14:paraId="40BAFCC9" w14:textId="77777777" w:rsidTr="002B3AEE">
        <w:tc>
          <w:tcPr>
            <w:tcW w:w="1526" w:type="dxa"/>
          </w:tcPr>
          <w:p w14:paraId="25404372" w14:textId="77777777" w:rsidR="007D60B5" w:rsidRPr="004019FD" w:rsidRDefault="007D60B5" w:rsidP="007D60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2D684402" w14:textId="77777777" w:rsidR="007D60B5" w:rsidRPr="004019FD" w:rsidRDefault="007D60B5" w:rsidP="007D60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D">
              <w:rPr>
                <w:rFonts w:ascii="Times New Roman" w:hAnsi="Times New Roman" w:cs="Times New Roman"/>
                <w:sz w:val="24"/>
                <w:szCs w:val="24"/>
              </w:rPr>
              <w:t>Сумарні витрати на виконання запланованого регулювання</w:t>
            </w:r>
          </w:p>
        </w:tc>
        <w:tc>
          <w:tcPr>
            <w:tcW w:w="2126" w:type="dxa"/>
          </w:tcPr>
          <w:p w14:paraId="1405C12B" w14:textId="02A0DB2C" w:rsidR="007D60B5" w:rsidRPr="004019FD" w:rsidRDefault="007D60B5" w:rsidP="007D60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B5">
              <w:rPr>
                <w:rFonts w:ascii="Times New Roman" w:hAnsi="Times New Roman" w:cs="Times New Roman"/>
                <w:sz w:val="24"/>
                <w:szCs w:val="24"/>
              </w:rPr>
              <w:t>2 808,00</w:t>
            </w:r>
          </w:p>
        </w:tc>
        <w:tc>
          <w:tcPr>
            <w:tcW w:w="2268" w:type="dxa"/>
          </w:tcPr>
          <w:p w14:paraId="3BD04A31" w14:textId="4D87C63C" w:rsidR="007D60B5" w:rsidRPr="004019FD" w:rsidRDefault="007D60B5" w:rsidP="007D60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B5">
              <w:rPr>
                <w:rFonts w:ascii="Times New Roman" w:hAnsi="Times New Roman" w:cs="Times New Roman"/>
                <w:sz w:val="24"/>
                <w:szCs w:val="24"/>
              </w:rPr>
              <w:t>2 808,00</w:t>
            </w:r>
          </w:p>
        </w:tc>
      </w:tr>
    </w:tbl>
    <w:p w14:paraId="608093B1" w14:textId="77777777" w:rsidR="00261253" w:rsidRPr="004019FD" w:rsidRDefault="00261253" w:rsidP="00261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EE3FD" w14:textId="77777777" w:rsidR="00261253" w:rsidRPr="004019FD" w:rsidRDefault="00261253" w:rsidP="0026125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9FD">
        <w:rPr>
          <w:rFonts w:ascii="Times New Roman" w:hAnsi="Times New Roman" w:cs="Times New Roman"/>
          <w:sz w:val="24"/>
          <w:szCs w:val="24"/>
        </w:rPr>
        <w:t>5. Розроблення коригуючих (пом’якшувальних) заходів для малого підприємництва щодо запропонованого регулювання.</w:t>
      </w:r>
    </w:p>
    <w:p w14:paraId="46ED53CE" w14:textId="0BC4F368" w:rsidR="00C444F4" w:rsidRDefault="00261253" w:rsidP="0026125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9FD">
        <w:rPr>
          <w:rFonts w:ascii="Times New Roman" w:hAnsi="Times New Roman" w:cs="Times New Roman"/>
          <w:sz w:val="24"/>
          <w:szCs w:val="24"/>
        </w:rPr>
        <w:t xml:space="preserve">На основі оцінки сумарних витрат малого підприємництва на виконання запланованого регулювання (за перший рік регулювання та за п’ять років) </w:t>
      </w:r>
      <w:r w:rsidR="00C444F4">
        <w:rPr>
          <w:rFonts w:ascii="Times New Roman" w:hAnsi="Times New Roman" w:cs="Times New Roman"/>
          <w:sz w:val="24"/>
          <w:szCs w:val="24"/>
        </w:rPr>
        <w:t xml:space="preserve">розроблення коригуючих (пом’якшувальних) заходів для малого </w:t>
      </w:r>
      <w:r w:rsidR="00C444F4" w:rsidRPr="004019FD">
        <w:rPr>
          <w:rFonts w:ascii="Times New Roman" w:hAnsi="Times New Roman" w:cs="Times New Roman"/>
          <w:sz w:val="24"/>
          <w:szCs w:val="24"/>
        </w:rPr>
        <w:t>підприємництва</w:t>
      </w:r>
      <w:r w:rsidR="00C444F4">
        <w:rPr>
          <w:rFonts w:ascii="Times New Roman" w:hAnsi="Times New Roman" w:cs="Times New Roman"/>
          <w:sz w:val="24"/>
          <w:szCs w:val="24"/>
        </w:rPr>
        <w:t xml:space="preserve"> </w:t>
      </w:r>
      <w:r w:rsidR="00C444F4" w:rsidRPr="004019FD">
        <w:rPr>
          <w:rFonts w:ascii="Times New Roman" w:hAnsi="Times New Roman" w:cs="Times New Roman"/>
          <w:sz w:val="24"/>
          <w:szCs w:val="24"/>
        </w:rPr>
        <w:t>щодо запропонованого регулювання</w:t>
      </w:r>
      <w:r w:rsidR="00C444F4">
        <w:rPr>
          <w:rFonts w:ascii="Times New Roman" w:hAnsi="Times New Roman" w:cs="Times New Roman"/>
          <w:sz w:val="24"/>
          <w:szCs w:val="24"/>
        </w:rPr>
        <w:t xml:space="preserve"> не передбачається.</w:t>
      </w:r>
    </w:p>
    <w:p w14:paraId="69A01510" w14:textId="7EEB3D53" w:rsidR="00C444F4" w:rsidRDefault="00C444F4" w:rsidP="00C444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5ABA9F16" w14:textId="77777777" w:rsidR="00C444F4" w:rsidRDefault="00C444F4" w:rsidP="0026125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444F4" w:rsidSect="00326D57">
      <w:headerReference w:type="default" r:id="rId9"/>
      <w:headerReference w:type="first" r:id="rId10"/>
      <w:pgSz w:w="11909" w:h="16834"/>
      <w:pgMar w:top="709" w:right="567" w:bottom="851" w:left="1701" w:header="255" w:footer="141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91E03" w14:textId="77777777" w:rsidR="003F5A4F" w:rsidRDefault="003F5A4F" w:rsidP="0005782A">
      <w:pPr>
        <w:spacing w:line="240" w:lineRule="auto"/>
      </w:pPr>
      <w:r>
        <w:separator/>
      </w:r>
    </w:p>
  </w:endnote>
  <w:endnote w:type="continuationSeparator" w:id="0">
    <w:p w14:paraId="4356180D" w14:textId="77777777" w:rsidR="003F5A4F" w:rsidRDefault="003F5A4F" w:rsidP="00057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E30F0" w14:textId="77777777" w:rsidR="003F5A4F" w:rsidRDefault="003F5A4F" w:rsidP="0005782A">
      <w:pPr>
        <w:spacing w:line="240" w:lineRule="auto"/>
      </w:pPr>
      <w:r>
        <w:separator/>
      </w:r>
    </w:p>
  </w:footnote>
  <w:footnote w:type="continuationSeparator" w:id="0">
    <w:p w14:paraId="376E37DA" w14:textId="77777777" w:rsidR="003F5A4F" w:rsidRDefault="003F5A4F" w:rsidP="000578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4385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4"/>
      </w:rPr>
    </w:sdtEndPr>
    <w:sdtContent>
      <w:p w14:paraId="41E0B013" w14:textId="77777777" w:rsidR="0010678B" w:rsidRPr="00C94208" w:rsidRDefault="0010678B">
        <w:pPr>
          <w:pStyle w:val="af"/>
          <w:jc w:val="center"/>
        </w:pPr>
      </w:p>
      <w:p w14:paraId="63CFAD28" w14:textId="1AECBF3A" w:rsidR="0010678B" w:rsidRPr="00C94208" w:rsidRDefault="0010678B">
        <w:pPr>
          <w:pStyle w:val="af"/>
          <w:jc w:val="center"/>
          <w:rPr>
            <w:rFonts w:ascii="Times New Roman" w:hAnsi="Times New Roman" w:cs="Times New Roman"/>
            <w:sz w:val="20"/>
            <w:szCs w:val="24"/>
          </w:rPr>
        </w:pPr>
        <w:r w:rsidRPr="00C94208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Pr="00C94208">
          <w:rPr>
            <w:rFonts w:ascii="Times New Roman" w:hAnsi="Times New Roman" w:cs="Times New Roman"/>
            <w:sz w:val="20"/>
            <w:szCs w:val="24"/>
          </w:rPr>
          <w:instrText>PAGE   \* MERGEFORMAT</w:instrText>
        </w:r>
        <w:r w:rsidRPr="00C94208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BA12DB">
          <w:rPr>
            <w:rFonts w:ascii="Times New Roman" w:hAnsi="Times New Roman" w:cs="Times New Roman"/>
            <w:noProof/>
            <w:sz w:val="20"/>
            <w:szCs w:val="24"/>
          </w:rPr>
          <w:t>12</w:t>
        </w:r>
        <w:r w:rsidRPr="00C94208">
          <w:rPr>
            <w:rFonts w:ascii="Times New Roman" w:hAnsi="Times New Roman" w:cs="Times New Roman"/>
            <w:sz w:val="20"/>
            <w:szCs w:val="24"/>
          </w:rPr>
          <w:fldChar w:fldCharType="end"/>
        </w:r>
      </w:p>
    </w:sdtContent>
  </w:sdt>
  <w:p w14:paraId="3132B2B8" w14:textId="77777777" w:rsidR="0010678B" w:rsidRPr="00C94208" w:rsidRDefault="0010678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9657F" w14:textId="77777777" w:rsidR="0010678B" w:rsidRDefault="0010678B">
    <w:pPr>
      <w:pStyle w:val="af"/>
      <w:jc w:val="center"/>
    </w:pPr>
  </w:p>
  <w:p w14:paraId="47678E1B" w14:textId="77777777" w:rsidR="0010678B" w:rsidRDefault="0010678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6FF1"/>
    <w:multiLevelType w:val="hybridMultilevel"/>
    <w:tmpl w:val="F95611A2"/>
    <w:lvl w:ilvl="0" w:tplc="0E88D2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8E6E77"/>
    <w:multiLevelType w:val="multilevel"/>
    <w:tmpl w:val="4218FEB0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59"/>
    <w:rsid w:val="000015FC"/>
    <w:rsid w:val="0000208C"/>
    <w:rsid w:val="000044C1"/>
    <w:rsid w:val="00004F74"/>
    <w:rsid w:val="000066D7"/>
    <w:rsid w:val="00010266"/>
    <w:rsid w:val="000131F9"/>
    <w:rsid w:val="00022C6D"/>
    <w:rsid w:val="00024B2B"/>
    <w:rsid w:val="00027517"/>
    <w:rsid w:val="000302EA"/>
    <w:rsid w:val="00034222"/>
    <w:rsid w:val="000367D9"/>
    <w:rsid w:val="00037EDC"/>
    <w:rsid w:val="000442F2"/>
    <w:rsid w:val="000448A6"/>
    <w:rsid w:val="00045099"/>
    <w:rsid w:val="00046735"/>
    <w:rsid w:val="00046C04"/>
    <w:rsid w:val="00046D72"/>
    <w:rsid w:val="00051AE6"/>
    <w:rsid w:val="00052350"/>
    <w:rsid w:val="000535B5"/>
    <w:rsid w:val="0005453F"/>
    <w:rsid w:val="00055A15"/>
    <w:rsid w:val="0005782A"/>
    <w:rsid w:val="0006282A"/>
    <w:rsid w:val="000652B6"/>
    <w:rsid w:val="00071D08"/>
    <w:rsid w:val="00072759"/>
    <w:rsid w:val="000727FF"/>
    <w:rsid w:val="00077561"/>
    <w:rsid w:val="00077C0A"/>
    <w:rsid w:val="00077F52"/>
    <w:rsid w:val="00080D36"/>
    <w:rsid w:val="00083B28"/>
    <w:rsid w:val="00085A7E"/>
    <w:rsid w:val="00086500"/>
    <w:rsid w:val="00092C42"/>
    <w:rsid w:val="000951D5"/>
    <w:rsid w:val="00097C05"/>
    <w:rsid w:val="00097DD5"/>
    <w:rsid w:val="000A1C59"/>
    <w:rsid w:val="000A3CBC"/>
    <w:rsid w:val="000A51AA"/>
    <w:rsid w:val="000A5BCC"/>
    <w:rsid w:val="000A7ECA"/>
    <w:rsid w:val="000B0291"/>
    <w:rsid w:val="000B0560"/>
    <w:rsid w:val="000B43CF"/>
    <w:rsid w:val="000B4D4D"/>
    <w:rsid w:val="000B5EA1"/>
    <w:rsid w:val="000B7B86"/>
    <w:rsid w:val="000C132D"/>
    <w:rsid w:val="000C2296"/>
    <w:rsid w:val="000C2908"/>
    <w:rsid w:val="000C7810"/>
    <w:rsid w:val="000D4262"/>
    <w:rsid w:val="000D54CA"/>
    <w:rsid w:val="000D5902"/>
    <w:rsid w:val="000D71E4"/>
    <w:rsid w:val="000E0557"/>
    <w:rsid w:val="000E086D"/>
    <w:rsid w:val="000E3572"/>
    <w:rsid w:val="000E6B3E"/>
    <w:rsid w:val="000F368B"/>
    <w:rsid w:val="000F3ADB"/>
    <w:rsid w:val="000F3C8B"/>
    <w:rsid w:val="000F6252"/>
    <w:rsid w:val="000F7835"/>
    <w:rsid w:val="001015AA"/>
    <w:rsid w:val="00103572"/>
    <w:rsid w:val="001057C8"/>
    <w:rsid w:val="0010678B"/>
    <w:rsid w:val="0011007D"/>
    <w:rsid w:val="0011145C"/>
    <w:rsid w:val="00111E38"/>
    <w:rsid w:val="00115BB4"/>
    <w:rsid w:val="0011624E"/>
    <w:rsid w:val="0011641D"/>
    <w:rsid w:val="00120863"/>
    <w:rsid w:val="001230A0"/>
    <w:rsid w:val="00123200"/>
    <w:rsid w:val="00124620"/>
    <w:rsid w:val="00125488"/>
    <w:rsid w:val="00126118"/>
    <w:rsid w:val="00126481"/>
    <w:rsid w:val="001265FC"/>
    <w:rsid w:val="00131E9E"/>
    <w:rsid w:val="001326FC"/>
    <w:rsid w:val="001331F6"/>
    <w:rsid w:val="00134316"/>
    <w:rsid w:val="001370A3"/>
    <w:rsid w:val="0013724C"/>
    <w:rsid w:val="00140CFF"/>
    <w:rsid w:val="00141329"/>
    <w:rsid w:val="00141898"/>
    <w:rsid w:val="00143600"/>
    <w:rsid w:val="0014419A"/>
    <w:rsid w:val="00145271"/>
    <w:rsid w:val="00153AFC"/>
    <w:rsid w:val="00154FB2"/>
    <w:rsid w:val="00155F0B"/>
    <w:rsid w:val="00161529"/>
    <w:rsid w:val="00163327"/>
    <w:rsid w:val="0016434F"/>
    <w:rsid w:val="00170160"/>
    <w:rsid w:val="00184386"/>
    <w:rsid w:val="001871DA"/>
    <w:rsid w:val="00194E75"/>
    <w:rsid w:val="001951DF"/>
    <w:rsid w:val="001A0305"/>
    <w:rsid w:val="001A1AFC"/>
    <w:rsid w:val="001A2503"/>
    <w:rsid w:val="001A55AB"/>
    <w:rsid w:val="001B0BE1"/>
    <w:rsid w:val="001B5A74"/>
    <w:rsid w:val="001B609F"/>
    <w:rsid w:val="001B763F"/>
    <w:rsid w:val="001B7FFE"/>
    <w:rsid w:val="001C2951"/>
    <w:rsid w:val="001C4834"/>
    <w:rsid w:val="001C5BB2"/>
    <w:rsid w:val="001D018F"/>
    <w:rsid w:val="001D1EAA"/>
    <w:rsid w:val="001D43C1"/>
    <w:rsid w:val="001D4D8A"/>
    <w:rsid w:val="001D54EC"/>
    <w:rsid w:val="001D5725"/>
    <w:rsid w:val="001D5BC5"/>
    <w:rsid w:val="001D6CEC"/>
    <w:rsid w:val="001E1F3C"/>
    <w:rsid w:val="001E408F"/>
    <w:rsid w:val="001E5C91"/>
    <w:rsid w:val="001E6969"/>
    <w:rsid w:val="001F2785"/>
    <w:rsid w:val="001F441B"/>
    <w:rsid w:val="001F713B"/>
    <w:rsid w:val="00201ECA"/>
    <w:rsid w:val="002034BA"/>
    <w:rsid w:val="0020374F"/>
    <w:rsid w:val="00204B3E"/>
    <w:rsid w:val="00210ECF"/>
    <w:rsid w:val="00212792"/>
    <w:rsid w:val="00214223"/>
    <w:rsid w:val="0021474E"/>
    <w:rsid w:val="00215DDD"/>
    <w:rsid w:val="00216FFC"/>
    <w:rsid w:val="00220A4E"/>
    <w:rsid w:val="00222342"/>
    <w:rsid w:val="00223A98"/>
    <w:rsid w:val="00225472"/>
    <w:rsid w:val="002268C1"/>
    <w:rsid w:val="00234ABD"/>
    <w:rsid w:val="0023584C"/>
    <w:rsid w:val="0024196C"/>
    <w:rsid w:val="002452FA"/>
    <w:rsid w:val="002453A2"/>
    <w:rsid w:val="00247FAB"/>
    <w:rsid w:val="002600A2"/>
    <w:rsid w:val="00261253"/>
    <w:rsid w:val="002643D7"/>
    <w:rsid w:val="00264C30"/>
    <w:rsid w:val="00265A25"/>
    <w:rsid w:val="002675FE"/>
    <w:rsid w:val="002719D4"/>
    <w:rsid w:val="002719F7"/>
    <w:rsid w:val="00271B11"/>
    <w:rsid w:val="00274A04"/>
    <w:rsid w:val="00275C76"/>
    <w:rsid w:val="00281B22"/>
    <w:rsid w:val="00282B88"/>
    <w:rsid w:val="0028362D"/>
    <w:rsid w:val="00285A49"/>
    <w:rsid w:val="0028674B"/>
    <w:rsid w:val="0029147E"/>
    <w:rsid w:val="00291C9A"/>
    <w:rsid w:val="00291F07"/>
    <w:rsid w:val="002956F7"/>
    <w:rsid w:val="00295ADF"/>
    <w:rsid w:val="002960B5"/>
    <w:rsid w:val="0029686F"/>
    <w:rsid w:val="0029726C"/>
    <w:rsid w:val="002A11D4"/>
    <w:rsid w:val="002A1210"/>
    <w:rsid w:val="002A14A0"/>
    <w:rsid w:val="002A3252"/>
    <w:rsid w:val="002A7DF1"/>
    <w:rsid w:val="002B0538"/>
    <w:rsid w:val="002B19F2"/>
    <w:rsid w:val="002B3AEE"/>
    <w:rsid w:val="002B6E32"/>
    <w:rsid w:val="002C0E11"/>
    <w:rsid w:val="002C1436"/>
    <w:rsid w:val="002C2D34"/>
    <w:rsid w:val="002C2D96"/>
    <w:rsid w:val="002C37AD"/>
    <w:rsid w:val="002C73CC"/>
    <w:rsid w:val="002C7483"/>
    <w:rsid w:val="002D0935"/>
    <w:rsid w:val="002D2286"/>
    <w:rsid w:val="002D5C88"/>
    <w:rsid w:val="002D7733"/>
    <w:rsid w:val="002E2AA9"/>
    <w:rsid w:val="002E6208"/>
    <w:rsid w:val="002E7968"/>
    <w:rsid w:val="002F1DAF"/>
    <w:rsid w:val="002F4643"/>
    <w:rsid w:val="002F479A"/>
    <w:rsid w:val="002F6CCD"/>
    <w:rsid w:val="00300D7E"/>
    <w:rsid w:val="00304C3C"/>
    <w:rsid w:val="00305C2A"/>
    <w:rsid w:val="00306EB0"/>
    <w:rsid w:val="003119C1"/>
    <w:rsid w:val="003123A8"/>
    <w:rsid w:val="0031257E"/>
    <w:rsid w:val="00312D21"/>
    <w:rsid w:val="003134CF"/>
    <w:rsid w:val="00316CDA"/>
    <w:rsid w:val="00320873"/>
    <w:rsid w:val="00320B27"/>
    <w:rsid w:val="003214B2"/>
    <w:rsid w:val="003228D2"/>
    <w:rsid w:val="003255B1"/>
    <w:rsid w:val="00326D57"/>
    <w:rsid w:val="0033021C"/>
    <w:rsid w:val="003306F4"/>
    <w:rsid w:val="0033292F"/>
    <w:rsid w:val="00332BB3"/>
    <w:rsid w:val="003338A7"/>
    <w:rsid w:val="00333A62"/>
    <w:rsid w:val="00340722"/>
    <w:rsid w:val="003425E6"/>
    <w:rsid w:val="00343431"/>
    <w:rsid w:val="0034344A"/>
    <w:rsid w:val="0034386B"/>
    <w:rsid w:val="00354FC0"/>
    <w:rsid w:val="00356586"/>
    <w:rsid w:val="00356C45"/>
    <w:rsid w:val="003572A5"/>
    <w:rsid w:val="00360593"/>
    <w:rsid w:val="0036071C"/>
    <w:rsid w:val="00361D52"/>
    <w:rsid w:val="00363183"/>
    <w:rsid w:val="003671F0"/>
    <w:rsid w:val="00374611"/>
    <w:rsid w:val="00376F7B"/>
    <w:rsid w:val="00377EDF"/>
    <w:rsid w:val="00380FF5"/>
    <w:rsid w:val="00385283"/>
    <w:rsid w:val="0039203D"/>
    <w:rsid w:val="003A0E49"/>
    <w:rsid w:val="003A3E97"/>
    <w:rsid w:val="003A3F68"/>
    <w:rsid w:val="003A7D3E"/>
    <w:rsid w:val="003B14B4"/>
    <w:rsid w:val="003B2F60"/>
    <w:rsid w:val="003B323B"/>
    <w:rsid w:val="003B3A58"/>
    <w:rsid w:val="003B4BF7"/>
    <w:rsid w:val="003B51D2"/>
    <w:rsid w:val="003B5452"/>
    <w:rsid w:val="003B753C"/>
    <w:rsid w:val="003B7688"/>
    <w:rsid w:val="003C0FF7"/>
    <w:rsid w:val="003C1E0B"/>
    <w:rsid w:val="003C1F24"/>
    <w:rsid w:val="003C2317"/>
    <w:rsid w:val="003C5953"/>
    <w:rsid w:val="003C6A81"/>
    <w:rsid w:val="003C7C1F"/>
    <w:rsid w:val="003D05AB"/>
    <w:rsid w:val="003D095A"/>
    <w:rsid w:val="003D70FC"/>
    <w:rsid w:val="003D74FE"/>
    <w:rsid w:val="003E38BC"/>
    <w:rsid w:val="003E3960"/>
    <w:rsid w:val="003F3389"/>
    <w:rsid w:val="003F3ACA"/>
    <w:rsid w:val="003F4DE6"/>
    <w:rsid w:val="003F5A4F"/>
    <w:rsid w:val="003F6E43"/>
    <w:rsid w:val="003F792B"/>
    <w:rsid w:val="00401607"/>
    <w:rsid w:val="0040407D"/>
    <w:rsid w:val="0041013D"/>
    <w:rsid w:val="00410559"/>
    <w:rsid w:val="00413558"/>
    <w:rsid w:val="004135DD"/>
    <w:rsid w:val="004149A7"/>
    <w:rsid w:val="004165F4"/>
    <w:rsid w:val="00417CB3"/>
    <w:rsid w:val="00423005"/>
    <w:rsid w:val="00423FFE"/>
    <w:rsid w:val="00427620"/>
    <w:rsid w:val="004279A9"/>
    <w:rsid w:val="00432FC6"/>
    <w:rsid w:val="004361A7"/>
    <w:rsid w:val="004365C5"/>
    <w:rsid w:val="00436C81"/>
    <w:rsid w:val="004402AE"/>
    <w:rsid w:val="0044085F"/>
    <w:rsid w:val="00441EA5"/>
    <w:rsid w:val="0044328D"/>
    <w:rsid w:val="00443FFB"/>
    <w:rsid w:val="00447D34"/>
    <w:rsid w:val="0045028B"/>
    <w:rsid w:val="004520A8"/>
    <w:rsid w:val="004527EB"/>
    <w:rsid w:val="00453028"/>
    <w:rsid w:val="004539D2"/>
    <w:rsid w:val="00454201"/>
    <w:rsid w:val="00456AF5"/>
    <w:rsid w:val="00460FB2"/>
    <w:rsid w:val="00461154"/>
    <w:rsid w:val="00461EAD"/>
    <w:rsid w:val="00463322"/>
    <w:rsid w:val="0046440A"/>
    <w:rsid w:val="00465366"/>
    <w:rsid w:val="004731A1"/>
    <w:rsid w:val="004744A8"/>
    <w:rsid w:val="004745F6"/>
    <w:rsid w:val="00474A51"/>
    <w:rsid w:val="004779AE"/>
    <w:rsid w:val="004779CF"/>
    <w:rsid w:val="0048342E"/>
    <w:rsid w:val="004835BC"/>
    <w:rsid w:val="00490F57"/>
    <w:rsid w:val="00492F5C"/>
    <w:rsid w:val="00492FA0"/>
    <w:rsid w:val="00494156"/>
    <w:rsid w:val="00495077"/>
    <w:rsid w:val="004958FB"/>
    <w:rsid w:val="004965F4"/>
    <w:rsid w:val="0049734E"/>
    <w:rsid w:val="00497478"/>
    <w:rsid w:val="004A1940"/>
    <w:rsid w:val="004A197B"/>
    <w:rsid w:val="004A3B30"/>
    <w:rsid w:val="004A67C1"/>
    <w:rsid w:val="004A717C"/>
    <w:rsid w:val="004A71CC"/>
    <w:rsid w:val="004B38A4"/>
    <w:rsid w:val="004B7436"/>
    <w:rsid w:val="004C0C70"/>
    <w:rsid w:val="004C148F"/>
    <w:rsid w:val="004C2732"/>
    <w:rsid w:val="004C3F28"/>
    <w:rsid w:val="004C518B"/>
    <w:rsid w:val="004C644C"/>
    <w:rsid w:val="004C7359"/>
    <w:rsid w:val="004C7C2E"/>
    <w:rsid w:val="004D0221"/>
    <w:rsid w:val="004D08B1"/>
    <w:rsid w:val="004D1D45"/>
    <w:rsid w:val="004E0F3B"/>
    <w:rsid w:val="004E4243"/>
    <w:rsid w:val="004E4490"/>
    <w:rsid w:val="004E4EBB"/>
    <w:rsid w:val="004E538D"/>
    <w:rsid w:val="004E7ECE"/>
    <w:rsid w:val="004F08FC"/>
    <w:rsid w:val="004F6583"/>
    <w:rsid w:val="004F6B19"/>
    <w:rsid w:val="005064DD"/>
    <w:rsid w:val="00507759"/>
    <w:rsid w:val="0051016C"/>
    <w:rsid w:val="00511192"/>
    <w:rsid w:val="00512469"/>
    <w:rsid w:val="005174A7"/>
    <w:rsid w:val="0052313A"/>
    <w:rsid w:val="005246F8"/>
    <w:rsid w:val="00524E30"/>
    <w:rsid w:val="00524FF5"/>
    <w:rsid w:val="005255E3"/>
    <w:rsid w:val="00525C7E"/>
    <w:rsid w:val="0052698B"/>
    <w:rsid w:val="00526BD2"/>
    <w:rsid w:val="005271AA"/>
    <w:rsid w:val="00527651"/>
    <w:rsid w:val="00530CA9"/>
    <w:rsid w:val="00531D94"/>
    <w:rsid w:val="00535FB0"/>
    <w:rsid w:val="00537FF1"/>
    <w:rsid w:val="005412BC"/>
    <w:rsid w:val="00542266"/>
    <w:rsid w:val="0054242C"/>
    <w:rsid w:val="00546967"/>
    <w:rsid w:val="00547512"/>
    <w:rsid w:val="00554063"/>
    <w:rsid w:val="00555E20"/>
    <w:rsid w:val="00561415"/>
    <w:rsid w:val="00561FF4"/>
    <w:rsid w:val="00567026"/>
    <w:rsid w:val="005670E7"/>
    <w:rsid w:val="0056796D"/>
    <w:rsid w:val="005729D5"/>
    <w:rsid w:val="00576006"/>
    <w:rsid w:val="00576489"/>
    <w:rsid w:val="005772E4"/>
    <w:rsid w:val="0058102E"/>
    <w:rsid w:val="0058282A"/>
    <w:rsid w:val="0058528A"/>
    <w:rsid w:val="005953F2"/>
    <w:rsid w:val="00595C09"/>
    <w:rsid w:val="00597FCE"/>
    <w:rsid w:val="005A256F"/>
    <w:rsid w:val="005A2B47"/>
    <w:rsid w:val="005A3117"/>
    <w:rsid w:val="005A42A5"/>
    <w:rsid w:val="005A5506"/>
    <w:rsid w:val="005A6B63"/>
    <w:rsid w:val="005B149D"/>
    <w:rsid w:val="005B15D6"/>
    <w:rsid w:val="005B2C96"/>
    <w:rsid w:val="005B54C0"/>
    <w:rsid w:val="005B5C15"/>
    <w:rsid w:val="005B61D8"/>
    <w:rsid w:val="005C1528"/>
    <w:rsid w:val="005C3ABD"/>
    <w:rsid w:val="005D186B"/>
    <w:rsid w:val="005D378C"/>
    <w:rsid w:val="005D42F3"/>
    <w:rsid w:val="005D4392"/>
    <w:rsid w:val="005D4720"/>
    <w:rsid w:val="005D6129"/>
    <w:rsid w:val="005D6D5E"/>
    <w:rsid w:val="005E4F08"/>
    <w:rsid w:val="005E5925"/>
    <w:rsid w:val="005E68A2"/>
    <w:rsid w:val="005E7EA3"/>
    <w:rsid w:val="005F10E3"/>
    <w:rsid w:val="005F3786"/>
    <w:rsid w:val="005F4541"/>
    <w:rsid w:val="005F58AB"/>
    <w:rsid w:val="005F773F"/>
    <w:rsid w:val="00601B49"/>
    <w:rsid w:val="0060237A"/>
    <w:rsid w:val="00602F52"/>
    <w:rsid w:val="00603172"/>
    <w:rsid w:val="006033B2"/>
    <w:rsid w:val="00604728"/>
    <w:rsid w:val="006057B7"/>
    <w:rsid w:val="00605C01"/>
    <w:rsid w:val="006106DA"/>
    <w:rsid w:val="00611C51"/>
    <w:rsid w:val="0061273F"/>
    <w:rsid w:val="00615284"/>
    <w:rsid w:val="006160C3"/>
    <w:rsid w:val="0062013E"/>
    <w:rsid w:val="00624B4B"/>
    <w:rsid w:val="00625C8A"/>
    <w:rsid w:val="0063035D"/>
    <w:rsid w:val="00630C56"/>
    <w:rsid w:val="00632BF6"/>
    <w:rsid w:val="0063776B"/>
    <w:rsid w:val="00644289"/>
    <w:rsid w:val="00644CB8"/>
    <w:rsid w:val="00646902"/>
    <w:rsid w:val="0064773D"/>
    <w:rsid w:val="006513F3"/>
    <w:rsid w:val="00655387"/>
    <w:rsid w:val="0065684F"/>
    <w:rsid w:val="00663DF8"/>
    <w:rsid w:val="006640AA"/>
    <w:rsid w:val="00671BBD"/>
    <w:rsid w:val="00671FBF"/>
    <w:rsid w:val="00672900"/>
    <w:rsid w:val="00672C99"/>
    <w:rsid w:val="0067397D"/>
    <w:rsid w:val="00674C8F"/>
    <w:rsid w:val="00675B2A"/>
    <w:rsid w:val="00675DCB"/>
    <w:rsid w:val="00677443"/>
    <w:rsid w:val="00682E44"/>
    <w:rsid w:val="00684BEE"/>
    <w:rsid w:val="006853A0"/>
    <w:rsid w:val="00687771"/>
    <w:rsid w:val="006961DA"/>
    <w:rsid w:val="006965BF"/>
    <w:rsid w:val="00697B16"/>
    <w:rsid w:val="006A2517"/>
    <w:rsid w:val="006A2A23"/>
    <w:rsid w:val="006A2AD8"/>
    <w:rsid w:val="006A3053"/>
    <w:rsid w:val="006A3309"/>
    <w:rsid w:val="006A4B3C"/>
    <w:rsid w:val="006A5826"/>
    <w:rsid w:val="006A5B2B"/>
    <w:rsid w:val="006A788E"/>
    <w:rsid w:val="006B0016"/>
    <w:rsid w:val="006B14D3"/>
    <w:rsid w:val="006B2291"/>
    <w:rsid w:val="006B361F"/>
    <w:rsid w:val="006B6E71"/>
    <w:rsid w:val="006B7BD9"/>
    <w:rsid w:val="006C19F9"/>
    <w:rsid w:val="006C762D"/>
    <w:rsid w:val="006D3054"/>
    <w:rsid w:val="006E0EAA"/>
    <w:rsid w:val="006E335F"/>
    <w:rsid w:val="006E3544"/>
    <w:rsid w:val="006E7F85"/>
    <w:rsid w:val="006F4BED"/>
    <w:rsid w:val="006F5DED"/>
    <w:rsid w:val="006F6355"/>
    <w:rsid w:val="007003EF"/>
    <w:rsid w:val="00700D84"/>
    <w:rsid w:val="00701436"/>
    <w:rsid w:val="00701782"/>
    <w:rsid w:val="007042E3"/>
    <w:rsid w:val="0070464E"/>
    <w:rsid w:val="0070562D"/>
    <w:rsid w:val="007064BA"/>
    <w:rsid w:val="0071029C"/>
    <w:rsid w:val="0071518E"/>
    <w:rsid w:val="00715559"/>
    <w:rsid w:val="00716CF5"/>
    <w:rsid w:val="007177D7"/>
    <w:rsid w:val="007244EA"/>
    <w:rsid w:val="00730337"/>
    <w:rsid w:val="00730BEA"/>
    <w:rsid w:val="00734F9C"/>
    <w:rsid w:val="007357BE"/>
    <w:rsid w:val="007405CA"/>
    <w:rsid w:val="00743808"/>
    <w:rsid w:val="00750298"/>
    <w:rsid w:val="00752979"/>
    <w:rsid w:val="00752B42"/>
    <w:rsid w:val="00754A03"/>
    <w:rsid w:val="00754F7E"/>
    <w:rsid w:val="00755844"/>
    <w:rsid w:val="00755E00"/>
    <w:rsid w:val="00756B11"/>
    <w:rsid w:val="00760B61"/>
    <w:rsid w:val="00765B23"/>
    <w:rsid w:val="00766181"/>
    <w:rsid w:val="00766D0D"/>
    <w:rsid w:val="00766FD3"/>
    <w:rsid w:val="007705FC"/>
    <w:rsid w:val="00772E30"/>
    <w:rsid w:val="00773DF4"/>
    <w:rsid w:val="00777242"/>
    <w:rsid w:val="00780501"/>
    <w:rsid w:val="00781569"/>
    <w:rsid w:val="00782D0F"/>
    <w:rsid w:val="0078399B"/>
    <w:rsid w:val="007878E3"/>
    <w:rsid w:val="00787E56"/>
    <w:rsid w:val="00790416"/>
    <w:rsid w:val="00790766"/>
    <w:rsid w:val="00791190"/>
    <w:rsid w:val="007914A0"/>
    <w:rsid w:val="00791832"/>
    <w:rsid w:val="00794375"/>
    <w:rsid w:val="00795B56"/>
    <w:rsid w:val="007978B7"/>
    <w:rsid w:val="007A1D79"/>
    <w:rsid w:val="007A329F"/>
    <w:rsid w:val="007A663F"/>
    <w:rsid w:val="007A78DC"/>
    <w:rsid w:val="007B08B9"/>
    <w:rsid w:val="007B260F"/>
    <w:rsid w:val="007B4B56"/>
    <w:rsid w:val="007B4C26"/>
    <w:rsid w:val="007C12D3"/>
    <w:rsid w:val="007C3EE2"/>
    <w:rsid w:val="007C6C64"/>
    <w:rsid w:val="007C71A5"/>
    <w:rsid w:val="007C72C4"/>
    <w:rsid w:val="007C75FF"/>
    <w:rsid w:val="007D2728"/>
    <w:rsid w:val="007D3549"/>
    <w:rsid w:val="007D3E08"/>
    <w:rsid w:val="007D60B5"/>
    <w:rsid w:val="007E03DB"/>
    <w:rsid w:val="007E0C5F"/>
    <w:rsid w:val="007E4522"/>
    <w:rsid w:val="007E4F5B"/>
    <w:rsid w:val="007E72D7"/>
    <w:rsid w:val="007F34F4"/>
    <w:rsid w:val="007F4178"/>
    <w:rsid w:val="007F7BEB"/>
    <w:rsid w:val="00802119"/>
    <w:rsid w:val="008021B6"/>
    <w:rsid w:val="00803A7D"/>
    <w:rsid w:val="00807AF3"/>
    <w:rsid w:val="00807BFD"/>
    <w:rsid w:val="008102D2"/>
    <w:rsid w:val="008143DF"/>
    <w:rsid w:val="00816DE6"/>
    <w:rsid w:val="00822E27"/>
    <w:rsid w:val="00824CA2"/>
    <w:rsid w:val="00825893"/>
    <w:rsid w:val="008277CE"/>
    <w:rsid w:val="00830916"/>
    <w:rsid w:val="00831760"/>
    <w:rsid w:val="00832316"/>
    <w:rsid w:val="00834B96"/>
    <w:rsid w:val="00834E27"/>
    <w:rsid w:val="00836E8A"/>
    <w:rsid w:val="0083737B"/>
    <w:rsid w:val="00840422"/>
    <w:rsid w:val="00842665"/>
    <w:rsid w:val="00844B56"/>
    <w:rsid w:val="00845CE8"/>
    <w:rsid w:val="00847C48"/>
    <w:rsid w:val="008513D2"/>
    <w:rsid w:val="008515C0"/>
    <w:rsid w:val="0085421A"/>
    <w:rsid w:val="00860FBC"/>
    <w:rsid w:val="00861BCE"/>
    <w:rsid w:val="00861F16"/>
    <w:rsid w:val="00862F65"/>
    <w:rsid w:val="00862F9A"/>
    <w:rsid w:val="00864E85"/>
    <w:rsid w:val="00866E37"/>
    <w:rsid w:val="0086756D"/>
    <w:rsid w:val="00867F7C"/>
    <w:rsid w:val="00871F27"/>
    <w:rsid w:val="00872E99"/>
    <w:rsid w:val="00875AB8"/>
    <w:rsid w:val="00876B72"/>
    <w:rsid w:val="00881370"/>
    <w:rsid w:val="00883C45"/>
    <w:rsid w:val="008872B8"/>
    <w:rsid w:val="008919BC"/>
    <w:rsid w:val="00891B54"/>
    <w:rsid w:val="008923BA"/>
    <w:rsid w:val="00893768"/>
    <w:rsid w:val="00896761"/>
    <w:rsid w:val="00896D3F"/>
    <w:rsid w:val="0089738F"/>
    <w:rsid w:val="00897951"/>
    <w:rsid w:val="008A1339"/>
    <w:rsid w:val="008A14A7"/>
    <w:rsid w:val="008A4463"/>
    <w:rsid w:val="008B430B"/>
    <w:rsid w:val="008B4971"/>
    <w:rsid w:val="008B4CB0"/>
    <w:rsid w:val="008B5284"/>
    <w:rsid w:val="008B6234"/>
    <w:rsid w:val="008B7A4E"/>
    <w:rsid w:val="008C0853"/>
    <w:rsid w:val="008C0899"/>
    <w:rsid w:val="008D27EB"/>
    <w:rsid w:val="008D3834"/>
    <w:rsid w:val="008D3F94"/>
    <w:rsid w:val="008D3FB9"/>
    <w:rsid w:val="008D7400"/>
    <w:rsid w:val="008E0F06"/>
    <w:rsid w:val="008F03AB"/>
    <w:rsid w:val="008F0A19"/>
    <w:rsid w:val="008F0B19"/>
    <w:rsid w:val="008F1626"/>
    <w:rsid w:val="008F524E"/>
    <w:rsid w:val="008F5282"/>
    <w:rsid w:val="00900CA3"/>
    <w:rsid w:val="00904B89"/>
    <w:rsid w:val="0090632C"/>
    <w:rsid w:val="00910193"/>
    <w:rsid w:val="0091025C"/>
    <w:rsid w:val="00913BFC"/>
    <w:rsid w:val="009158FD"/>
    <w:rsid w:val="0091601E"/>
    <w:rsid w:val="00917BA0"/>
    <w:rsid w:val="00917F20"/>
    <w:rsid w:val="00921ACF"/>
    <w:rsid w:val="00923904"/>
    <w:rsid w:val="00926FA5"/>
    <w:rsid w:val="0092702F"/>
    <w:rsid w:val="00930D76"/>
    <w:rsid w:val="00931462"/>
    <w:rsid w:val="00931FA2"/>
    <w:rsid w:val="00933BEF"/>
    <w:rsid w:val="0094039A"/>
    <w:rsid w:val="0094111F"/>
    <w:rsid w:val="009427A5"/>
    <w:rsid w:val="00942BB7"/>
    <w:rsid w:val="009430BC"/>
    <w:rsid w:val="00945C8E"/>
    <w:rsid w:val="009466FD"/>
    <w:rsid w:val="00950238"/>
    <w:rsid w:val="00951317"/>
    <w:rsid w:val="009537A9"/>
    <w:rsid w:val="00953A39"/>
    <w:rsid w:val="0096084C"/>
    <w:rsid w:val="009659B2"/>
    <w:rsid w:val="00966890"/>
    <w:rsid w:val="00970F0F"/>
    <w:rsid w:val="00971E65"/>
    <w:rsid w:val="0097404D"/>
    <w:rsid w:val="00975956"/>
    <w:rsid w:val="00975BB3"/>
    <w:rsid w:val="00980636"/>
    <w:rsid w:val="00980868"/>
    <w:rsid w:val="00981C41"/>
    <w:rsid w:val="00983B58"/>
    <w:rsid w:val="00985D47"/>
    <w:rsid w:val="009869C4"/>
    <w:rsid w:val="009871AE"/>
    <w:rsid w:val="00992E69"/>
    <w:rsid w:val="00994C8F"/>
    <w:rsid w:val="009A1C28"/>
    <w:rsid w:val="009A1FE3"/>
    <w:rsid w:val="009A2F68"/>
    <w:rsid w:val="009A5B90"/>
    <w:rsid w:val="009A5E5E"/>
    <w:rsid w:val="009A722B"/>
    <w:rsid w:val="009A7BAD"/>
    <w:rsid w:val="009B0839"/>
    <w:rsid w:val="009B501B"/>
    <w:rsid w:val="009B752E"/>
    <w:rsid w:val="009C4AEC"/>
    <w:rsid w:val="009C7EC6"/>
    <w:rsid w:val="009D135F"/>
    <w:rsid w:val="009D2A07"/>
    <w:rsid w:val="009D4D47"/>
    <w:rsid w:val="009D5891"/>
    <w:rsid w:val="009D6238"/>
    <w:rsid w:val="009D6A8F"/>
    <w:rsid w:val="009E0769"/>
    <w:rsid w:val="009E5D43"/>
    <w:rsid w:val="009E683E"/>
    <w:rsid w:val="009F1ADC"/>
    <w:rsid w:val="009F41E6"/>
    <w:rsid w:val="009F6A55"/>
    <w:rsid w:val="00A01970"/>
    <w:rsid w:val="00A03BEA"/>
    <w:rsid w:val="00A052E5"/>
    <w:rsid w:val="00A1442C"/>
    <w:rsid w:val="00A1558F"/>
    <w:rsid w:val="00A23CFE"/>
    <w:rsid w:val="00A27C5C"/>
    <w:rsid w:val="00A30568"/>
    <w:rsid w:val="00A30895"/>
    <w:rsid w:val="00A32E95"/>
    <w:rsid w:val="00A44431"/>
    <w:rsid w:val="00A467D4"/>
    <w:rsid w:val="00A469B7"/>
    <w:rsid w:val="00A4715E"/>
    <w:rsid w:val="00A526D3"/>
    <w:rsid w:val="00A53F71"/>
    <w:rsid w:val="00A54611"/>
    <w:rsid w:val="00A5537B"/>
    <w:rsid w:val="00A608DF"/>
    <w:rsid w:val="00A615DF"/>
    <w:rsid w:val="00A622A8"/>
    <w:rsid w:val="00A62440"/>
    <w:rsid w:val="00A6546E"/>
    <w:rsid w:val="00A65609"/>
    <w:rsid w:val="00A66A15"/>
    <w:rsid w:val="00A72858"/>
    <w:rsid w:val="00A76BDA"/>
    <w:rsid w:val="00A804C2"/>
    <w:rsid w:val="00A823D0"/>
    <w:rsid w:val="00A841BE"/>
    <w:rsid w:val="00A843EA"/>
    <w:rsid w:val="00A854A4"/>
    <w:rsid w:val="00A91D64"/>
    <w:rsid w:val="00A928AF"/>
    <w:rsid w:val="00A9372B"/>
    <w:rsid w:val="00A94BAB"/>
    <w:rsid w:val="00A954DC"/>
    <w:rsid w:val="00A9645E"/>
    <w:rsid w:val="00AA0418"/>
    <w:rsid w:val="00AA2E7F"/>
    <w:rsid w:val="00AA3298"/>
    <w:rsid w:val="00AA3318"/>
    <w:rsid w:val="00AA61E0"/>
    <w:rsid w:val="00AA6623"/>
    <w:rsid w:val="00AB09C9"/>
    <w:rsid w:val="00AB1597"/>
    <w:rsid w:val="00AB602A"/>
    <w:rsid w:val="00AB6EAB"/>
    <w:rsid w:val="00AB73F8"/>
    <w:rsid w:val="00AB74E6"/>
    <w:rsid w:val="00AB7C43"/>
    <w:rsid w:val="00AB7E15"/>
    <w:rsid w:val="00AB7E31"/>
    <w:rsid w:val="00AC1471"/>
    <w:rsid w:val="00AC1885"/>
    <w:rsid w:val="00AC1B7D"/>
    <w:rsid w:val="00AC348A"/>
    <w:rsid w:val="00AC3C55"/>
    <w:rsid w:val="00AC5891"/>
    <w:rsid w:val="00AC7509"/>
    <w:rsid w:val="00AD4934"/>
    <w:rsid w:val="00AD50F0"/>
    <w:rsid w:val="00AD79FC"/>
    <w:rsid w:val="00AE2F2F"/>
    <w:rsid w:val="00AE4AE1"/>
    <w:rsid w:val="00AE4DE5"/>
    <w:rsid w:val="00AE588D"/>
    <w:rsid w:val="00AE58C7"/>
    <w:rsid w:val="00AE77B5"/>
    <w:rsid w:val="00AE7C63"/>
    <w:rsid w:val="00AF0558"/>
    <w:rsid w:val="00AF15ED"/>
    <w:rsid w:val="00AF18BD"/>
    <w:rsid w:val="00AF32B7"/>
    <w:rsid w:val="00AF455D"/>
    <w:rsid w:val="00AF712F"/>
    <w:rsid w:val="00AF741E"/>
    <w:rsid w:val="00AF799A"/>
    <w:rsid w:val="00B02C37"/>
    <w:rsid w:val="00B05371"/>
    <w:rsid w:val="00B114A2"/>
    <w:rsid w:val="00B13370"/>
    <w:rsid w:val="00B13B85"/>
    <w:rsid w:val="00B151F2"/>
    <w:rsid w:val="00B16C4A"/>
    <w:rsid w:val="00B20118"/>
    <w:rsid w:val="00B2191C"/>
    <w:rsid w:val="00B25357"/>
    <w:rsid w:val="00B25C39"/>
    <w:rsid w:val="00B2630A"/>
    <w:rsid w:val="00B3086D"/>
    <w:rsid w:val="00B345F8"/>
    <w:rsid w:val="00B349D2"/>
    <w:rsid w:val="00B37313"/>
    <w:rsid w:val="00B44FAC"/>
    <w:rsid w:val="00B46337"/>
    <w:rsid w:val="00B521D3"/>
    <w:rsid w:val="00B526FC"/>
    <w:rsid w:val="00B53A47"/>
    <w:rsid w:val="00B53EBC"/>
    <w:rsid w:val="00B54C61"/>
    <w:rsid w:val="00B556B2"/>
    <w:rsid w:val="00B60B7F"/>
    <w:rsid w:val="00B71689"/>
    <w:rsid w:val="00B721F2"/>
    <w:rsid w:val="00B72C9E"/>
    <w:rsid w:val="00B72EA2"/>
    <w:rsid w:val="00B74601"/>
    <w:rsid w:val="00B75CD6"/>
    <w:rsid w:val="00B763CA"/>
    <w:rsid w:val="00B76E25"/>
    <w:rsid w:val="00B77D14"/>
    <w:rsid w:val="00B77FE2"/>
    <w:rsid w:val="00B813AF"/>
    <w:rsid w:val="00B81BDC"/>
    <w:rsid w:val="00B823A3"/>
    <w:rsid w:val="00B82A0B"/>
    <w:rsid w:val="00B83436"/>
    <w:rsid w:val="00B87A2A"/>
    <w:rsid w:val="00B9044F"/>
    <w:rsid w:val="00B93D0A"/>
    <w:rsid w:val="00B96DA5"/>
    <w:rsid w:val="00B9766E"/>
    <w:rsid w:val="00BA12DB"/>
    <w:rsid w:val="00BA1B73"/>
    <w:rsid w:val="00BA2E70"/>
    <w:rsid w:val="00BA6DED"/>
    <w:rsid w:val="00BA7BE0"/>
    <w:rsid w:val="00BB190C"/>
    <w:rsid w:val="00BB26F1"/>
    <w:rsid w:val="00BB4482"/>
    <w:rsid w:val="00BB4892"/>
    <w:rsid w:val="00BB4DAC"/>
    <w:rsid w:val="00BB5CE5"/>
    <w:rsid w:val="00BB79D9"/>
    <w:rsid w:val="00BC2A7F"/>
    <w:rsid w:val="00BC7480"/>
    <w:rsid w:val="00BC774C"/>
    <w:rsid w:val="00BC7FB8"/>
    <w:rsid w:val="00BD43D9"/>
    <w:rsid w:val="00BD5B7F"/>
    <w:rsid w:val="00BD6711"/>
    <w:rsid w:val="00BD7EE0"/>
    <w:rsid w:val="00BE070B"/>
    <w:rsid w:val="00BE27CF"/>
    <w:rsid w:val="00BE68B3"/>
    <w:rsid w:val="00BE6B93"/>
    <w:rsid w:val="00BF22AC"/>
    <w:rsid w:val="00BF3E4B"/>
    <w:rsid w:val="00BF4885"/>
    <w:rsid w:val="00BF770C"/>
    <w:rsid w:val="00C02642"/>
    <w:rsid w:val="00C04526"/>
    <w:rsid w:val="00C063BC"/>
    <w:rsid w:val="00C06550"/>
    <w:rsid w:val="00C10918"/>
    <w:rsid w:val="00C10EA9"/>
    <w:rsid w:val="00C12422"/>
    <w:rsid w:val="00C134CE"/>
    <w:rsid w:val="00C16A4A"/>
    <w:rsid w:val="00C17AA9"/>
    <w:rsid w:val="00C21EC9"/>
    <w:rsid w:val="00C227BB"/>
    <w:rsid w:val="00C23121"/>
    <w:rsid w:val="00C233D8"/>
    <w:rsid w:val="00C236E5"/>
    <w:rsid w:val="00C31744"/>
    <w:rsid w:val="00C3500D"/>
    <w:rsid w:val="00C41682"/>
    <w:rsid w:val="00C444F4"/>
    <w:rsid w:val="00C462CD"/>
    <w:rsid w:val="00C46D57"/>
    <w:rsid w:val="00C47301"/>
    <w:rsid w:val="00C50E13"/>
    <w:rsid w:val="00C5168E"/>
    <w:rsid w:val="00C56650"/>
    <w:rsid w:val="00C64BDD"/>
    <w:rsid w:val="00C65282"/>
    <w:rsid w:val="00C66277"/>
    <w:rsid w:val="00C70023"/>
    <w:rsid w:val="00C722C0"/>
    <w:rsid w:val="00C723D7"/>
    <w:rsid w:val="00C75C6D"/>
    <w:rsid w:val="00C76A44"/>
    <w:rsid w:val="00C76A52"/>
    <w:rsid w:val="00C8052F"/>
    <w:rsid w:val="00C81910"/>
    <w:rsid w:val="00C81A36"/>
    <w:rsid w:val="00C81A7C"/>
    <w:rsid w:val="00C81BA3"/>
    <w:rsid w:val="00C839FD"/>
    <w:rsid w:val="00C83F64"/>
    <w:rsid w:val="00C84481"/>
    <w:rsid w:val="00C878E8"/>
    <w:rsid w:val="00C92B13"/>
    <w:rsid w:val="00C94208"/>
    <w:rsid w:val="00C9684F"/>
    <w:rsid w:val="00CA0D0C"/>
    <w:rsid w:val="00CA37E2"/>
    <w:rsid w:val="00CA4B22"/>
    <w:rsid w:val="00CB007B"/>
    <w:rsid w:val="00CB656A"/>
    <w:rsid w:val="00CB757B"/>
    <w:rsid w:val="00CC36E0"/>
    <w:rsid w:val="00CC62F7"/>
    <w:rsid w:val="00CD0682"/>
    <w:rsid w:val="00CD22D2"/>
    <w:rsid w:val="00CD4EE6"/>
    <w:rsid w:val="00CD67B2"/>
    <w:rsid w:val="00CE063B"/>
    <w:rsid w:val="00CE0914"/>
    <w:rsid w:val="00CE1349"/>
    <w:rsid w:val="00CE23F2"/>
    <w:rsid w:val="00CE415A"/>
    <w:rsid w:val="00CE442A"/>
    <w:rsid w:val="00CE4E74"/>
    <w:rsid w:val="00CE5792"/>
    <w:rsid w:val="00CE69BC"/>
    <w:rsid w:val="00CF256B"/>
    <w:rsid w:val="00CF31A7"/>
    <w:rsid w:val="00CF3ECA"/>
    <w:rsid w:val="00CF4F39"/>
    <w:rsid w:val="00CF5D04"/>
    <w:rsid w:val="00CF7208"/>
    <w:rsid w:val="00CF749E"/>
    <w:rsid w:val="00D04FC2"/>
    <w:rsid w:val="00D05249"/>
    <w:rsid w:val="00D05717"/>
    <w:rsid w:val="00D058F4"/>
    <w:rsid w:val="00D05C52"/>
    <w:rsid w:val="00D16BCC"/>
    <w:rsid w:val="00D1785F"/>
    <w:rsid w:val="00D21A8A"/>
    <w:rsid w:val="00D22136"/>
    <w:rsid w:val="00D2215B"/>
    <w:rsid w:val="00D239DF"/>
    <w:rsid w:val="00D23B65"/>
    <w:rsid w:val="00D23D31"/>
    <w:rsid w:val="00D242D2"/>
    <w:rsid w:val="00D2483B"/>
    <w:rsid w:val="00D253D4"/>
    <w:rsid w:val="00D26185"/>
    <w:rsid w:val="00D26E4A"/>
    <w:rsid w:val="00D408D1"/>
    <w:rsid w:val="00D40963"/>
    <w:rsid w:val="00D438BA"/>
    <w:rsid w:val="00D439DC"/>
    <w:rsid w:val="00D442F3"/>
    <w:rsid w:val="00D4560F"/>
    <w:rsid w:val="00D458E9"/>
    <w:rsid w:val="00D460C0"/>
    <w:rsid w:val="00D4688E"/>
    <w:rsid w:val="00D50CD8"/>
    <w:rsid w:val="00D511A8"/>
    <w:rsid w:val="00D54096"/>
    <w:rsid w:val="00D55CBF"/>
    <w:rsid w:val="00D6034F"/>
    <w:rsid w:val="00D61B65"/>
    <w:rsid w:val="00D64873"/>
    <w:rsid w:val="00D655F4"/>
    <w:rsid w:val="00D664E8"/>
    <w:rsid w:val="00D6682A"/>
    <w:rsid w:val="00D677BE"/>
    <w:rsid w:val="00D67854"/>
    <w:rsid w:val="00D70617"/>
    <w:rsid w:val="00D73D16"/>
    <w:rsid w:val="00D75C91"/>
    <w:rsid w:val="00D7670D"/>
    <w:rsid w:val="00D82167"/>
    <w:rsid w:val="00D823B6"/>
    <w:rsid w:val="00D8358A"/>
    <w:rsid w:val="00D84232"/>
    <w:rsid w:val="00D8619A"/>
    <w:rsid w:val="00D87A6F"/>
    <w:rsid w:val="00D90274"/>
    <w:rsid w:val="00D91D00"/>
    <w:rsid w:val="00D923ED"/>
    <w:rsid w:val="00D9517A"/>
    <w:rsid w:val="00D95932"/>
    <w:rsid w:val="00D9627E"/>
    <w:rsid w:val="00D974B7"/>
    <w:rsid w:val="00DA32BE"/>
    <w:rsid w:val="00DA6AD3"/>
    <w:rsid w:val="00DA71E5"/>
    <w:rsid w:val="00DA785E"/>
    <w:rsid w:val="00DB00A8"/>
    <w:rsid w:val="00DB010B"/>
    <w:rsid w:val="00DB1039"/>
    <w:rsid w:val="00DB1728"/>
    <w:rsid w:val="00DB280C"/>
    <w:rsid w:val="00DB28EF"/>
    <w:rsid w:val="00DB3A0F"/>
    <w:rsid w:val="00DC3A0B"/>
    <w:rsid w:val="00DC42F4"/>
    <w:rsid w:val="00DC6824"/>
    <w:rsid w:val="00DC6A46"/>
    <w:rsid w:val="00DC7656"/>
    <w:rsid w:val="00DD138C"/>
    <w:rsid w:val="00DD39FD"/>
    <w:rsid w:val="00DD3B07"/>
    <w:rsid w:val="00DE2F6C"/>
    <w:rsid w:val="00DE60E7"/>
    <w:rsid w:val="00DE7C72"/>
    <w:rsid w:val="00DF0E0B"/>
    <w:rsid w:val="00DF0FD9"/>
    <w:rsid w:val="00DF20E7"/>
    <w:rsid w:val="00DF2B52"/>
    <w:rsid w:val="00DF3605"/>
    <w:rsid w:val="00DF3C74"/>
    <w:rsid w:val="00DF4A20"/>
    <w:rsid w:val="00DF4F84"/>
    <w:rsid w:val="00DF53D3"/>
    <w:rsid w:val="00DF5BE2"/>
    <w:rsid w:val="00DF628C"/>
    <w:rsid w:val="00E010F5"/>
    <w:rsid w:val="00E01486"/>
    <w:rsid w:val="00E04CF8"/>
    <w:rsid w:val="00E06DA4"/>
    <w:rsid w:val="00E1639E"/>
    <w:rsid w:val="00E213E5"/>
    <w:rsid w:val="00E22F8D"/>
    <w:rsid w:val="00E24702"/>
    <w:rsid w:val="00E25B73"/>
    <w:rsid w:val="00E303F0"/>
    <w:rsid w:val="00E326C7"/>
    <w:rsid w:val="00E34970"/>
    <w:rsid w:val="00E359C4"/>
    <w:rsid w:val="00E35DDB"/>
    <w:rsid w:val="00E36CAF"/>
    <w:rsid w:val="00E37DC1"/>
    <w:rsid w:val="00E40035"/>
    <w:rsid w:val="00E40775"/>
    <w:rsid w:val="00E4127F"/>
    <w:rsid w:val="00E4240A"/>
    <w:rsid w:val="00E45253"/>
    <w:rsid w:val="00E466B0"/>
    <w:rsid w:val="00E50D63"/>
    <w:rsid w:val="00E51EF7"/>
    <w:rsid w:val="00E52E07"/>
    <w:rsid w:val="00E53E0C"/>
    <w:rsid w:val="00E54A09"/>
    <w:rsid w:val="00E5570F"/>
    <w:rsid w:val="00E57298"/>
    <w:rsid w:val="00E60ED2"/>
    <w:rsid w:val="00E61490"/>
    <w:rsid w:val="00E67229"/>
    <w:rsid w:val="00E709BD"/>
    <w:rsid w:val="00E7325E"/>
    <w:rsid w:val="00E7437B"/>
    <w:rsid w:val="00E7610D"/>
    <w:rsid w:val="00E76577"/>
    <w:rsid w:val="00E77218"/>
    <w:rsid w:val="00E80C4D"/>
    <w:rsid w:val="00E84967"/>
    <w:rsid w:val="00E85DBD"/>
    <w:rsid w:val="00E909E7"/>
    <w:rsid w:val="00E90D67"/>
    <w:rsid w:val="00E916E7"/>
    <w:rsid w:val="00E9457B"/>
    <w:rsid w:val="00E972BC"/>
    <w:rsid w:val="00EA1230"/>
    <w:rsid w:val="00EA29F3"/>
    <w:rsid w:val="00EA3DE1"/>
    <w:rsid w:val="00EA4566"/>
    <w:rsid w:val="00EA799C"/>
    <w:rsid w:val="00EA7AE1"/>
    <w:rsid w:val="00EB10F6"/>
    <w:rsid w:val="00EB16D6"/>
    <w:rsid w:val="00EB17DB"/>
    <w:rsid w:val="00EB3B8E"/>
    <w:rsid w:val="00EB5643"/>
    <w:rsid w:val="00EB6264"/>
    <w:rsid w:val="00EC0B52"/>
    <w:rsid w:val="00EC5795"/>
    <w:rsid w:val="00EC7FC2"/>
    <w:rsid w:val="00ED079F"/>
    <w:rsid w:val="00ED0E1D"/>
    <w:rsid w:val="00ED11E1"/>
    <w:rsid w:val="00EE3B85"/>
    <w:rsid w:val="00EE7156"/>
    <w:rsid w:val="00EE7DB4"/>
    <w:rsid w:val="00EF0D36"/>
    <w:rsid w:val="00EF631B"/>
    <w:rsid w:val="00EF6345"/>
    <w:rsid w:val="00EF7E90"/>
    <w:rsid w:val="00EF7EE3"/>
    <w:rsid w:val="00F00AF9"/>
    <w:rsid w:val="00F02373"/>
    <w:rsid w:val="00F076E2"/>
    <w:rsid w:val="00F0773A"/>
    <w:rsid w:val="00F102E7"/>
    <w:rsid w:val="00F2074B"/>
    <w:rsid w:val="00F20BA9"/>
    <w:rsid w:val="00F210C6"/>
    <w:rsid w:val="00F234A4"/>
    <w:rsid w:val="00F23A7B"/>
    <w:rsid w:val="00F259E6"/>
    <w:rsid w:val="00F25E32"/>
    <w:rsid w:val="00F26C37"/>
    <w:rsid w:val="00F30DE9"/>
    <w:rsid w:val="00F3319A"/>
    <w:rsid w:val="00F338C3"/>
    <w:rsid w:val="00F348C8"/>
    <w:rsid w:val="00F4000F"/>
    <w:rsid w:val="00F40182"/>
    <w:rsid w:val="00F40562"/>
    <w:rsid w:val="00F41492"/>
    <w:rsid w:val="00F41D86"/>
    <w:rsid w:val="00F44125"/>
    <w:rsid w:val="00F4466F"/>
    <w:rsid w:val="00F465EC"/>
    <w:rsid w:val="00F55251"/>
    <w:rsid w:val="00F57C5C"/>
    <w:rsid w:val="00F64119"/>
    <w:rsid w:val="00F6567F"/>
    <w:rsid w:val="00F65845"/>
    <w:rsid w:val="00F674F2"/>
    <w:rsid w:val="00F72773"/>
    <w:rsid w:val="00F73F18"/>
    <w:rsid w:val="00F74573"/>
    <w:rsid w:val="00F74B38"/>
    <w:rsid w:val="00F74E23"/>
    <w:rsid w:val="00F801D1"/>
    <w:rsid w:val="00F8061D"/>
    <w:rsid w:val="00F80A1B"/>
    <w:rsid w:val="00F80B51"/>
    <w:rsid w:val="00F81563"/>
    <w:rsid w:val="00F81A7D"/>
    <w:rsid w:val="00F835F6"/>
    <w:rsid w:val="00F85A20"/>
    <w:rsid w:val="00F92513"/>
    <w:rsid w:val="00F9604C"/>
    <w:rsid w:val="00FA1824"/>
    <w:rsid w:val="00FA4CF8"/>
    <w:rsid w:val="00FB258E"/>
    <w:rsid w:val="00FB5881"/>
    <w:rsid w:val="00FC4FFA"/>
    <w:rsid w:val="00FC75FD"/>
    <w:rsid w:val="00FD1C4E"/>
    <w:rsid w:val="00FD1E08"/>
    <w:rsid w:val="00FD1FA3"/>
    <w:rsid w:val="00FD6A3E"/>
    <w:rsid w:val="00FD6DE9"/>
    <w:rsid w:val="00FD7BE4"/>
    <w:rsid w:val="00FE46C1"/>
    <w:rsid w:val="00FE5E90"/>
    <w:rsid w:val="00FF042C"/>
    <w:rsid w:val="00FF5A0A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B22D7"/>
  <w15:docId w15:val="{737B7EC3-C874-43F3-A53D-F8014EAC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51AA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paragraph" w:styleId="ae">
    <w:name w:val="List Paragraph"/>
    <w:basedOn w:val="a"/>
    <w:uiPriority w:val="34"/>
    <w:qFormat/>
    <w:rsid w:val="0052313A"/>
    <w:pPr>
      <w:ind w:left="720"/>
      <w:contextualSpacing/>
    </w:pPr>
  </w:style>
  <w:style w:type="character" w:customStyle="1" w:styleId="rvts9">
    <w:name w:val="rvts9"/>
    <w:basedOn w:val="a0"/>
    <w:rsid w:val="007F34F4"/>
  </w:style>
  <w:style w:type="paragraph" w:styleId="HTML">
    <w:name w:val="HTML Preformatted"/>
    <w:basedOn w:val="a"/>
    <w:link w:val="HTML0"/>
    <w:uiPriority w:val="99"/>
    <w:rsid w:val="00926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926FA5"/>
    <w:rPr>
      <w:rFonts w:ascii="Courier New" w:eastAsia="Times New Roman" w:hAnsi="Courier New" w:cs="Courier New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05782A"/>
    <w:pPr>
      <w:tabs>
        <w:tab w:val="center" w:pos="4819"/>
        <w:tab w:val="right" w:pos="9639"/>
      </w:tabs>
      <w:spacing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05782A"/>
  </w:style>
  <w:style w:type="paragraph" w:styleId="af1">
    <w:name w:val="footer"/>
    <w:basedOn w:val="a"/>
    <w:link w:val="af2"/>
    <w:uiPriority w:val="99"/>
    <w:unhideWhenUsed/>
    <w:rsid w:val="0005782A"/>
    <w:pPr>
      <w:tabs>
        <w:tab w:val="center" w:pos="4819"/>
        <w:tab w:val="right" w:pos="9639"/>
      </w:tabs>
      <w:spacing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05782A"/>
  </w:style>
  <w:style w:type="paragraph" w:styleId="af3">
    <w:name w:val="Balloon Text"/>
    <w:basedOn w:val="a"/>
    <w:link w:val="af4"/>
    <w:uiPriority w:val="99"/>
    <w:semiHidden/>
    <w:unhideWhenUsed/>
    <w:rsid w:val="00EA3D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EA3DE1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913BFC"/>
  </w:style>
  <w:style w:type="paragraph" w:styleId="af5">
    <w:name w:val="Normal (Web)"/>
    <w:basedOn w:val="a"/>
    <w:link w:val="af6"/>
    <w:uiPriority w:val="99"/>
    <w:unhideWhenUsed/>
    <w:qFormat/>
    <w:rsid w:val="005E592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495077"/>
    <w:rPr>
      <w:color w:val="0000FF" w:themeColor="hyperlink"/>
      <w:u w:val="single"/>
    </w:rPr>
  </w:style>
  <w:style w:type="table" w:styleId="af8">
    <w:name w:val="Table Grid"/>
    <w:basedOn w:val="a1"/>
    <w:uiPriority w:val="39"/>
    <w:rsid w:val="000B43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F0A19"/>
  </w:style>
  <w:style w:type="character" w:customStyle="1" w:styleId="st">
    <w:name w:val="st"/>
    <w:basedOn w:val="a0"/>
    <w:rsid w:val="00305C2A"/>
  </w:style>
  <w:style w:type="character" w:styleId="af9">
    <w:name w:val="Emphasis"/>
    <w:basedOn w:val="a0"/>
    <w:uiPriority w:val="20"/>
    <w:qFormat/>
    <w:rsid w:val="00305C2A"/>
    <w:rPr>
      <w:i/>
      <w:iCs/>
    </w:rPr>
  </w:style>
  <w:style w:type="paragraph" w:customStyle="1" w:styleId="afa">
    <w:name w:val="Знак Знак Знак Знак Знак Знак Знак"/>
    <w:basedOn w:val="a"/>
    <w:rsid w:val="00D511A8"/>
    <w:pPr>
      <w:spacing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b">
    <w:name w:val="No Spacing"/>
    <w:uiPriority w:val="1"/>
    <w:qFormat/>
    <w:rsid w:val="00436C81"/>
    <w:pPr>
      <w:spacing w:line="240" w:lineRule="auto"/>
    </w:pPr>
  </w:style>
  <w:style w:type="character" w:customStyle="1" w:styleId="af6">
    <w:name w:val="Звичайний (веб) Знак"/>
    <w:link w:val="af5"/>
    <w:uiPriority w:val="99"/>
    <w:rsid w:val="00F81563"/>
    <w:rPr>
      <w:rFonts w:ascii="Times New Roman" w:eastAsiaTheme="minorHAnsi" w:hAnsi="Times New Roman" w:cs="Times New Roman"/>
      <w:sz w:val="24"/>
      <w:szCs w:val="24"/>
    </w:rPr>
  </w:style>
  <w:style w:type="paragraph" w:customStyle="1" w:styleId="rvps12">
    <w:name w:val="rvps12"/>
    <w:basedOn w:val="a"/>
    <w:rsid w:val="00F8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F81563"/>
  </w:style>
  <w:style w:type="character" w:styleId="afc">
    <w:name w:val="Strong"/>
    <w:basedOn w:val="a0"/>
    <w:uiPriority w:val="22"/>
    <w:qFormat/>
    <w:rsid w:val="0028674B"/>
    <w:rPr>
      <w:b/>
      <w:bCs/>
    </w:rPr>
  </w:style>
  <w:style w:type="character" w:customStyle="1" w:styleId="spelle">
    <w:name w:val="spelle"/>
    <w:basedOn w:val="a0"/>
    <w:rsid w:val="008021B6"/>
  </w:style>
  <w:style w:type="table" w:customStyle="1" w:styleId="10">
    <w:name w:val="Сетка таблицы1"/>
    <w:basedOn w:val="a1"/>
    <w:next w:val="af8"/>
    <w:uiPriority w:val="39"/>
    <w:rsid w:val="00EA7AE1"/>
    <w:pPr>
      <w:spacing w:line="240" w:lineRule="auto"/>
      <w:ind w:firstLine="567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229B8-A288-4127-AB07-61A6250D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16581</Words>
  <Characters>9452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ГУСАК Наталія Миколаївна</dc:creator>
  <cp:lastModifiedBy>Самойлова Людмила Миколаївна</cp:lastModifiedBy>
  <cp:revision>3</cp:revision>
  <cp:lastPrinted>2021-09-16T07:24:00Z</cp:lastPrinted>
  <dcterms:created xsi:type="dcterms:W3CDTF">2025-03-19T09:03:00Z</dcterms:created>
  <dcterms:modified xsi:type="dcterms:W3CDTF">2025-03-20T06:10:00Z</dcterms:modified>
</cp:coreProperties>
</file>