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81" w:rsidRPr="009C1D27" w:rsidRDefault="00B04981" w:rsidP="00B04981">
      <w:pPr>
        <w:pStyle w:val="a3"/>
        <w:rPr>
          <w:rFonts w:ascii="Times New Roman" w:hAnsi="Times New Roman"/>
          <w:sz w:val="28"/>
          <w:szCs w:val="28"/>
        </w:rPr>
      </w:pPr>
      <w:bookmarkStart w:id="0" w:name="_GoBack"/>
      <w:bookmarkEnd w:id="0"/>
      <w:r w:rsidRPr="009C1D27">
        <w:rPr>
          <w:rFonts w:ascii="Times New Roman" w:hAnsi="Times New Roman"/>
          <w:sz w:val="28"/>
          <w:szCs w:val="28"/>
        </w:rPr>
        <w:t>АНАЛІЗ РЕГУЛЯТОРНОГО ВПЛИВУ</w:t>
      </w:r>
    </w:p>
    <w:p w:rsidR="00B04981" w:rsidRPr="009C1D27" w:rsidRDefault="00B04981" w:rsidP="00B04981">
      <w:pPr>
        <w:pStyle w:val="ab"/>
        <w:ind w:firstLine="0"/>
        <w:jc w:val="center"/>
        <w:rPr>
          <w:rFonts w:ascii="Times New Roman" w:hAnsi="Times New Roman" w:cs="Times New Roman"/>
          <w:b/>
          <w:sz w:val="28"/>
          <w:szCs w:val="28"/>
        </w:rPr>
      </w:pPr>
      <w:r w:rsidRPr="009C1D27">
        <w:rPr>
          <w:rFonts w:ascii="Times New Roman" w:hAnsi="Times New Roman" w:cs="Times New Roman"/>
          <w:b/>
          <w:sz w:val="28"/>
          <w:szCs w:val="28"/>
        </w:rPr>
        <w:t>до проекту постанови Кабінету Міністрів України</w:t>
      </w:r>
    </w:p>
    <w:p w:rsidR="00B04981" w:rsidRPr="009C1D27" w:rsidRDefault="00B04981" w:rsidP="00B04981">
      <w:pPr>
        <w:jc w:val="center"/>
        <w:rPr>
          <w:b/>
          <w:sz w:val="28"/>
          <w:szCs w:val="28"/>
          <w:lang w:val="uk-UA"/>
        </w:rPr>
      </w:pPr>
      <w:r w:rsidRPr="009C1D27">
        <w:rPr>
          <w:b/>
          <w:sz w:val="28"/>
          <w:szCs w:val="28"/>
          <w:lang w:val="uk-UA"/>
        </w:rPr>
        <w:t>«Про внесення змін до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p>
    <w:p w:rsidR="00B04981" w:rsidRPr="009C1D27" w:rsidRDefault="00B04981" w:rsidP="00B04981">
      <w:pPr>
        <w:jc w:val="center"/>
        <w:rPr>
          <w:b/>
          <w:noProof/>
          <w:sz w:val="28"/>
          <w:szCs w:val="28"/>
          <w:lang w:val="uk-UA"/>
        </w:rPr>
      </w:pPr>
    </w:p>
    <w:p w:rsidR="00B04981" w:rsidRPr="009C1D27" w:rsidRDefault="00B04981" w:rsidP="00B04981">
      <w:pPr>
        <w:jc w:val="center"/>
        <w:rPr>
          <w:b/>
          <w:noProof/>
          <w:sz w:val="28"/>
          <w:szCs w:val="28"/>
          <w:lang w:val="uk-UA"/>
        </w:rPr>
      </w:pPr>
    </w:p>
    <w:p w:rsidR="00B04981" w:rsidRPr="009C1D27" w:rsidRDefault="00B04981" w:rsidP="00B04981">
      <w:pPr>
        <w:pStyle w:val="Default"/>
        <w:jc w:val="center"/>
        <w:rPr>
          <w:b/>
          <w:color w:val="auto"/>
          <w:sz w:val="28"/>
          <w:szCs w:val="28"/>
          <w:lang w:val="uk-UA"/>
        </w:rPr>
      </w:pPr>
      <w:r w:rsidRPr="009C1D27">
        <w:rPr>
          <w:b/>
          <w:color w:val="auto"/>
          <w:sz w:val="28"/>
          <w:szCs w:val="28"/>
          <w:lang w:val="uk-UA"/>
        </w:rPr>
        <w:t>І. Визначення проблеми</w:t>
      </w:r>
    </w:p>
    <w:p w:rsidR="00B04981" w:rsidRPr="009C1D27" w:rsidRDefault="00B04981" w:rsidP="00B04981">
      <w:pPr>
        <w:pStyle w:val="Default"/>
        <w:ind w:firstLine="709"/>
        <w:jc w:val="both"/>
        <w:rPr>
          <w:bCs/>
          <w:color w:val="auto"/>
          <w:sz w:val="28"/>
          <w:lang w:val="uk-UA" w:eastAsia="en-US"/>
        </w:rPr>
      </w:pP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bCs w:val="0"/>
          <w:sz w:val="28"/>
          <w:lang w:val="uk-UA" w:eastAsia="en-US"/>
        </w:rPr>
        <w:t xml:space="preserve">Відповідно до підпункту </w:t>
      </w:r>
      <w:r w:rsidRPr="009C1D27">
        <w:rPr>
          <w:b w:val="0"/>
          <w:sz w:val="28"/>
          <w:lang w:val="uk-UA" w:eastAsia="en-US"/>
        </w:rPr>
        <w:t>14.1.109 пункту 14.1 статті 14</w:t>
      </w:r>
      <w:r w:rsidRPr="009C1D27">
        <w:rPr>
          <w:b w:val="0"/>
          <w:bCs w:val="0"/>
          <w:sz w:val="28"/>
          <w:lang w:val="uk-UA" w:eastAsia="en-US"/>
        </w:rPr>
        <w:t xml:space="preserve"> </w:t>
      </w:r>
      <w:r w:rsidRPr="009C1D27">
        <w:rPr>
          <w:b w:val="0"/>
          <w:sz w:val="28"/>
          <w:lang w:val="uk-UA" w:eastAsia="en-US"/>
        </w:rPr>
        <w:t>Податков</w:t>
      </w:r>
      <w:r w:rsidRPr="009C1D27">
        <w:rPr>
          <w:b w:val="0"/>
          <w:bCs w:val="0"/>
          <w:sz w:val="28"/>
          <w:lang w:val="uk-UA" w:eastAsia="en-US"/>
        </w:rPr>
        <w:t>ого</w:t>
      </w:r>
      <w:r w:rsidRPr="009C1D27">
        <w:rPr>
          <w:b w:val="0"/>
          <w:sz w:val="28"/>
          <w:lang w:val="uk-UA" w:eastAsia="en-US"/>
        </w:rPr>
        <w:t xml:space="preserve"> кодекс</w:t>
      </w:r>
      <w:r w:rsidRPr="009C1D27">
        <w:rPr>
          <w:b w:val="0"/>
          <w:bCs w:val="0"/>
          <w:sz w:val="28"/>
          <w:lang w:val="uk-UA" w:eastAsia="en-US"/>
        </w:rPr>
        <w:t>у</w:t>
      </w:r>
      <w:r w:rsidRPr="009C1D27">
        <w:rPr>
          <w:b w:val="0"/>
          <w:sz w:val="28"/>
          <w:lang w:val="uk-UA" w:eastAsia="en-US"/>
        </w:rPr>
        <w:t xml:space="preserve"> України</w:t>
      </w:r>
      <w:r w:rsidRPr="009C1D27">
        <w:rPr>
          <w:b w:val="0"/>
          <w:bCs w:val="0"/>
          <w:sz w:val="28"/>
          <w:lang w:val="uk-UA" w:eastAsia="en-US"/>
        </w:rPr>
        <w:t xml:space="preserve"> (далі – Кодекс)</w:t>
      </w:r>
      <w:r w:rsidRPr="009C1D27">
        <w:rPr>
          <w:b w:val="0"/>
          <w:sz w:val="28"/>
          <w:lang w:val="uk-UA" w:eastAsia="en-US"/>
        </w:rPr>
        <w:t xml:space="preserve"> рідини, які використовуються в електронних сигаретах, маркуються марками акцизного податку шляхом наклеювання їх на ємність (упаковку) з рідиною.</w:t>
      </w:r>
      <w:r w:rsidRPr="009C1D27">
        <w:rPr>
          <w:b w:val="0"/>
          <w:sz w:val="28"/>
          <w:szCs w:val="28"/>
          <w:lang w:val="uk-UA"/>
        </w:rPr>
        <w:t xml:space="preserve"> </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 xml:space="preserve">В той же час Положенням про виготовлення, зберігання, продаж марок акцизного податку та маркування алкогольних напоїв і тютюнових виробів, затвердженим постановою Кабінету Міністрів України від 27.12.2010 №1251 (далі – Положення), передбачено, що марка акцизного податку наноситься на картриджі, заправні контейнери та інші ємності для рідин, що використовуються в електронних сигаретах. </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Тобто, наразі існує розбіжність у законодавчих актах в частині маркування рідин, що використовується в електронних сигаретах. Така розбіжність призводить до неможливості маркування частини упаковок рідин.</w:t>
      </w:r>
    </w:p>
    <w:p w:rsidR="00B04981" w:rsidRPr="009C1D27" w:rsidRDefault="00B04981" w:rsidP="00B04981">
      <w:pPr>
        <w:pStyle w:val="3"/>
        <w:spacing w:before="0" w:beforeAutospacing="0" w:after="0" w:afterAutospacing="0"/>
        <w:ind w:firstLine="709"/>
        <w:jc w:val="both"/>
        <w:rPr>
          <w:b w:val="0"/>
          <w:sz w:val="28"/>
          <w:lang w:val="uk-UA" w:eastAsia="en-US"/>
        </w:rPr>
      </w:pPr>
      <w:r w:rsidRPr="009C1D27">
        <w:rPr>
          <w:b w:val="0"/>
          <w:sz w:val="28"/>
          <w:szCs w:val="28"/>
          <w:lang w:val="uk-UA"/>
        </w:rPr>
        <w:t xml:space="preserve">Враховуючи зазначене, </w:t>
      </w:r>
      <w:r w:rsidRPr="009C1D27">
        <w:rPr>
          <w:b w:val="0"/>
          <w:sz w:val="28"/>
          <w:lang w:val="uk-UA" w:eastAsia="en-US"/>
        </w:rPr>
        <w:t xml:space="preserve">існує необхідність привести норми Положення у відповідність до вимог підпункту 14.1.109 пункту 14.1 статті 14 Кодексу. </w:t>
      </w:r>
    </w:p>
    <w:p w:rsidR="00B04981" w:rsidRPr="009C1D27" w:rsidRDefault="00B04981" w:rsidP="00B04981">
      <w:pPr>
        <w:pStyle w:val="3"/>
        <w:spacing w:before="0" w:beforeAutospacing="0" w:after="0" w:afterAutospacing="0"/>
        <w:ind w:firstLine="709"/>
        <w:jc w:val="both"/>
        <w:rPr>
          <w:b w:val="0"/>
          <w:sz w:val="28"/>
          <w:lang w:val="uk-UA" w:eastAsia="en-US"/>
        </w:rPr>
      </w:pPr>
      <w:r w:rsidRPr="009C1D27">
        <w:rPr>
          <w:b w:val="0"/>
          <w:sz w:val="28"/>
          <w:lang w:val="uk-UA" w:eastAsia="en-US"/>
        </w:rPr>
        <w:t>Крім того, проектом постанови Кабінету Міністрів України «Про внесення змін до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(далі – проект постанови) пропонується:</w:t>
      </w:r>
    </w:p>
    <w:p w:rsidR="00B04981" w:rsidRPr="009C1D27" w:rsidRDefault="00B04981" w:rsidP="00B04981">
      <w:pPr>
        <w:pStyle w:val="3"/>
        <w:spacing w:before="0" w:beforeAutospacing="0" w:after="0" w:afterAutospacing="0"/>
        <w:ind w:firstLine="709"/>
        <w:jc w:val="both"/>
        <w:rPr>
          <w:b w:val="0"/>
          <w:sz w:val="28"/>
          <w:lang w:val="uk-UA" w:eastAsia="en-US"/>
        </w:rPr>
      </w:pPr>
      <w:r w:rsidRPr="009C1D27">
        <w:rPr>
          <w:b w:val="0"/>
          <w:sz w:val="28"/>
          <w:lang w:val="uk-UA" w:eastAsia="en-US"/>
        </w:rPr>
        <w:t>- встановити строк отримання марок акцизного податку їх покупцем з моменту подання документів на їх одержання;</w:t>
      </w:r>
    </w:p>
    <w:p w:rsidR="00B04981" w:rsidRPr="009C1D27" w:rsidRDefault="00B04981" w:rsidP="00B04981">
      <w:pPr>
        <w:pStyle w:val="3"/>
        <w:spacing w:before="0" w:beforeAutospacing="0" w:after="0" w:afterAutospacing="0"/>
        <w:ind w:firstLine="709"/>
        <w:jc w:val="both"/>
        <w:rPr>
          <w:b w:val="0"/>
          <w:sz w:val="28"/>
          <w:lang w:val="uk-UA" w:eastAsia="en-US"/>
        </w:rPr>
      </w:pPr>
      <w:r w:rsidRPr="009C1D27">
        <w:rPr>
          <w:b w:val="0"/>
          <w:sz w:val="28"/>
          <w:lang w:val="uk-UA" w:eastAsia="en-US"/>
        </w:rPr>
        <w:t>- визначити строк утилізації повернутих продавцю пошкоджених марок акцизного податку.</w:t>
      </w:r>
    </w:p>
    <w:p w:rsidR="00B04981" w:rsidRPr="009C1D27" w:rsidRDefault="00B04981" w:rsidP="00B04981">
      <w:pPr>
        <w:pStyle w:val="3"/>
        <w:spacing w:before="0" w:beforeAutospacing="0" w:after="0" w:afterAutospacing="0"/>
        <w:ind w:firstLine="709"/>
        <w:jc w:val="both"/>
        <w:rPr>
          <w:b w:val="0"/>
          <w:bCs w:val="0"/>
          <w:sz w:val="28"/>
          <w:lang w:val="uk-UA" w:eastAsia="en-US"/>
        </w:rPr>
      </w:pPr>
      <w:r w:rsidRPr="009C1D27">
        <w:rPr>
          <w:b w:val="0"/>
          <w:bCs w:val="0"/>
          <w:sz w:val="28"/>
          <w:lang w:val="uk-UA" w:eastAsia="en-US"/>
        </w:rPr>
        <w:t>Запровадження строку отримання марок протягом не більше трьох робочих днів з моменту подання відповідних документі зумовлено тим, що спостерігаються факти затримки видачі марок покупцям. Як наслідок, це створює перепони для виробництва підакцизної продукції та її поставок у роздрібну торгівлю.</w:t>
      </w:r>
    </w:p>
    <w:p w:rsidR="00B04981" w:rsidRPr="009C1D27" w:rsidRDefault="00B04981" w:rsidP="00B04981">
      <w:pPr>
        <w:pStyle w:val="3"/>
        <w:spacing w:before="0" w:beforeAutospacing="0" w:after="0" w:afterAutospacing="0"/>
        <w:ind w:firstLine="709"/>
        <w:jc w:val="both"/>
        <w:rPr>
          <w:b w:val="0"/>
          <w:bCs w:val="0"/>
          <w:sz w:val="28"/>
          <w:lang w:val="uk-UA" w:eastAsia="en-US"/>
        </w:rPr>
      </w:pPr>
      <w:r w:rsidRPr="009C1D27">
        <w:rPr>
          <w:b w:val="0"/>
          <w:bCs w:val="0"/>
          <w:sz w:val="28"/>
          <w:lang w:val="uk-UA" w:eastAsia="en-US"/>
        </w:rPr>
        <w:t xml:space="preserve">Щодо встановлення строку утилізації марок, не використаних для маркування товарів, слід зазначити, що у зв’язку із пошкодженням такі марки приймаються від покупців марок для утилізації з відшкодуванням фактично сплачених сум акцизного податку. </w:t>
      </w:r>
    </w:p>
    <w:p w:rsidR="00B04981" w:rsidRPr="009C1D27" w:rsidRDefault="00B04981" w:rsidP="00B04981">
      <w:pPr>
        <w:pStyle w:val="3"/>
        <w:spacing w:before="0" w:beforeAutospacing="0" w:after="0" w:afterAutospacing="0"/>
        <w:ind w:firstLine="709"/>
        <w:jc w:val="both"/>
        <w:rPr>
          <w:b w:val="0"/>
          <w:bCs w:val="0"/>
          <w:sz w:val="28"/>
          <w:lang w:val="uk-UA" w:eastAsia="en-US"/>
        </w:rPr>
      </w:pPr>
      <w:r w:rsidRPr="009C1D27">
        <w:rPr>
          <w:b w:val="0"/>
          <w:bCs w:val="0"/>
          <w:sz w:val="28"/>
          <w:lang w:val="uk-UA" w:eastAsia="en-US"/>
        </w:rPr>
        <w:lastRenderedPageBreak/>
        <w:t>З метою підтвердження автентичності марок, які повертаються та повернення акцизного податку, сплаченого за них, перед утилізацією такі марки проходять експертизу для встановлення їх легальності. Час проведення такої експертизи законодавчо не визначений.</w:t>
      </w:r>
    </w:p>
    <w:p w:rsidR="00B04981" w:rsidRPr="009C1D27" w:rsidRDefault="00B04981" w:rsidP="00B04981">
      <w:pPr>
        <w:pStyle w:val="3"/>
        <w:spacing w:before="0" w:beforeAutospacing="0" w:after="0" w:afterAutospacing="0"/>
        <w:ind w:firstLine="709"/>
        <w:jc w:val="both"/>
        <w:rPr>
          <w:b w:val="0"/>
          <w:bCs w:val="0"/>
          <w:sz w:val="28"/>
          <w:lang w:val="uk-UA" w:eastAsia="en-US"/>
        </w:rPr>
      </w:pPr>
      <w:r w:rsidRPr="009C1D27">
        <w:rPr>
          <w:b w:val="0"/>
          <w:bCs w:val="0"/>
          <w:sz w:val="28"/>
          <w:lang w:val="uk-UA" w:eastAsia="en-US"/>
        </w:rPr>
        <w:t>Наразі проведення таких експертиз може тривати невизначений час, що призводить до затримки із поверненням сум акцизного податку покупцям марок.</w:t>
      </w:r>
    </w:p>
    <w:p w:rsidR="00B04981" w:rsidRPr="009C1D27" w:rsidRDefault="00B04981" w:rsidP="00B04981">
      <w:pPr>
        <w:pStyle w:val="3"/>
        <w:spacing w:before="0" w:beforeAutospacing="0" w:after="0" w:afterAutospacing="0"/>
        <w:ind w:firstLine="709"/>
        <w:jc w:val="both"/>
        <w:rPr>
          <w:b w:val="0"/>
          <w:bCs w:val="0"/>
          <w:sz w:val="28"/>
          <w:lang w:val="uk-UA" w:eastAsia="en-US"/>
        </w:rPr>
      </w:pPr>
    </w:p>
    <w:p w:rsidR="00B04981" w:rsidRPr="009C1D27" w:rsidRDefault="00B04981" w:rsidP="00B04981">
      <w:pPr>
        <w:pStyle w:val="Default"/>
        <w:ind w:firstLine="709"/>
        <w:jc w:val="both"/>
        <w:rPr>
          <w:bCs/>
          <w:color w:val="auto"/>
          <w:sz w:val="28"/>
          <w:lang w:val="uk-UA" w:eastAsia="en-US"/>
        </w:rPr>
      </w:pPr>
      <w:r w:rsidRPr="009C1D27">
        <w:rPr>
          <w:bCs/>
          <w:color w:val="auto"/>
          <w:sz w:val="28"/>
          <w:lang w:val="uk-UA" w:eastAsia="en-US"/>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61"/>
        <w:gridCol w:w="2788"/>
        <w:gridCol w:w="2574"/>
      </w:tblGrid>
      <w:tr w:rsidR="00B04981" w:rsidRPr="009C1D27" w:rsidTr="00500ED6">
        <w:trPr>
          <w:tblCellSpacing w:w="22" w:type="dxa"/>
        </w:trPr>
        <w:tc>
          <w:tcPr>
            <w:tcW w:w="2180"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120" w:beforeAutospacing="0" w:after="0" w:afterAutospacing="0"/>
              <w:jc w:val="center"/>
              <w:rPr>
                <w:b/>
                <w:lang w:val="uk-UA"/>
              </w:rPr>
            </w:pPr>
            <w:r w:rsidRPr="009C1D27">
              <w:rPr>
                <w:b/>
                <w:lang w:val="uk-UA"/>
              </w:rPr>
              <w:t>Групи (підгрупи)</w:t>
            </w:r>
          </w:p>
        </w:tc>
        <w:tc>
          <w:tcPr>
            <w:tcW w:w="1426"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120" w:beforeAutospacing="0" w:after="0" w:afterAutospacing="0"/>
              <w:jc w:val="center"/>
              <w:rPr>
                <w:b/>
                <w:lang w:val="uk-UA"/>
              </w:rPr>
            </w:pPr>
            <w:r w:rsidRPr="009C1D27">
              <w:rPr>
                <w:b/>
                <w:lang w:val="uk-UA"/>
              </w:rPr>
              <w:t>Так</w:t>
            </w:r>
          </w:p>
        </w:tc>
        <w:tc>
          <w:tcPr>
            <w:tcW w:w="1303"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120" w:beforeAutospacing="0" w:after="0" w:afterAutospacing="0"/>
              <w:jc w:val="center"/>
              <w:rPr>
                <w:b/>
                <w:lang w:val="uk-UA"/>
              </w:rPr>
            </w:pPr>
            <w:r w:rsidRPr="009C1D27">
              <w:rPr>
                <w:b/>
                <w:lang w:val="uk-UA"/>
              </w:rPr>
              <w:t>Ні</w:t>
            </w:r>
          </w:p>
        </w:tc>
      </w:tr>
      <w:tr w:rsidR="00B04981" w:rsidRPr="009C1D27" w:rsidTr="00500ED6">
        <w:trPr>
          <w:tblCellSpacing w:w="22" w:type="dxa"/>
        </w:trPr>
        <w:tc>
          <w:tcPr>
            <w:tcW w:w="2180"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Громадяни</w:t>
            </w:r>
          </w:p>
        </w:tc>
        <w:tc>
          <w:tcPr>
            <w:tcW w:w="1426"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center"/>
              <w:rPr>
                <w:lang w:val="uk-UA"/>
              </w:rPr>
            </w:pPr>
            <w:r w:rsidRPr="009C1D27">
              <w:rPr>
                <w:lang w:val="uk-UA"/>
              </w:rPr>
              <w:t>+</w:t>
            </w:r>
          </w:p>
        </w:tc>
        <w:tc>
          <w:tcPr>
            <w:tcW w:w="1303"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center"/>
              <w:rPr>
                <w:lang w:val="uk-UA"/>
              </w:rPr>
            </w:pPr>
          </w:p>
        </w:tc>
      </w:tr>
      <w:tr w:rsidR="00B04981" w:rsidRPr="009C1D27" w:rsidTr="00500ED6">
        <w:trPr>
          <w:tblCellSpacing w:w="22" w:type="dxa"/>
        </w:trPr>
        <w:tc>
          <w:tcPr>
            <w:tcW w:w="2180"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Держава</w:t>
            </w:r>
          </w:p>
        </w:tc>
        <w:tc>
          <w:tcPr>
            <w:tcW w:w="1426"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center"/>
              <w:rPr>
                <w:lang w:val="uk-UA"/>
              </w:rPr>
            </w:pPr>
            <w:r w:rsidRPr="009C1D27">
              <w:rPr>
                <w:lang w:val="uk-UA"/>
              </w:rPr>
              <w:t>+</w:t>
            </w:r>
          </w:p>
        </w:tc>
        <w:tc>
          <w:tcPr>
            <w:tcW w:w="1303"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center"/>
              <w:rPr>
                <w:lang w:val="uk-UA"/>
              </w:rPr>
            </w:pPr>
          </w:p>
        </w:tc>
      </w:tr>
      <w:tr w:rsidR="00B04981" w:rsidRPr="009C1D27" w:rsidTr="00500ED6">
        <w:trPr>
          <w:tblCellSpacing w:w="22" w:type="dxa"/>
        </w:trPr>
        <w:tc>
          <w:tcPr>
            <w:tcW w:w="2180"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Суб’єкти господарювання,</w:t>
            </w:r>
          </w:p>
        </w:tc>
        <w:tc>
          <w:tcPr>
            <w:tcW w:w="1426"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center"/>
              <w:rPr>
                <w:lang w:val="uk-UA"/>
              </w:rPr>
            </w:pPr>
            <w:r w:rsidRPr="009C1D27">
              <w:rPr>
                <w:lang w:val="uk-UA"/>
              </w:rPr>
              <w:t>+</w:t>
            </w:r>
          </w:p>
        </w:tc>
        <w:tc>
          <w:tcPr>
            <w:tcW w:w="1303"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center"/>
              <w:rPr>
                <w:lang w:val="uk-UA"/>
              </w:rPr>
            </w:pPr>
          </w:p>
        </w:tc>
      </w:tr>
      <w:tr w:rsidR="00B04981" w:rsidRPr="009C1D27" w:rsidTr="00500ED6">
        <w:trPr>
          <w:tblCellSpacing w:w="22" w:type="dxa"/>
        </w:trPr>
        <w:tc>
          <w:tcPr>
            <w:tcW w:w="2180"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у тому числі суб’єкти малого підприємництва</w:t>
            </w:r>
          </w:p>
        </w:tc>
        <w:tc>
          <w:tcPr>
            <w:tcW w:w="1426"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center"/>
              <w:rPr>
                <w:lang w:val="uk-UA"/>
              </w:rPr>
            </w:pPr>
            <w:r w:rsidRPr="009C1D27">
              <w:rPr>
                <w:lang w:val="uk-UA"/>
              </w:rPr>
              <w:t>+</w:t>
            </w:r>
          </w:p>
        </w:tc>
        <w:tc>
          <w:tcPr>
            <w:tcW w:w="1303"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center"/>
              <w:rPr>
                <w:lang w:val="uk-UA"/>
              </w:rPr>
            </w:pPr>
          </w:p>
        </w:tc>
      </w:tr>
    </w:tbl>
    <w:p w:rsidR="00B04981" w:rsidRPr="009C1D27" w:rsidRDefault="00B04981" w:rsidP="00B04981">
      <w:pPr>
        <w:pStyle w:val="a9"/>
        <w:widowControl w:val="0"/>
        <w:spacing w:before="0" w:beforeAutospacing="0" w:after="0" w:afterAutospacing="0"/>
        <w:ind w:firstLine="709"/>
        <w:jc w:val="both"/>
        <w:rPr>
          <w:sz w:val="28"/>
          <w:szCs w:val="28"/>
          <w:lang w:val="uk-UA"/>
        </w:rPr>
      </w:pPr>
      <w:r w:rsidRPr="009C1D27">
        <w:rPr>
          <w:sz w:val="28"/>
          <w:szCs w:val="28"/>
          <w:lang w:val="uk-UA"/>
        </w:rPr>
        <w:t>Врегулювання зазначених питань не може бути здійснено за допомогою:</w:t>
      </w:r>
    </w:p>
    <w:p w:rsidR="00B04981" w:rsidRPr="009C1D27" w:rsidRDefault="00B04981" w:rsidP="00B04981">
      <w:pPr>
        <w:pStyle w:val="a9"/>
        <w:widowControl w:val="0"/>
        <w:spacing w:before="0" w:beforeAutospacing="0" w:after="0" w:afterAutospacing="0"/>
        <w:ind w:firstLine="709"/>
        <w:jc w:val="both"/>
        <w:rPr>
          <w:sz w:val="28"/>
          <w:szCs w:val="28"/>
          <w:lang w:val="uk-UA"/>
        </w:rPr>
      </w:pPr>
      <w:r w:rsidRPr="009C1D27">
        <w:rPr>
          <w:sz w:val="28"/>
          <w:szCs w:val="28"/>
          <w:lang w:val="uk-UA"/>
        </w:rPr>
        <w:t>ринкових механізмів, оскільки такі питання регулюються виключно нормативно-правовими актами;</w:t>
      </w:r>
    </w:p>
    <w:p w:rsidR="00B04981" w:rsidRPr="009C1D27" w:rsidRDefault="00B04981" w:rsidP="00B04981">
      <w:pPr>
        <w:pStyle w:val="a9"/>
        <w:widowControl w:val="0"/>
        <w:spacing w:before="0" w:beforeAutospacing="0" w:after="0" w:afterAutospacing="0"/>
        <w:ind w:firstLine="709"/>
        <w:jc w:val="both"/>
        <w:rPr>
          <w:sz w:val="28"/>
          <w:szCs w:val="28"/>
          <w:lang w:val="uk-UA"/>
        </w:rPr>
      </w:pPr>
      <w:r w:rsidRPr="009C1D27">
        <w:rPr>
          <w:sz w:val="28"/>
          <w:szCs w:val="28"/>
          <w:lang w:val="uk-UA"/>
        </w:rPr>
        <w:t>чинних регуляторних актів, оскільки чинні регуляторні акти не вирішують питань, що визначені актом вищої юридичної сили.</w:t>
      </w:r>
    </w:p>
    <w:p w:rsidR="00B04981" w:rsidRPr="009C1D27" w:rsidRDefault="00B04981" w:rsidP="00B04981">
      <w:pPr>
        <w:pStyle w:val="Default"/>
        <w:jc w:val="both"/>
        <w:rPr>
          <w:bCs/>
          <w:color w:val="auto"/>
          <w:sz w:val="28"/>
          <w:lang w:val="uk-UA" w:eastAsia="en-US"/>
        </w:rPr>
      </w:pPr>
    </w:p>
    <w:p w:rsidR="00B04981" w:rsidRPr="009C1D27" w:rsidRDefault="00B04981" w:rsidP="00B04981">
      <w:pPr>
        <w:pStyle w:val="3"/>
        <w:widowControl w:val="0"/>
        <w:spacing w:before="0" w:beforeAutospacing="0" w:after="0" w:afterAutospacing="0"/>
        <w:jc w:val="center"/>
        <w:rPr>
          <w:sz w:val="28"/>
          <w:szCs w:val="28"/>
          <w:lang w:val="uk-UA"/>
        </w:rPr>
      </w:pPr>
      <w:r w:rsidRPr="009C1D27">
        <w:rPr>
          <w:sz w:val="28"/>
          <w:szCs w:val="28"/>
          <w:lang w:val="uk-UA"/>
        </w:rPr>
        <w:t>II. Цілі державного регулювання</w:t>
      </w:r>
    </w:p>
    <w:p w:rsidR="00B04981" w:rsidRPr="009C1D27" w:rsidRDefault="00B04981" w:rsidP="00B04981">
      <w:pPr>
        <w:pStyle w:val="3"/>
        <w:widowControl w:val="0"/>
        <w:spacing w:before="0" w:beforeAutospacing="0" w:after="0" w:afterAutospacing="0"/>
        <w:jc w:val="center"/>
        <w:rPr>
          <w:b w:val="0"/>
          <w:sz w:val="28"/>
          <w:szCs w:val="28"/>
          <w:lang w:val="uk-UA"/>
        </w:rPr>
      </w:pPr>
    </w:p>
    <w:p w:rsidR="00B04981" w:rsidRPr="009C1D27" w:rsidRDefault="00B04981" w:rsidP="00B04981">
      <w:pPr>
        <w:ind w:firstLine="709"/>
        <w:jc w:val="both"/>
        <w:rPr>
          <w:sz w:val="28"/>
          <w:szCs w:val="28"/>
          <w:lang w:val="uk-UA"/>
        </w:rPr>
      </w:pPr>
      <w:r w:rsidRPr="009C1D27">
        <w:rPr>
          <w:sz w:val="28"/>
          <w:szCs w:val="28"/>
          <w:lang w:val="uk-UA"/>
        </w:rPr>
        <w:t>Метою підготовки проекту постанови є:</w:t>
      </w:r>
    </w:p>
    <w:p w:rsidR="00B04981" w:rsidRPr="009C1D27" w:rsidRDefault="00B04981" w:rsidP="00B04981">
      <w:pPr>
        <w:ind w:firstLine="709"/>
        <w:jc w:val="both"/>
        <w:rPr>
          <w:sz w:val="28"/>
          <w:szCs w:val="28"/>
          <w:lang w:val="uk-UA"/>
        </w:rPr>
      </w:pPr>
      <w:r w:rsidRPr="009C1D27">
        <w:rPr>
          <w:sz w:val="28"/>
          <w:szCs w:val="28"/>
          <w:lang w:val="uk-UA"/>
        </w:rPr>
        <w:t>приведення норм Положення у відповідність до вимог</w:t>
      </w:r>
      <w:r w:rsidRPr="009C1D27">
        <w:rPr>
          <w:bCs/>
          <w:sz w:val="28"/>
          <w:szCs w:val="28"/>
          <w:lang w:val="uk-UA"/>
        </w:rPr>
        <w:t xml:space="preserve"> </w:t>
      </w:r>
      <w:r w:rsidRPr="009C1D27">
        <w:rPr>
          <w:bCs/>
          <w:sz w:val="28"/>
          <w:lang w:val="uk-UA" w:eastAsia="en-US"/>
        </w:rPr>
        <w:t xml:space="preserve">підпункту 14.1.109 пункту 14.1 статті 14 </w:t>
      </w:r>
      <w:r w:rsidRPr="009C1D27">
        <w:rPr>
          <w:bCs/>
          <w:sz w:val="28"/>
          <w:szCs w:val="28"/>
          <w:lang w:val="uk-UA"/>
        </w:rPr>
        <w:t>Кодексу</w:t>
      </w:r>
      <w:r w:rsidRPr="009C1D27">
        <w:rPr>
          <w:sz w:val="28"/>
          <w:szCs w:val="28"/>
          <w:lang w:val="uk-UA"/>
        </w:rPr>
        <w:t>;</w:t>
      </w:r>
    </w:p>
    <w:p w:rsidR="00B04981" w:rsidRPr="009C1D27" w:rsidRDefault="00B04981" w:rsidP="00B04981">
      <w:pPr>
        <w:ind w:firstLine="709"/>
        <w:jc w:val="both"/>
        <w:rPr>
          <w:sz w:val="28"/>
          <w:szCs w:val="28"/>
          <w:lang w:val="uk-UA"/>
        </w:rPr>
      </w:pPr>
      <w:r w:rsidRPr="009C1D27">
        <w:rPr>
          <w:sz w:val="28"/>
          <w:szCs w:val="28"/>
          <w:lang w:val="uk-UA"/>
        </w:rPr>
        <w:t xml:space="preserve">встановлення строку отримання марок акцизного податку виробниками алкогольних напоїв та тютюнових виробів. Проектом регуляторного </w:t>
      </w:r>
      <w:proofErr w:type="spellStart"/>
      <w:r w:rsidRPr="009C1D27">
        <w:rPr>
          <w:sz w:val="28"/>
          <w:szCs w:val="28"/>
          <w:lang w:val="uk-UA"/>
        </w:rPr>
        <w:t>акта</w:t>
      </w:r>
      <w:proofErr w:type="spellEnd"/>
      <w:r w:rsidRPr="009C1D27">
        <w:rPr>
          <w:sz w:val="28"/>
          <w:szCs w:val="28"/>
          <w:lang w:val="uk-UA"/>
        </w:rPr>
        <w:t xml:space="preserve"> передбачається, що строк одержання марок акцизного податку покупцем марок визначається за погодженням між продавцем марок і покупцем марок (виробником), але становить не більше трьох робочих днів від дати подання документів на одержання марок акцизного податку;</w:t>
      </w:r>
    </w:p>
    <w:p w:rsidR="00B04981" w:rsidRPr="009C1D27" w:rsidRDefault="00B04981" w:rsidP="00B04981">
      <w:pPr>
        <w:ind w:firstLine="709"/>
        <w:jc w:val="both"/>
        <w:rPr>
          <w:sz w:val="28"/>
          <w:szCs w:val="28"/>
          <w:lang w:val="uk-UA"/>
        </w:rPr>
      </w:pPr>
      <w:r w:rsidRPr="009C1D27">
        <w:rPr>
          <w:sz w:val="28"/>
          <w:szCs w:val="28"/>
          <w:lang w:val="uk-UA"/>
        </w:rPr>
        <w:t>визначення граничного строку утилізації акцизних марок продавцем для забезпечення прогнозованості повернення встановлених законодавством сум акцизного податку платникам податку (не більше 120 календарних днів з моменту отримання продавцем таких марок акцизного податку для їх подальшої утилізації).</w:t>
      </w:r>
    </w:p>
    <w:p w:rsidR="00B04981" w:rsidRPr="009C1D27" w:rsidRDefault="00B04981" w:rsidP="00B04981">
      <w:pPr>
        <w:jc w:val="both"/>
        <w:rPr>
          <w:bCs/>
          <w:sz w:val="28"/>
          <w:szCs w:val="28"/>
          <w:lang w:val="uk-UA"/>
        </w:rPr>
      </w:pPr>
    </w:p>
    <w:p w:rsidR="00B04981" w:rsidRPr="009C1D27" w:rsidRDefault="00B04981" w:rsidP="00B04981">
      <w:pPr>
        <w:jc w:val="center"/>
        <w:rPr>
          <w:b/>
          <w:sz w:val="28"/>
          <w:szCs w:val="28"/>
          <w:lang w:val="uk-UA"/>
        </w:rPr>
      </w:pPr>
      <w:r w:rsidRPr="009C1D27">
        <w:rPr>
          <w:b/>
          <w:sz w:val="28"/>
          <w:szCs w:val="28"/>
          <w:lang w:val="uk-UA"/>
        </w:rPr>
        <w:t>III. Визначення та оцінка альтернативних способів</w:t>
      </w:r>
    </w:p>
    <w:p w:rsidR="00B04981" w:rsidRPr="009C1D27" w:rsidRDefault="00B04981" w:rsidP="00B04981">
      <w:pPr>
        <w:jc w:val="center"/>
        <w:rPr>
          <w:b/>
          <w:sz w:val="28"/>
          <w:szCs w:val="28"/>
          <w:lang w:val="uk-UA"/>
        </w:rPr>
      </w:pPr>
      <w:r w:rsidRPr="009C1D27">
        <w:rPr>
          <w:b/>
          <w:sz w:val="28"/>
          <w:szCs w:val="28"/>
          <w:lang w:val="uk-UA"/>
        </w:rPr>
        <w:t>досягнення цілей</w:t>
      </w:r>
    </w:p>
    <w:p w:rsidR="00B04981" w:rsidRPr="009C1D27" w:rsidRDefault="00B04981" w:rsidP="00B04981">
      <w:pPr>
        <w:jc w:val="center"/>
        <w:rPr>
          <w:b/>
          <w:sz w:val="28"/>
          <w:szCs w:val="28"/>
          <w:lang w:val="uk-UA"/>
        </w:rPr>
      </w:pPr>
    </w:p>
    <w:p w:rsidR="00B04981" w:rsidRPr="009C1D27" w:rsidRDefault="00B04981" w:rsidP="00B04981">
      <w:pPr>
        <w:pStyle w:val="a9"/>
        <w:widowControl w:val="0"/>
        <w:numPr>
          <w:ilvl w:val="0"/>
          <w:numId w:val="1"/>
        </w:numPr>
        <w:spacing w:before="0" w:beforeAutospacing="0" w:after="0" w:afterAutospacing="0"/>
        <w:ind w:left="0" w:firstLine="709"/>
        <w:jc w:val="both"/>
        <w:rPr>
          <w:sz w:val="28"/>
          <w:szCs w:val="28"/>
          <w:lang w:val="uk-UA"/>
        </w:rPr>
      </w:pPr>
      <w:r w:rsidRPr="009C1D27">
        <w:rPr>
          <w:sz w:val="28"/>
          <w:szCs w:val="28"/>
          <w:lang w:val="uk-UA"/>
        </w:rPr>
        <w:t>Альтернативні способи досягнення цілей державного регулювання</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3"/>
        <w:gridCol w:w="7720"/>
      </w:tblGrid>
      <w:tr w:rsidR="00B04981" w:rsidRPr="009C1D27" w:rsidTr="00500ED6">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20" w:after="100" w:afterAutospacing="1"/>
              <w:jc w:val="center"/>
              <w:rPr>
                <w:rFonts w:eastAsia="Calibri"/>
                <w:lang w:val="uk-UA" w:eastAsia="en-US"/>
              </w:rPr>
            </w:pPr>
            <w:r w:rsidRPr="009C1D27">
              <w:rPr>
                <w:rFonts w:eastAsia="Calibri"/>
                <w:lang w:val="uk-UA" w:eastAsia="en-US"/>
              </w:rPr>
              <w:lastRenderedPageBreak/>
              <w:t>Вид альтернативи</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20" w:after="100" w:afterAutospacing="1"/>
              <w:jc w:val="center"/>
              <w:rPr>
                <w:rFonts w:eastAsia="Calibri"/>
                <w:lang w:val="uk-UA" w:eastAsia="en-US"/>
              </w:rPr>
            </w:pPr>
            <w:r w:rsidRPr="009C1D27">
              <w:rPr>
                <w:rFonts w:eastAsia="Calibri"/>
                <w:lang w:val="uk-UA" w:eastAsia="en-US"/>
              </w:rPr>
              <w:t>Опис альтернативи</w:t>
            </w:r>
          </w:p>
        </w:tc>
      </w:tr>
      <w:tr w:rsidR="00B04981" w:rsidRPr="009C1D27" w:rsidTr="00500ED6">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1</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jc w:val="both"/>
              <w:rPr>
                <w:rFonts w:eastAsia="Calibri"/>
                <w:lang w:val="uk-UA" w:eastAsia="en-US"/>
              </w:rPr>
            </w:pPr>
            <w:r w:rsidRPr="009C1D27">
              <w:rPr>
                <w:rFonts w:eastAsia="Calibri"/>
                <w:lang w:val="uk-UA" w:eastAsia="en-US"/>
              </w:rPr>
              <w:t>Затвердити розроблений нормативно-правовий акт, яким вносяться зміни до Положення</w:t>
            </w:r>
          </w:p>
          <w:p w:rsidR="00B04981" w:rsidRPr="009C1D27" w:rsidRDefault="00B04981" w:rsidP="00500ED6">
            <w:pPr>
              <w:jc w:val="both"/>
              <w:rPr>
                <w:rFonts w:eastAsia="Calibri"/>
                <w:lang w:val="uk-UA" w:eastAsia="en-US"/>
              </w:rPr>
            </w:pPr>
          </w:p>
        </w:tc>
      </w:tr>
      <w:tr w:rsidR="00B04981" w:rsidRPr="009C1D27" w:rsidTr="00500ED6">
        <w:trPr>
          <w:tblCellSpacing w:w="30" w:type="dxa"/>
        </w:trPr>
        <w:tc>
          <w:tcPr>
            <w:tcW w:w="9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2</w:t>
            </w:r>
          </w:p>
        </w:tc>
        <w:tc>
          <w:tcPr>
            <w:tcW w:w="39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jc w:val="both"/>
              <w:rPr>
                <w:rFonts w:eastAsia="Calibri"/>
                <w:lang w:val="uk-UA" w:eastAsia="en-US"/>
              </w:rPr>
            </w:pPr>
            <w:r w:rsidRPr="009C1D27">
              <w:rPr>
                <w:rFonts w:eastAsia="Calibri"/>
                <w:lang w:val="uk-UA" w:eastAsia="en-US"/>
              </w:rPr>
              <w:t>Залишити ситуацію без змін</w:t>
            </w:r>
          </w:p>
          <w:p w:rsidR="00B04981" w:rsidRPr="009C1D27" w:rsidRDefault="00B04981" w:rsidP="00500ED6">
            <w:pPr>
              <w:jc w:val="both"/>
              <w:rPr>
                <w:rFonts w:eastAsia="Calibri"/>
                <w:strike/>
                <w:lang w:val="uk-UA" w:eastAsia="en-US"/>
              </w:rPr>
            </w:pPr>
          </w:p>
        </w:tc>
      </w:tr>
    </w:tbl>
    <w:p w:rsidR="00B04981" w:rsidRPr="009C1D27" w:rsidRDefault="00B04981" w:rsidP="00B04981">
      <w:pPr>
        <w:ind w:firstLine="709"/>
        <w:jc w:val="both"/>
        <w:rPr>
          <w:sz w:val="28"/>
          <w:szCs w:val="28"/>
          <w:lang w:val="uk-UA"/>
        </w:rPr>
      </w:pPr>
    </w:p>
    <w:p w:rsidR="00B04981" w:rsidRPr="009C1D27" w:rsidRDefault="00B04981" w:rsidP="00B04981">
      <w:pPr>
        <w:pStyle w:val="a9"/>
        <w:widowControl w:val="0"/>
        <w:spacing w:before="0" w:beforeAutospacing="0" w:after="0" w:afterAutospacing="0"/>
        <w:ind w:firstLine="709"/>
        <w:jc w:val="both"/>
        <w:rPr>
          <w:sz w:val="28"/>
          <w:szCs w:val="28"/>
          <w:lang w:val="uk-UA"/>
        </w:rPr>
      </w:pPr>
      <w:r w:rsidRPr="009C1D27">
        <w:rPr>
          <w:sz w:val="28"/>
          <w:szCs w:val="28"/>
          <w:lang w:val="uk-UA"/>
        </w:rPr>
        <w:t>2. Оцінка вибраних альтернативних способів досягнення цілей.</w:t>
      </w:r>
    </w:p>
    <w:p w:rsidR="00B04981" w:rsidRPr="009C1D27" w:rsidRDefault="00B04981" w:rsidP="00B04981">
      <w:pPr>
        <w:pStyle w:val="a9"/>
        <w:widowControl w:val="0"/>
        <w:spacing w:before="0" w:beforeAutospacing="0" w:after="0" w:afterAutospacing="0"/>
        <w:ind w:firstLine="709"/>
        <w:jc w:val="both"/>
        <w:rPr>
          <w:i/>
          <w:sz w:val="28"/>
          <w:szCs w:val="28"/>
          <w:lang w:val="uk-UA"/>
        </w:rPr>
      </w:pPr>
    </w:p>
    <w:p w:rsidR="00B04981" w:rsidRPr="009C1D27" w:rsidRDefault="00B04981" w:rsidP="00B04981">
      <w:pPr>
        <w:pStyle w:val="a9"/>
        <w:widowControl w:val="0"/>
        <w:spacing w:before="0" w:beforeAutospacing="0" w:after="0" w:afterAutospacing="0"/>
        <w:ind w:firstLine="709"/>
        <w:jc w:val="center"/>
        <w:rPr>
          <w:i/>
          <w:sz w:val="28"/>
          <w:szCs w:val="28"/>
          <w:lang w:val="uk-UA"/>
        </w:rPr>
      </w:pPr>
      <w:r w:rsidRPr="009C1D27">
        <w:rPr>
          <w:i/>
          <w:sz w:val="28"/>
          <w:szCs w:val="28"/>
          <w:lang w:val="uk-UA"/>
        </w:rPr>
        <w:t>Оцінка впливу на сферу інтересів держави</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1"/>
        <w:gridCol w:w="4432"/>
        <w:gridCol w:w="3290"/>
      </w:tblGrid>
      <w:tr w:rsidR="00B04981" w:rsidRPr="009C1D27" w:rsidTr="00500ED6">
        <w:trPr>
          <w:tblCellSpacing w:w="30" w:type="dxa"/>
        </w:trPr>
        <w:tc>
          <w:tcPr>
            <w:tcW w:w="9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Вид альтернативи</w:t>
            </w:r>
          </w:p>
        </w:tc>
        <w:tc>
          <w:tcPr>
            <w:tcW w:w="22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Вигоди</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Витрати</w:t>
            </w:r>
          </w:p>
        </w:tc>
      </w:tr>
      <w:tr w:rsidR="00B04981" w:rsidRPr="009C1D27" w:rsidTr="00500ED6">
        <w:trPr>
          <w:tblCellSpacing w:w="30" w:type="dxa"/>
        </w:trPr>
        <w:tc>
          <w:tcPr>
            <w:tcW w:w="9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1</w:t>
            </w:r>
          </w:p>
        </w:tc>
        <w:tc>
          <w:tcPr>
            <w:tcW w:w="22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jc w:val="both"/>
              <w:rPr>
                <w:rFonts w:eastAsia="Calibri"/>
                <w:lang w:val="uk-UA" w:eastAsia="en-US"/>
              </w:rPr>
            </w:pPr>
            <w:r w:rsidRPr="009C1D27">
              <w:rPr>
                <w:rFonts w:eastAsia="Calibri"/>
                <w:lang w:val="uk-UA" w:eastAsia="en-US"/>
              </w:rPr>
              <w:t xml:space="preserve">Прийняття регуляторного </w:t>
            </w:r>
            <w:proofErr w:type="spellStart"/>
            <w:r w:rsidRPr="009C1D27">
              <w:rPr>
                <w:rFonts w:eastAsia="Calibri"/>
                <w:lang w:val="uk-UA" w:eastAsia="en-US"/>
              </w:rPr>
              <w:t>акта</w:t>
            </w:r>
            <w:proofErr w:type="spellEnd"/>
            <w:r w:rsidRPr="009C1D27">
              <w:rPr>
                <w:rFonts w:eastAsia="Calibri"/>
                <w:lang w:val="uk-UA" w:eastAsia="en-US"/>
              </w:rPr>
              <w:t>:</w:t>
            </w:r>
          </w:p>
          <w:p w:rsidR="00B04981" w:rsidRPr="009C1D27" w:rsidRDefault="00B04981" w:rsidP="00500ED6">
            <w:pPr>
              <w:jc w:val="both"/>
              <w:rPr>
                <w:lang w:val="uk-UA"/>
              </w:rPr>
            </w:pPr>
            <w:r w:rsidRPr="009C1D27">
              <w:rPr>
                <w:rFonts w:eastAsia="Calibri"/>
                <w:lang w:val="uk-UA" w:eastAsia="en-US"/>
              </w:rPr>
              <w:t xml:space="preserve">забезпечить </w:t>
            </w:r>
            <w:r w:rsidRPr="009C1D27">
              <w:rPr>
                <w:lang w:val="uk-UA"/>
              </w:rPr>
              <w:t>приведення нормативно-правових актів Уряду у відповідність до вимог Кодексу в частині порядку маркування рідин, що використовуються в електронних сигаретах;</w:t>
            </w:r>
          </w:p>
          <w:p w:rsidR="00B04981" w:rsidRPr="009C1D27" w:rsidRDefault="00B04981" w:rsidP="00500ED6">
            <w:pPr>
              <w:jc w:val="both"/>
              <w:rPr>
                <w:rFonts w:eastAsia="Calibri"/>
                <w:lang w:val="uk-UA" w:eastAsia="en-US"/>
              </w:rPr>
            </w:pPr>
            <w:r w:rsidRPr="009C1D27">
              <w:rPr>
                <w:rFonts w:eastAsia="Calibri"/>
                <w:lang w:val="uk-UA" w:eastAsia="en-US"/>
              </w:rPr>
              <w:t>дозволить вдосконалити порядок видачі та утилізації марок акцизного податку.</w:t>
            </w:r>
          </w:p>
          <w:p w:rsidR="00B04981" w:rsidRPr="009C1D27" w:rsidRDefault="00B04981" w:rsidP="00500ED6">
            <w:pPr>
              <w:jc w:val="both"/>
              <w:rPr>
                <w:lang w:val="uk-UA"/>
              </w:rPr>
            </w:pPr>
            <w:r w:rsidRPr="009C1D27">
              <w:rPr>
                <w:lang w:val="uk-UA"/>
              </w:rPr>
              <w:t>Введення в дію проекту постанови не потребує матеріальних і фінансових витрат.</w:t>
            </w:r>
          </w:p>
          <w:p w:rsidR="00B04981" w:rsidRPr="009C1D27" w:rsidRDefault="00B04981" w:rsidP="00500ED6">
            <w:pPr>
              <w:jc w:val="both"/>
              <w:rPr>
                <w:rFonts w:eastAsia="Calibri"/>
                <w:lang w:val="uk-UA" w:eastAsia="en-US"/>
              </w:rPr>
            </w:pPr>
            <w:r w:rsidRPr="009C1D27">
              <w:rPr>
                <w:rFonts w:eastAsia="Calibri"/>
                <w:lang w:val="uk-UA" w:eastAsia="en-US"/>
              </w:rPr>
              <w:t xml:space="preserve"> </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Відсутні</w:t>
            </w:r>
          </w:p>
        </w:tc>
      </w:tr>
      <w:tr w:rsidR="00B04981" w:rsidRPr="009C1D27" w:rsidTr="00500ED6">
        <w:trPr>
          <w:tblCellSpacing w:w="30" w:type="dxa"/>
        </w:trPr>
        <w:tc>
          <w:tcPr>
            <w:tcW w:w="9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2</w:t>
            </w:r>
          </w:p>
        </w:tc>
        <w:tc>
          <w:tcPr>
            <w:tcW w:w="22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jc w:val="both"/>
              <w:rPr>
                <w:rFonts w:eastAsia="Calibri"/>
                <w:lang w:val="uk-UA" w:eastAsia="en-US"/>
              </w:rPr>
            </w:pPr>
            <w:r w:rsidRPr="009C1D27">
              <w:rPr>
                <w:rFonts w:eastAsia="Calibri"/>
                <w:lang w:val="uk-UA" w:eastAsia="en-US"/>
              </w:rPr>
              <w:t>Відсутні.</w:t>
            </w:r>
          </w:p>
          <w:p w:rsidR="00B04981" w:rsidRPr="009C1D27" w:rsidRDefault="00B04981" w:rsidP="00500ED6">
            <w:pPr>
              <w:pStyle w:val="a9"/>
              <w:tabs>
                <w:tab w:val="left" w:pos="720"/>
              </w:tabs>
              <w:spacing w:before="0" w:beforeAutospacing="0" w:after="0" w:afterAutospacing="0"/>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pStyle w:val="a9"/>
              <w:tabs>
                <w:tab w:val="left" w:pos="720"/>
              </w:tabs>
              <w:spacing w:before="0" w:beforeAutospacing="0" w:after="0" w:afterAutospacing="0"/>
              <w:jc w:val="both"/>
              <w:rPr>
                <w:lang w:val="uk-UA"/>
              </w:rPr>
            </w:pPr>
            <w:r w:rsidRPr="009C1D27">
              <w:rPr>
                <w:lang w:val="uk-UA"/>
              </w:rPr>
              <w:t>Залишення ситуації без змін призведе до:</w:t>
            </w:r>
          </w:p>
          <w:p w:rsidR="00B04981" w:rsidRPr="009C1D27" w:rsidRDefault="00B04981" w:rsidP="00500ED6">
            <w:pPr>
              <w:pStyle w:val="a9"/>
              <w:tabs>
                <w:tab w:val="left" w:pos="720"/>
              </w:tabs>
              <w:spacing w:before="0" w:beforeAutospacing="0" w:after="0" w:afterAutospacing="0"/>
              <w:jc w:val="both"/>
              <w:rPr>
                <w:lang w:val="uk-UA"/>
              </w:rPr>
            </w:pPr>
            <w:r w:rsidRPr="009C1D27">
              <w:rPr>
                <w:lang w:val="uk-UA"/>
              </w:rPr>
              <w:t>невиконання норм Кодексу;</w:t>
            </w:r>
          </w:p>
          <w:p w:rsidR="00B04981" w:rsidRPr="009C1D27" w:rsidRDefault="00B04981" w:rsidP="00500ED6">
            <w:pPr>
              <w:pStyle w:val="a9"/>
              <w:tabs>
                <w:tab w:val="left" w:pos="720"/>
              </w:tabs>
              <w:spacing w:before="0" w:beforeAutospacing="0" w:after="0" w:afterAutospacing="0"/>
              <w:jc w:val="both"/>
              <w:rPr>
                <w:lang w:val="uk-UA"/>
              </w:rPr>
            </w:pPr>
            <w:r w:rsidRPr="009C1D27">
              <w:rPr>
                <w:lang w:val="uk-UA"/>
              </w:rPr>
              <w:t>несвоєчасного отримання марок акцизного податку;</w:t>
            </w:r>
          </w:p>
          <w:p w:rsidR="00B04981" w:rsidRPr="009C1D27" w:rsidRDefault="00B04981" w:rsidP="00500ED6">
            <w:pPr>
              <w:jc w:val="both"/>
              <w:rPr>
                <w:rFonts w:eastAsia="Calibri"/>
                <w:lang w:val="uk-UA" w:eastAsia="en-US"/>
              </w:rPr>
            </w:pPr>
            <w:r w:rsidRPr="009C1D27">
              <w:rPr>
                <w:lang w:val="uk-UA"/>
              </w:rPr>
              <w:t>затримок із поверненням сум сплаченого акцизного податку.</w:t>
            </w:r>
          </w:p>
        </w:tc>
      </w:tr>
    </w:tbl>
    <w:p w:rsidR="00B04981" w:rsidRPr="009C1D27" w:rsidRDefault="00B04981" w:rsidP="00B04981">
      <w:pPr>
        <w:pStyle w:val="a9"/>
        <w:widowControl w:val="0"/>
        <w:spacing w:before="60" w:beforeAutospacing="0" w:after="0" w:afterAutospacing="0"/>
        <w:jc w:val="both"/>
        <w:rPr>
          <w:sz w:val="28"/>
          <w:szCs w:val="28"/>
          <w:lang w:val="uk-UA"/>
        </w:rPr>
      </w:pPr>
    </w:p>
    <w:p w:rsidR="00B04981" w:rsidRPr="009C1D27" w:rsidRDefault="00B04981" w:rsidP="00B04981">
      <w:pPr>
        <w:pStyle w:val="a9"/>
        <w:spacing w:before="0" w:beforeAutospacing="0" w:after="0" w:afterAutospacing="0"/>
        <w:ind w:firstLine="709"/>
        <w:jc w:val="both"/>
        <w:rPr>
          <w:sz w:val="28"/>
          <w:szCs w:val="28"/>
          <w:lang w:val="uk-UA"/>
        </w:rPr>
      </w:pPr>
      <w:r w:rsidRPr="009C1D27">
        <w:rPr>
          <w:sz w:val="28"/>
          <w:szCs w:val="28"/>
          <w:lang w:val="uk-UA"/>
        </w:rPr>
        <w:t>3. Проект постанови опосередковано впливає на сферу інтересів громадян.</w:t>
      </w:r>
    </w:p>
    <w:p w:rsidR="00B04981" w:rsidRPr="009C1D27" w:rsidRDefault="00B04981" w:rsidP="00B04981">
      <w:pPr>
        <w:pStyle w:val="a9"/>
        <w:spacing w:before="0" w:beforeAutospacing="0" w:after="0" w:afterAutospacing="0"/>
        <w:ind w:firstLine="709"/>
        <w:jc w:val="both"/>
        <w:rPr>
          <w:sz w:val="28"/>
          <w:szCs w:val="28"/>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4433"/>
        <w:gridCol w:w="3288"/>
      </w:tblGrid>
      <w:tr w:rsidR="00B04981" w:rsidRPr="009C1D27" w:rsidTr="00500ED6">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Вид альтернативи</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Вигоди</w:t>
            </w: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Витрати</w:t>
            </w:r>
          </w:p>
        </w:tc>
      </w:tr>
      <w:tr w:rsidR="00B04981" w:rsidRPr="009C1D27" w:rsidTr="00500ED6">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1</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jc w:val="both"/>
              <w:rPr>
                <w:rFonts w:eastAsia="Calibri"/>
                <w:lang w:val="uk-UA" w:eastAsia="en-US"/>
              </w:rPr>
            </w:pPr>
            <w:r w:rsidRPr="009C1D27">
              <w:rPr>
                <w:rFonts w:eastAsia="Calibri"/>
                <w:lang w:val="uk-UA" w:eastAsia="en-US"/>
              </w:rPr>
              <w:t xml:space="preserve">Прийняття регуляторного </w:t>
            </w:r>
            <w:proofErr w:type="spellStart"/>
            <w:r w:rsidRPr="009C1D27">
              <w:rPr>
                <w:rFonts w:eastAsia="Calibri"/>
                <w:lang w:val="uk-UA" w:eastAsia="en-US"/>
              </w:rPr>
              <w:t>акта</w:t>
            </w:r>
            <w:proofErr w:type="spellEnd"/>
            <w:r w:rsidRPr="009C1D27">
              <w:rPr>
                <w:rFonts w:eastAsia="Calibri"/>
                <w:lang w:val="uk-UA" w:eastAsia="en-US"/>
              </w:rPr>
              <w:t xml:space="preserve"> </w:t>
            </w:r>
            <w:proofErr w:type="spellStart"/>
            <w:r w:rsidRPr="009C1D27">
              <w:rPr>
                <w:rFonts w:eastAsia="Calibri"/>
                <w:lang w:val="uk-UA" w:eastAsia="en-US"/>
              </w:rPr>
              <w:t>надасть</w:t>
            </w:r>
            <w:proofErr w:type="spellEnd"/>
            <w:r w:rsidRPr="009C1D27">
              <w:rPr>
                <w:rFonts w:eastAsia="Calibri"/>
                <w:lang w:val="uk-UA" w:eastAsia="en-US"/>
              </w:rPr>
              <w:t xml:space="preserve"> можливість:</w:t>
            </w:r>
          </w:p>
          <w:p w:rsidR="00B04981" w:rsidRPr="009C1D27" w:rsidRDefault="00B04981" w:rsidP="00500ED6">
            <w:pPr>
              <w:jc w:val="both"/>
              <w:rPr>
                <w:lang w:val="uk-UA"/>
              </w:rPr>
            </w:pPr>
            <w:r w:rsidRPr="009C1D27">
              <w:rPr>
                <w:rFonts w:eastAsia="Calibri"/>
                <w:lang w:val="uk-UA" w:eastAsia="en-US"/>
              </w:rPr>
              <w:t xml:space="preserve">- придбати марковані рідини, що використовуються в електронних </w:t>
            </w:r>
            <w:r w:rsidRPr="009C1D27">
              <w:rPr>
                <w:rFonts w:eastAsia="Calibri"/>
                <w:lang w:val="uk-UA" w:eastAsia="en-US"/>
              </w:rPr>
              <w:lastRenderedPageBreak/>
              <w:t xml:space="preserve">сигаретах, та, як наслідок, </w:t>
            </w:r>
            <w:r w:rsidRPr="009C1D27">
              <w:rPr>
                <w:lang w:val="uk-UA"/>
              </w:rPr>
              <w:t>отримати легальний та якісний товар;</w:t>
            </w:r>
          </w:p>
          <w:p w:rsidR="00B04981" w:rsidRPr="009C1D27" w:rsidRDefault="00B04981" w:rsidP="00500ED6">
            <w:pPr>
              <w:jc w:val="both"/>
              <w:rPr>
                <w:lang w:val="uk-UA"/>
              </w:rPr>
            </w:pPr>
            <w:r w:rsidRPr="009C1D27">
              <w:rPr>
                <w:lang w:val="uk-UA"/>
              </w:rPr>
              <w:t>- уникати перебоїв із поставками тютюнових виробів у роздрібний продаж.</w:t>
            </w:r>
          </w:p>
          <w:p w:rsidR="00B04981" w:rsidRPr="009C1D27" w:rsidRDefault="00B04981" w:rsidP="00500ED6">
            <w:pPr>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lastRenderedPageBreak/>
              <w:t>Відсутні</w:t>
            </w:r>
          </w:p>
        </w:tc>
      </w:tr>
      <w:tr w:rsidR="00B04981" w:rsidRPr="009C1D27" w:rsidTr="00500ED6">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2</w:t>
            </w:r>
          </w:p>
        </w:tc>
        <w:tc>
          <w:tcPr>
            <w:tcW w:w="22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jc w:val="both"/>
              <w:rPr>
                <w:rFonts w:eastAsia="Calibri"/>
                <w:lang w:val="uk-UA" w:eastAsia="en-US"/>
              </w:rPr>
            </w:pPr>
            <w:r w:rsidRPr="009C1D27">
              <w:rPr>
                <w:rFonts w:eastAsia="Calibri"/>
                <w:lang w:val="uk-UA" w:eastAsia="en-US"/>
              </w:rPr>
              <w:t>Відсутні.</w:t>
            </w:r>
          </w:p>
          <w:p w:rsidR="00B04981" w:rsidRPr="009C1D27" w:rsidRDefault="00B04981" w:rsidP="00500ED6">
            <w:pPr>
              <w:pStyle w:val="a9"/>
              <w:tabs>
                <w:tab w:val="left" w:pos="720"/>
              </w:tabs>
              <w:spacing w:before="0" w:beforeAutospacing="0" w:after="0" w:afterAutospacing="0"/>
              <w:jc w:val="both"/>
              <w:rPr>
                <w:rFonts w:eastAsia="Calibri"/>
                <w:lang w:val="uk-UA" w:eastAsia="en-US"/>
              </w:rPr>
            </w:pPr>
          </w:p>
        </w:tc>
        <w:tc>
          <w:tcPr>
            <w:tcW w:w="16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pStyle w:val="a9"/>
              <w:tabs>
                <w:tab w:val="left" w:pos="720"/>
              </w:tabs>
              <w:spacing w:before="0" w:beforeAutospacing="0" w:after="0" w:afterAutospacing="0"/>
              <w:jc w:val="both"/>
              <w:rPr>
                <w:rFonts w:eastAsia="Calibri"/>
                <w:lang w:val="uk-UA" w:eastAsia="en-US"/>
              </w:rPr>
            </w:pPr>
            <w:r w:rsidRPr="009C1D27">
              <w:rPr>
                <w:lang w:val="uk-UA"/>
              </w:rPr>
              <w:t xml:space="preserve">Залишення ситуації без змін призведе до </w:t>
            </w:r>
            <w:r w:rsidRPr="009C1D27">
              <w:rPr>
                <w:rFonts w:eastAsia="Calibri"/>
                <w:lang w:val="uk-UA" w:eastAsia="en-US"/>
              </w:rPr>
              <w:t xml:space="preserve">зменшення на ринку кількості легальних рідин, що використовуються в електронних сигаретах </w:t>
            </w:r>
          </w:p>
        </w:tc>
      </w:tr>
    </w:tbl>
    <w:p w:rsidR="00B04981" w:rsidRPr="009C1D27" w:rsidRDefault="00B04981" w:rsidP="00B04981">
      <w:pPr>
        <w:pStyle w:val="a9"/>
        <w:spacing w:before="0" w:beforeAutospacing="0" w:after="0" w:afterAutospacing="0"/>
        <w:ind w:firstLine="709"/>
        <w:jc w:val="both"/>
        <w:rPr>
          <w:sz w:val="28"/>
          <w:szCs w:val="28"/>
          <w:lang w:val="uk-UA"/>
        </w:rPr>
      </w:pPr>
    </w:p>
    <w:p w:rsidR="00B04981" w:rsidRPr="009C1D27" w:rsidRDefault="00B04981" w:rsidP="00B04981">
      <w:pPr>
        <w:pStyle w:val="a9"/>
        <w:spacing w:before="0" w:beforeAutospacing="0" w:after="0" w:afterAutospacing="0"/>
        <w:ind w:firstLine="709"/>
        <w:jc w:val="both"/>
        <w:rPr>
          <w:lang w:val="uk-UA"/>
        </w:rPr>
      </w:pPr>
      <w:r w:rsidRPr="009C1D27">
        <w:rPr>
          <w:sz w:val="28"/>
          <w:szCs w:val="28"/>
          <w:lang w:val="uk-UA"/>
        </w:rPr>
        <w:t>4. Оцінка впливу на сферу інтересів суб’єктів господарювання.</w:t>
      </w:r>
    </w:p>
    <w:p w:rsidR="00B04981" w:rsidRPr="009C1D27" w:rsidRDefault="00B04981" w:rsidP="00B04981">
      <w:pPr>
        <w:ind w:firstLine="709"/>
        <w:jc w:val="both"/>
        <w:rPr>
          <w:sz w:val="28"/>
          <w:szCs w:val="28"/>
          <w:lang w:val="uk-UA"/>
        </w:rPr>
      </w:pPr>
      <w:r w:rsidRPr="009C1D27">
        <w:rPr>
          <w:sz w:val="28"/>
          <w:szCs w:val="28"/>
          <w:lang w:val="uk-UA"/>
        </w:rPr>
        <w:t xml:space="preserve">Дія </w:t>
      </w:r>
      <w:proofErr w:type="spellStart"/>
      <w:r w:rsidRPr="009C1D27">
        <w:rPr>
          <w:sz w:val="28"/>
          <w:szCs w:val="28"/>
          <w:lang w:val="uk-UA"/>
        </w:rPr>
        <w:t>акта</w:t>
      </w:r>
      <w:proofErr w:type="spellEnd"/>
      <w:r w:rsidRPr="009C1D27">
        <w:rPr>
          <w:sz w:val="28"/>
          <w:szCs w:val="28"/>
          <w:lang w:val="uk-UA"/>
        </w:rPr>
        <w:t xml:space="preserve"> поширюється більше ніж на 350 суб’єктів господарювання (юридичних та фізичних осіб), які здійснюють виробництво та імпорт алкогольних напоїв, тютюнових виробів і рідин, що використовуються в електронних сигаретах, із яких безпосередньо виробництвом та імпортом рідин, що використовуються в електронних сигаретах, займаються 37 суб’єктів господарювання.</w:t>
      </w:r>
    </w:p>
    <w:p w:rsidR="00B04981" w:rsidRPr="009C1D27" w:rsidRDefault="00B04981" w:rsidP="00B04981">
      <w:pPr>
        <w:ind w:firstLine="709"/>
        <w:jc w:val="both"/>
        <w:rPr>
          <w:sz w:val="28"/>
          <w:szCs w:val="28"/>
          <w:lang w:val="uk-UA"/>
        </w:rPr>
      </w:pPr>
    </w:p>
    <w:tbl>
      <w:tblPr>
        <w:tblStyle w:val="ac"/>
        <w:tblW w:w="9834" w:type="dxa"/>
        <w:tblLook w:val="04A0" w:firstRow="1" w:lastRow="0" w:firstColumn="1" w:lastColumn="0" w:noHBand="0" w:noVBand="1"/>
      </w:tblPr>
      <w:tblGrid>
        <w:gridCol w:w="2008"/>
        <w:gridCol w:w="1570"/>
        <w:gridCol w:w="1581"/>
        <w:gridCol w:w="1551"/>
        <w:gridCol w:w="1564"/>
        <w:gridCol w:w="1560"/>
      </w:tblGrid>
      <w:tr w:rsidR="00B04981" w:rsidRPr="009C1D27" w:rsidTr="00500ED6">
        <w:trPr>
          <w:trHeight w:val="582"/>
        </w:trPr>
        <w:tc>
          <w:tcPr>
            <w:tcW w:w="2008" w:type="dxa"/>
          </w:tcPr>
          <w:p w:rsidR="00B04981" w:rsidRPr="009C1D27" w:rsidRDefault="00B04981" w:rsidP="00500ED6">
            <w:pPr>
              <w:pStyle w:val="rvps12"/>
              <w:spacing w:before="150" w:beforeAutospacing="0" w:after="150" w:afterAutospacing="0"/>
              <w:jc w:val="center"/>
            </w:pPr>
            <w:r w:rsidRPr="009C1D27">
              <w:t>Показник</w:t>
            </w:r>
          </w:p>
        </w:tc>
        <w:tc>
          <w:tcPr>
            <w:tcW w:w="1570" w:type="dxa"/>
          </w:tcPr>
          <w:p w:rsidR="00B04981" w:rsidRPr="009C1D27" w:rsidRDefault="00B04981" w:rsidP="00500ED6">
            <w:pPr>
              <w:pStyle w:val="rvps12"/>
              <w:spacing w:before="150" w:beforeAutospacing="0" w:after="150" w:afterAutospacing="0"/>
              <w:jc w:val="center"/>
            </w:pPr>
            <w:r w:rsidRPr="009C1D27">
              <w:t>Великі</w:t>
            </w:r>
          </w:p>
        </w:tc>
        <w:tc>
          <w:tcPr>
            <w:tcW w:w="1581" w:type="dxa"/>
          </w:tcPr>
          <w:p w:rsidR="00B04981" w:rsidRPr="009C1D27" w:rsidRDefault="00B04981" w:rsidP="00500ED6">
            <w:pPr>
              <w:pStyle w:val="rvps12"/>
              <w:spacing w:before="150" w:beforeAutospacing="0" w:after="150" w:afterAutospacing="0"/>
              <w:jc w:val="center"/>
            </w:pPr>
            <w:r w:rsidRPr="009C1D27">
              <w:t>Середні</w:t>
            </w:r>
          </w:p>
        </w:tc>
        <w:tc>
          <w:tcPr>
            <w:tcW w:w="1551" w:type="dxa"/>
          </w:tcPr>
          <w:p w:rsidR="00B04981" w:rsidRPr="009C1D27" w:rsidRDefault="00B04981" w:rsidP="00500ED6">
            <w:pPr>
              <w:pStyle w:val="rvps12"/>
              <w:spacing w:before="150" w:beforeAutospacing="0" w:after="150" w:afterAutospacing="0"/>
              <w:jc w:val="center"/>
            </w:pPr>
            <w:r w:rsidRPr="009C1D27">
              <w:t>Малі</w:t>
            </w:r>
          </w:p>
        </w:tc>
        <w:tc>
          <w:tcPr>
            <w:tcW w:w="1564" w:type="dxa"/>
          </w:tcPr>
          <w:p w:rsidR="00B04981" w:rsidRPr="009C1D27" w:rsidRDefault="00B04981" w:rsidP="00500ED6">
            <w:pPr>
              <w:pStyle w:val="rvps12"/>
              <w:spacing w:before="150" w:beforeAutospacing="0" w:after="150" w:afterAutospacing="0"/>
              <w:jc w:val="center"/>
            </w:pPr>
            <w:r w:rsidRPr="009C1D27">
              <w:t>Мікро</w:t>
            </w:r>
          </w:p>
        </w:tc>
        <w:tc>
          <w:tcPr>
            <w:tcW w:w="1560" w:type="dxa"/>
          </w:tcPr>
          <w:p w:rsidR="00B04981" w:rsidRPr="009C1D27" w:rsidRDefault="00B04981" w:rsidP="00500ED6">
            <w:pPr>
              <w:pStyle w:val="rvps12"/>
              <w:spacing w:before="150" w:beforeAutospacing="0" w:after="150" w:afterAutospacing="0"/>
              <w:jc w:val="center"/>
            </w:pPr>
            <w:r w:rsidRPr="009C1D27">
              <w:t>Разом</w:t>
            </w:r>
          </w:p>
        </w:tc>
      </w:tr>
      <w:tr w:rsidR="00B04981" w:rsidRPr="009C1D27" w:rsidTr="00500ED6">
        <w:trPr>
          <w:trHeight w:val="1946"/>
        </w:trPr>
        <w:tc>
          <w:tcPr>
            <w:tcW w:w="2008" w:type="dxa"/>
          </w:tcPr>
          <w:p w:rsidR="00B04981" w:rsidRPr="009C1D27" w:rsidRDefault="00B04981" w:rsidP="00500ED6">
            <w:pPr>
              <w:jc w:val="both"/>
              <w:rPr>
                <w:lang w:val="uk-UA"/>
              </w:rPr>
            </w:pPr>
            <w:r w:rsidRPr="009C1D27">
              <w:rPr>
                <w:shd w:val="clear" w:color="auto" w:fill="FFFFFF"/>
                <w:lang w:val="uk-UA"/>
              </w:rPr>
              <w:t>Кількість суб’єктів господарювання, що підпадають під дію регулювання, одиниць</w:t>
            </w:r>
          </w:p>
        </w:tc>
        <w:tc>
          <w:tcPr>
            <w:tcW w:w="1570" w:type="dxa"/>
          </w:tcPr>
          <w:p w:rsidR="00B04981" w:rsidRPr="009C1D27" w:rsidRDefault="00B04981" w:rsidP="00500ED6">
            <w:pPr>
              <w:jc w:val="center"/>
              <w:rPr>
                <w:lang w:val="uk-UA"/>
              </w:rPr>
            </w:pPr>
            <w:r w:rsidRPr="009C1D27">
              <w:rPr>
                <w:lang w:val="uk-UA"/>
              </w:rPr>
              <w:t>112</w:t>
            </w:r>
          </w:p>
        </w:tc>
        <w:tc>
          <w:tcPr>
            <w:tcW w:w="1581" w:type="dxa"/>
          </w:tcPr>
          <w:p w:rsidR="00B04981" w:rsidRPr="009C1D27" w:rsidRDefault="00B04981" w:rsidP="00500ED6">
            <w:pPr>
              <w:jc w:val="center"/>
              <w:rPr>
                <w:lang w:val="uk-UA"/>
              </w:rPr>
            </w:pPr>
            <w:r w:rsidRPr="009C1D27">
              <w:rPr>
                <w:lang w:val="uk-UA"/>
              </w:rPr>
              <w:t>204</w:t>
            </w:r>
          </w:p>
        </w:tc>
        <w:tc>
          <w:tcPr>
            <w:tcW w:w="1551" w:type="dxa"/>
          </w:tcPr>
          <w:p w:rsidR="00B04981" w:rsidRPr="009C1D27" w:rsidRDefault="00B04981" w:rsidP="00500ED6">
            <w:pPr>
              <w:jc w:val="center"/>
              <w:rPr>
                <w:lang w:val="uk-UA"/>
              </w:rPr>
            </w:pPr>
            <w:r w:rsidRPr="009C1D27">
              <w:rPr>
                <w:lang w:val="uk-UA"/>
              </w:rPr>
              <w:t>34</w:t>
            </w:r>
          </w:p>
        </w:tc>
        <w:tc>
          <w:tcPr>
            <w:tcW w:w="1564" w:type="dxa"/>
          </w:tcPr>
          <w:p w:rsidR="00B04981" w:rsidRPr="009C1D27" w:rsidRDefault="00B04981" w:rsidP="00500ED6">
            <w:pPr>
              <w:jc w:val="center"/>
              <w:rPr>
                <w:lang w:val="uk-UA"/>
              </w:rPr>
            </w:pPr>
            <w:r w:rsidRPr="009C1D27">
              <w:rPr>
                <w:lang w:val="uk-UA"/>
              </w:rPr>
              <w:t>0</w:t>
            </w:r>
          </w:p>
        </w:tc>
        <w:tc>
          <w:tcPr>
            <w:tcW w:w="1560" w:type="dxa"/>
          </w:tcPr>
          <w:p w:rsidR="00B04981" w:rsidRPr="009C1D27" w:rsidRDefault="00B04981" w:rsidP="00500ED6">
            <w:pPr>
              <w:jc w:val="center"/>
              <w:rPr>
                <w:lang w:val="uk-UA"/>
              </w:rPr>
            </w:pPr>
            <w:r w:rsidRPr="009C1D27">
              <w:rPr>
                <w:lang w:val="uk-UA"/>
              </w:rPr>
              <w:t>350</w:t>
            </w:r>
          </w:p>
        </w:tc>
      </w:tr>
      <w:tr w:rsidR="00B04981" w:rsidRPr="009C1D27" w:rsidTr="00500ED6">
        <w:trPr>
          <w:trHeight w:val="1052"/>
        </w:trPr>
        <w:tc>
          <w:tcPr>
            <w:tcW w:w="2008" w:type="dxa"/>
          </w:tcPr>
          <w:p w:rsidR="00B04981" w:rsidRPr="009C1D27" w:rsidRDefault="00B04981" w:rsidP="00500ED6">
            <w:pPr>
              <w:jc w:val="both"/>
              <w:rPr>
                <w:lang w:val="uk-UA"/>
              </w:rPr>
            </w:pPr>
            <w:r w:rsidRPr="009C1D27">
              <w:rPr>
                <w:shd w:val="clear" w:color="auto" w:fill="FFFFFF"/>
                <w:lang w:val="uk-UA"/>
              </w:rPr>
              <w:t>Питома вага групи у загальній кількості, відсотків</w:t>
            </w:r>
          </w:p>
        </w:tc>
        <w:tc>
          <w:tcPr>
            <w:tcW w:w="1570" w:type="dxa"/>
          </w:tcPr>
          <w:p w:rsidR="00B04981" w:rsidRPr="009C1D27" w:rsidRDefault="00B04981" w:rsidP="00500ED6">
            <w:pPr>
              <w:jc w:val="center"/>
              <w:rPr>
                <w:lang w:val="uk-UA"/>
              </w:rPr>
            </w:pPr>
            <w:r w:rsidRPr="009C1D27">
              <w:rPr>
                <w:lang w:val="uk-UA"/>
              </w:rPr>
              <w:t>32</w:t>
            </w:r>
          </w:p>
        </w:tc>
        <w:tc>
          <w:tcPr>
            <w:tcW w:w="1581" w:type="dxa"/>
          </w:tcPr>
          <w:p w:rsidR="00B04981" w:rsidRPr="009C1D27" w:rsidRDefault="00B04981" w:rsidP="00500ED6">
            <w:pPr>
              <w:jc w:val="center"/>
              <w:rPr>
                <w:lang w:val="uk-UA"/>
              </w:rPr>
            </w:pPr>
            <w:r w:rsidRPr="009C1D27">
              <w:rPr>
                <w:lang w:val="uk-UA"/>
              </w:rPr>
              <w:t>59</w:t>
            </w:r>
          </w:p>
        </w:tc>
        <w:tc>
          <w:tcPr>
            <w:tcW w:w="1551" w:type="dxa"/>
          </w:tcPr>
          <w:p w:rsidR="00B04981" w:rsidRPr="009C1D27" w:rsidRDefault="00B04981" w:rsidP="00500ED6">
            <w:pPr>
              <w:jc w:val="center"/>
              <w:rPr>
                <w:lang w:val="uk-UA"/>
              </w:rPr>
            </w:pPr>
            <w:r w:rsidRPr="009C1D27">
              <w:rPr>
                <w:lang w:val="uk-UA"/>
              </w:rPr>
              <w:t>9</w:t>
            </w:r>
          </w:p>
        </w:tc>
        <w:tc>
          <w:tcPr>
            <w:tcW w:w="1564" w:type="dxa"/>
          </w:tcPr>
          <w:p w:rsidR="00B04981" w:rsidRPr="009C1D27" w:rsidRDefault="00B04981" w:rsidP="00500ED6">
            <w:pPr>
              <w:jc w:val="center"/>
              <w:rPr>
                <w:lang w:val="uk-UA"/>
              </w:rPr>
            </w:pPr>
            <w:r w:rsidRPr="009C1D27">
              <w:rPr>
                <w:lang w:val="uk-UA"/>
              </w:rPr>
              <w:t>0</w:t>
            </w:r>
          </w:p>
        </w:tc>
        <w:tc>
          <w:tcPr>
            <w:tcW w:w="1560" w:type="dxa"/>
          </w:tcPr>
          <w:p w:rsidR="00B04981" w:rsidRPr="009C1D27" w:rsidRDefault="00B04981" w:rsidP="00500ED6">
            <w:pPr>
              <w:jc w:val="center"/>
              <w:rPr>
                <w:lang w:val="uk-UA"/>
              </w:rPr>
            </w:pPr>
            <w:r w:rsidRPr="009C1D27">
              <w:rPr>
                <w:lang w:val="uk-UA"/>
              </w:rPr>
              <w:t>х</w:t>
            </w:r>
          </w:p>
        </w:tc>
      </w:tr>
    </w:tbl>
    <w:p w:rsidR="00B04981" w:rsidRPr="009C1D27" w:rsidRDefault="00B04981" w:rsidP="00B04981">
      <w:pPr>
        <w:ind w:firstLine="709"/>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83"/>
        <w:gridCol w:w="4145"/>
        <w:gridCol w:w="3601"/>
      </w:tblGrid>
      <w:tr w:rsidR="00B04981" w:rsidRPr="009C1D27" w:rsidTr="00500ED6">
        <w:trPr>
          <w:tblCellSpacing w:w="22" w:type="dxa"/>
        </w:trPr>
        <w:tc>
          <w:tcPr>
            <w:tcW w:w="943"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pStyle w:val="a9"/>
              <w:jc w:val="center"/>
              <w:rPr>
                <w:lang w:val="uk-UA"/>
              </w:rPr>
            </w:pPr>
            <w:r w:rsidRPr="009C1D27">
              <w:rPr>
                <w:lang w:val="uk-UA"/>
              </w:rPr>
              <w:t>Вид альтернативи</w:t>
            </w:r>
          </w:p>
        </w:tc>
        <w:tc>
          <w:tcPr>
            <w:tcW w:w="2129"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pStyle w:val="a9"/>
              <w:jc w:val="center"/>
              <w:rPr>
                <w:lang w:val="uk-UA"/>
              </w:rPr>
            </w:pPr>
            <w:r w:rsidRPr="009C1D27">
              <w:rPr>
                <w:lang w:val="uk-UA"/>
              </w:rPr>
              <w:t>Вигоди</w:t>
            </w:r>
          </w:p>
        </w:tc>
        <w:tc>
          <w:tcPr>
            <w:tcW w:w="1835"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pStyle w:val="a9"/>
              <w:jc w:val="center"/>
              <w:rPr>
                <w:lang w:val="uk-UA"/>
              </w:rPr>
            </w:pPr>
            <w:r w:rsidRPr="009C1D27">
              <w:rPr>
                <w:lang w:val="uk-UA"/>
              </w:rPr>
              <w:t>Витрати</w:t>
            </w:r>
          </w:p>
        </w:tc>
      </w:tr>
      <w:tr w:rsidR="00B04981" w:rsidRPr="009C1D27" w:rsidTr="00500ED6">
        <w:trPr>
          <w:tblCellSpacing w:w="22" w:type="dxa"/>
        </w:trPr>
        <w:tc>
          <w:tcPr>
            <w:tcW w:w="943"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pStyle w:val="a9"/>
              <w:jc w:val="both"/>
              <w:rPr>
                <w:lang w:val="uk-UA"/>
              </w:rPr>
            </w:pPr>
            <w:r w:rsidRPr="009C1D27">
              <w:rPr>
                <w:lang w:val="uk-UA"/>
              </w:rPr>
              <w:t>Альтернатива 1</w:t>
            </w:r>
          </w:p>
        </w:tc>
        <w:tc>
          <w:tcPr>
            <w:tcW w:w="2129"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jc w:val="both"/>
              <w:rPr>
                <w:lang w:val="uk-UA"/>
              </w:rPr>
            </w:pPr>
            <w:r w:rsidRPr="009C1D27">
              <w:rPr>
                <w:lang w:val="uk-UA"/>
              </w:rPr>
              <w:t xml:space="preserve">Прийняття регуляторного </w:t>
            </w:r>
            <w:proofErr w:type="spellStart"/>
            <w:r w:rsidRPr="009C1D27">
              <w:rPr>
                <w:lang w:val="uk-UA"/>
              </w:rPr>
              <w:t>акта</w:t>
            </w:r>
            <w:proofErr w:type="spellEnd"/>
            <w:r w:rsidRPr="009C1D27">
              <w:rPr>
                <w:lang w:val="uk-UA"/>
              </w:rPr>
              <w:t xml:space="preserve"> забезпечить:</w:t>
            </w:r>
          </w:p>
          <w:p w:rsidR="00B04981" w:rsidRPr="009C1D27" w:rsidRDefault="00B04981" w:rsidP="00500ED6">
            <w:pPr>
              <w:jc w:val="both"/>
              <w:rPr>
                <w:lang w:val="uk-UA"/>
              </w:rPr>
            </w:pPr>
            <w:r w:rsidRPr="009C1D27">
              <w:rPr>
                <w:lang w:val="uk-UA"/>
              </w:rPr>
              <w:t>можливість маркувати марками акцизного податку упаковки рідин, що використовуються в електронних сигаретах;</w:t>
            </w:r>
          </w:p>
          <w:p w:rsidR="00B04981" w:rsidRPr="009C1D27" w:rsidRDefault="00B04981" w:rsidP="00500ED6">
            <w:pPr>
              <w:jc w:val="both"/>
              <w:rPr>
                <w:lang w:val="uk-UA"/>
              </w:rPr>
            </w:pPr>
            <w:r w:rsidRPr="009C1D27">
              <w:rPr>
                <w:lang w:val="uk-UA"/>
              </w:rPr>
              <w:t>вирішення проблем зі своєчасним отриманням марок акцизного податку виробниками алкогольних напоїв та тютюнових виробів;</w:t>
            </w:r>
          </w:p>
          <w:p w:rsidR="00B04981" w:rsidRPr="009C1D27" w:rsidRDefault="00B04981" w:rsidP="00500ED6">
            <w:pPr>
              <w:jc w:val="both"/>
              <w:rPr>
                <w:lang w:val="uk-UA"/>
              </w:rPr>
            </w:pPr>
            <w:r w:rsidRPr="009C1D27">
              <w:rPr>
                <w:lang w:val="uk-UA"/>
              </w:rPr>
              <w:lastRenderedPageBreak/>
              <w:t>прогнозованість повернення встановлених законодавством сум акцизного податку платникам податку за рахунок визначення граничного строку утилізації акцизних марок продавцем.</w:t>
            </w:r>
          </w:p>
        </w:tc>
        <w:tc>
          <w:tcPr>
            <w:tcW w:w="1835"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jc w:val="both"/>
              <w:rPr>
                <w:lang w:val="uk-UA"/>
              </w:rPr>
            </w:pPr>
            <w:r w:rsidRPr="009C1D27">
              <w:rPr>
                <w:lang w:val="uk-UA"/>
              </w:rPr>
              <w:lastRenderedPageBreak/>
              <w:t>Відсутні</w:t>
            </w:r>
          </w:p>
        </w:tc>
      </w:tr>
      <w:tr w:rsidR="00B04981" w:rsidRPr="009C1D27" w:rsidTr="00500ED6">
        <w:trPr>
          <w:tblCellSpacing w:w="22" w:type="dxa"/>
        </w:trPr>
        <w:tc>
          <w:tcPr>
            <w:tcW w:w="943"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pStyle w:val="a9"/>
              <w:jc w:val="both"/>
              <w:rPr>
                <w:lang w:val="uk-UA"/>
              </w:rPr>
            </w:pPr>
            <w:r w:rsidRPr="009C1D27">
              <w:rPr>
                <w:lang w:val="uk-UA"/>
              </w:rPr>
              <w:t>Альтернатива 2</w:t>
            </w:r>
          </w:p>
        </w:tc>
        <w:tc>
          <w:tcPr>
            <w:tcW w:w="2129" w:type="pct"/>
            <w:tcBorders>
              <w:top w:val="single" w:sz="4" w:space="0" w:color="auto"/>
              <w:left w:val="single" w:sz="4" w:space="0" w:color="auto"/>
              <w:bottom w:val="single" w:sz="4" w:space="0" w:color="auto"/>
              <w:right w:val="single" w:sz="4" w:space="0" w:color="auto"/>
            </w:tcBorders>
          </w:tcPr>
          <w:p w:rsidR="00B04981" w:rsidRPr="009C1D27" w:rsidRDefault="00B04981" w:rsidP="00500ED6">
            <w:pPr>
              <w:jc w:val="both"/>
              <w:rPr>
                <w:lang w:val="uk-UA"/>
              </w:rPr>
            </w:pPr>
            <w:r w:rsidRPr="009C1D27">
              <w:rPr>
                <w:lang w:val="uk-UA"/>
              </w:rPr>
              <w:t>Відсутні</w:t>
            </w:r>
          </w:p>
        </w:tc>
        <w:tc>
          <w:tcPr>
            <w:tcW w:w="1835" w:type="pct"/>
            <w:tcBorders>
              <w:top w:val="single" w:sz="4" w:space="0" w:color="auto"/>
              <w:left w:val="single" w:sz="4" w:space="0" w:color="auto"/>
              <w:bottom w:val="single" w:sz="4" w:space="0" w:color="auto"/>
              <w:right w:val="single" w:sz="4" w:space="0" w:color="auto"/>
            </w:tcBorders>
            <w:vAlign w:val="center"/>
          </w:tcPr>
          <w:p w:rsidR="00B04981" w:rsidRPr="009C1D27" w:rsidRDefault="00B04981" w:rsidP="00500ED6">
            <w:pPr>
              <w:jc w:val="both"/>
              <w:rPr>
                <w:lang w:val="uk-UA"/>
              </w:rPr>
            </w:pPr>
            <w:r w:rsidRPr="009C1D27">
              <w:rPr>
                <w:lang w:val="uk-UA"/>
              </w:rPr>
              <w:t>Маркування марками акцизного податку рідин, що використовуються в електронних сигаретах, у спосіб, який не відповідає вимогам Кодексу.</w:t>
            </w:r>
          </w:p>
          <w:p w:rsidR="00B04981" w:rsidRPr="009C1D27" w:rsidRDefault="00B04981" w:rsidP="00500ED6">
            <w:pPr>
              <w:jc w:val="both"/>
              <w:rPr>
                <w:lang w:val="uk-UA"/>
              </w:rPr>
            </w:pPr>
            <w:r w:rsidRPr="009C1D27">
              <w:rPr>
                <w:lang w:val="uk-UA"/>
              </w:rPr>
              <w:t>Виробники алкогольних напоїв та тютюнових виробів можуть понести втрати у разі несвоєчасного отримання марок акцизного податку.</w:t>
            </w:r>
          </w:p>
          <w:p w:rsidR="00B04981" w:rsidRPr="009C1D27" w:rsidRDefault="00B04981" w:rsidP="00500ED6">
            <w:pPr>
              <w:jc w:val="both"/>
              <w:rPr>
                <w:lang w:val="uk-UA"/>
              </w:rPr>
            </w:pPr>
            <w:r w:rsidRPr="009C1D27">
              <w:rPr>
                <w:lang w:val="uk-UA"/>
              </w:rPr>
              <w:t>Несвоєчасне повернення виробникам алкогольних напоїв, тютюнових виробів та  рідин, що використовуються в електронних сигаретах, сум акцизного податку за марки акцизного податку, пошкоджені в процесі виробництва та повернуті продавцю.</w:t>
            </w:r>
          </w:p>
        </w:tc>
      </w:tr>
    </w:tbl>
    <w:p w:rsidR="00B04981" w:rsidRPr="009C1D27" w:rsidRDefault="00B04981" w:rsidP="00B04981">
      <w:pPr>
        <w:jc w:val="both"/>
        <w:rPr>
          <w:sz w:val="28"/>
          <w:szCs w:val="28"/>
          <w:lang w:val="uk-UA"/>
        </w:rPr>
      </w:pPr>
    </w:p>
    <w:p w:rsidR="00B04981" w:rsidRPr="009C1D27" w:rsidRDefault="00B04981" w:rsidP="00B04981">
      <w:pPr>
        <w:ind w:firstLine="567"/>
        <w:jc w:val="both"/>
        <w:rPr>
          <w:sz w:val="28"/>
          <w:szCs w:val="28"/>
          <w:lang w:val="uk-UA"/>
        </w:rPr>
      </w:pPr>
      <w:r w:rsidRPr="009C1D27">
        <w:rPr>
          <w:sz w:val="28"/>
          <w:szCs w:val="28"/>
          <w:lang w:val="uk-UA"/>
        </w:rPr>
        <w:t>Оцінка впливу на сферу інтересів суб’єктів господарювання великого і середнього підприємництва шляхом порівняння витрат від запровадження різних альтернатив:</w:t>
      </w:r>
    </w:p>
    <w:tbl>
      <w:tblPr>
        <w:tblStyle w:val="ac"/>
        <w:tblW w:w="0" w:type="auto"/>
        <w:tblLook w:val="04A0" w:firstRow="1" w:lastRow="0" w:firstColumn="1" w:lastColumn="0" w:noHBand="0" w:noVBand="1"/>
      </w:tblPr>
      <w:tblGrid>
        <w:gridCol w:w="6658"/>
        <w:gridCol w:w="2971"/>
      </w:tblGrid>
      <w:tr w:rsidR="00B04981" w:rsidRPr="009C1D27" w:rsidTr="00500ED6">
        <w:tc>
          <w:tcPr>
            <w:tcW w:w="6658" w:type="dxa"/>
            <w:hideMark/>
          </w:tcPr>
          <w:p w:rsidR="00B04981" w:rsidRPr="009C1D27" w:rsidRDefault="00B04981" w:rsidP="00500ED6">
            <w:pPr>
              <w:pStyle w:val="rvps12"/>
              <w:spacing w:before="150" w:beforeAutospacing="0" w:after="150" w:afterAutospacing="0"/>
              <w:jc w:val="center"/>
            </w:pPr>
            <w:r w:rsidRPr="009C1D27">
              <w:t>Сумарні витрати за альтернативами</w:t>
            </w:r>
          </w:p>
        </w:tc>
        <w:tc>
          <w:tcPr>
            <w:tcW w:w="2971" w:type="dxa"/>
            <w:hideMark/>
          </w:tcPr>
          <w:p w:rsidR="00B04981" w:rsidRPr="009C1D27" w:rsidRDefault="00B04981" w:rsidP="00500ED6">
            <w:pPr>
              <w:pStyle w:val="rvps12"/>
              <w:spacing w:before="150" w:beforeAutospacing="0" w:after="150" w:afterAutospacing="0"/>
              <w:jc w:val="center"/>
            </w:pPr>
            <w:r w:rsidRPr="009C1D27">
              <w:t>Сума витрат, гривень</w:t>
            </w:r>
          </w:p>
        </w:tc>
      </w:tr>
      <w:tr w:rsidR="00B04981" w:rsidRPr="009C1D27" w:rsidTr="00500ED6">
        <w:tc>
          <w:tcPr>
            <w:tcW w:w="6658" w:type="dxa"/>
          </w:tcPr>
          <w:p w:rsidR="00B04981" w:rsidRPr="009C1D27" w:rsidRDefault="00B04981" w:rsidP="00500ED6">
            <w:pPr>
              <w:jc w:val="both"/>
              <w:rPr>
                <w:shd w:val="clear" w:color="auto" w:fill="FFFFFF"/>
                <w:lang w:val="uk-UA"/>
              </w:rPr>
            </w:pPr>
            <w:r w:rsidRPr="009C1D27">
              <w:rPr>
                <w:shd w:val="clear" w:color="auto" w:fill="FFFFFF"/>
              </w:rPr>
              <w:t>Альтернатива 1.</w:t>
            </w:r>
            <w:r w:rsidRPr="009C1D27">
              <w:rPr>
                <w:shd w:val="clear" w:color="auto" w:fill="FFFFFF"/>
                <w:lang w:val="uk-UA"/>
              </w:rPr>
              <w:t xml:space="preserve"> Прийняття регуляторного </w:t>
            </w:r>
            <w:proofErr w:type="spellStart"/>
            <w:r w:rsidRPr="009C1D27">
              <w:rPr>
                <w:shd w:val="clear" w:color="auto" w:fill="FFFFFF"/>
                <w:lang w:val="uk-UA"/>
              </w:rPr>
              <w:t>акта</w:t>
            </w:r>
            <w:proofErr w:type="spellEnd"/>
            <w:r w:rsidRPr="009C1D27">
              <w:rPr>
                <w:shd w:val="clear" w:color="auto" w:fill="FFFFFF"/>
                <w:lang w:val="uk-UA"/>
              </w:rPr>
              <w:t xml:space="preserve"> з метою досягнення цілей державного регулювання</w:t>
            </w:r>
          </w:p>
          <w:p w:rsidR="00B04981" w:rsidRPr="009C1D27" w:rsidRDefault="00B04981" w:rsidP="00500ED6">
            <w:pPr>
              <w:jc w:val="both"/>
              <w:rPr>
                <w:lang w:val="uk-UA"/>
              </w:rPr>
            </w:pPr>
          </w:p>
        </w:tc>
        <w:tc>
          <w:tcPr>
            <w:tcW w:w="2971" w:type="dxa"/>
          </w:tcPr>
          <w:p w:rsidR="00B04981" w:rsidRPr="009C1D27" w:rsidRDefault="00B04981" w:rsidP="00500ED6">
            <w:pPr>
              <w:jc w:val="center"/>
              <w:rPr>
                <w:lang w:val="uk-UA"/>
              </w:rPr>
            </w:pPr>
            <w:r w:rsidRPr="009C1D27">
              <w:rPr>
                <w:bCs/>
                <w:lang w:val="uk-UA" w:eastAsia="en-US"/>
              </w:rPr>
              <w:t>13 328,88</w:t>
            </w:r>
          </w:p>
        </w:tc>
      </w:tr>
      <w:tr w:rsidR="00B04981" w:rsidRPr="009C1D27" w:rsidTr="00500ED6">
        <w:tc>
          <w:tcPr>
            <w:tcW w:w="6658" w:type="dxa"/>
          </w:tcPr>
          <w:p w:rsidR="00B04981" w:rsidRPr="009C1D27" w:rsidRDefault="00B04981" w:rsidP="00500ED6">
            <w:pPr>
              <w:jc w:val="both"/>
              <w:rPr>
                <w:lang w:val="uk-UA" w:eastAsia="en-US"/>
              </w:rPr>
            </w:pPr>
            <w:r w:rsidRPr="009C1D27">
              <w:rPr>
                <w:shd w:val="clear" w:color="auto" w:fill="FFFFFF"/>
              </w:rPr>
              <w:t>Альтернатива 2.</w:t>
            </w:r>
            <w:r w:rsidRPr="009C1D27">
              <w:rPr>
                <w:shd w:val="clear" w:color="auto" w:fill="FFFFFF"/>
                <w:lang w:val="uk-UA"/>
              </w:rPr>
              <w:t xml:space="preserve"> </w:t>
            </w:r>
            <w:r w:rsidRPr="009C1D27">
              <w:rPr>
                <w:lang w:val="uk-UA" w:eastAsia="en-US"/>
              </w:rPr>
              <w:t>Залишити ситуацію без змін</w:t>
            </w:r>
          </w:p>
          <w:p w:rsidR="00B04981" w:rsidRPr="009C1D27" w:rsidRDefault="00B04981" w:rsidP="00500ED6">
            <w:pPr>
              <w:jc w:val="both"/>
              <w:rPr>
                <w:lang w:val="uk-UA"/>
              </w:rPr>
            </w:pPr>
          </w:p>
        </w:tc>
        <w:tc>
          <w:tcPr>
            <w:tcW w:w="2971" w:type="dxa"/>
          </w:tcPr>
          <w:p w:rsidR="00B04981" w:rsidRPr="009C1D27" w:rsidRDefault="00B04981" w:rsidP="00500ED6">
            <w:pPr>
              <w:jc w:val="center"/>
              <w:rPr>
                <w:lang w:val="uk-UA"/>
              </w:rPr>
            </w:pPr>
            <w:r w:rsidRPr="009C1D27">
              <w:rPr>
                <w:lang w:val="uk-UA"/>
              </w:rPr>
              <w:t>783 960,0</w:t>
            </w:r>
          </w:p>
        </w:tc>
      </w:tr>
    </w:tbl>
    <w:p w:rsidR="00B04981" w:rsidRPr="009C1D27" w:rsidRDefault="00B04981" w:rsidP="00B04981">
      <w:pPr>
        <w:ind w:firstLine="567"/>
        <w:jc w:val="both"/>
        <w:rPr>
          <w:sz w:val="28"/>
          <w:szCs w:val="28"/>
          <w:lang w:val="uk-UA"/>
        </w:rPr>
      </w:pPr>
    </w:p>
    <w:p w:rsidR="00B04981" w:rsidRPr="009C1D27" w:rsidRDefault="00B04981" w:rsidP="00B04981">
      <w:pPr>
        <w:ind w:firstLine="567"/>
        <w:jc w:val="both"/>
        <w:rPr>
          <w:sz w:val="28"/>
          <w:szCs w:val="28"/>
          <w:lang w:val="uk-UA"/>
        </w:rPr>
      </w:pPr>
    </w:p>
    <w:p w:rsidR="00B04981" w:rsidRPr="009C1D27" w:rsidRDefault="00B04981" w:rsidP="00B04981">
      <w:pPr>
        <w:pStyle w:val="3"/>
        <w:widowControl w:val="0"/>
        <w:spacing w:before="0" w:beforeAutospacing="0" w:after="120" w:afterAutospacing="0"/>
        <w:jc w:val="center"/>
        <w:rPr>
          <w:sz w:val="28"/>
          <w:szCs w:val="28"/>
          <w:lang w:val="uk-UA"/>
        </w:rPr>
      </w:pPr>
      <w:r w:rsidRPr="009C1D27">
        <w:rPr>
          <w:sz w:val="28"/>
          <w:szCs w:val="28"/>
          <w:lang w:val="uk-UA"/>
        </w:rPr>
        <w:t>IV. Вибір найбільш оптимального альтернативного способу досягнення цілей</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1969"/>
        <w:gridCol w:w="5579"/>
      </w:tblGrid>
      <w:tr w:rsidR="00B04981" w:rsidRPr="009C1D27" w:rsidTr="00500ED6">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Рейтинг результативності (досягнення цілей під час вирішення проблеми)</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Бал результативності (за чотирибальною системою оцінки)</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B04981" w:rsidRPr="009C1D27" w:rsidRDefault="00B04981" w:rsidP="00500ED6">
            <w:pPr>
              <w:spacing w:before="100" w:beforeAutospacing="1" w:after="100" w:afterAutospacing="1"/>
              <w:jc w:val="center"/>
              <w:rPr>
                <w:rFonts w:eastAsia="Calibri"/>
                <w:lang w:val="uk-UA" w:eastAsia="en-US"/>
              </w:rPr>
            </w:pPr>
            <w:r w:rsidRPr="009C1D27">
              <w:rPr>
                <w:rFonts w:eastAsia="Calibri"/>
                <w:lang w:val="uk-UA" w:eastAsia="en-US"/>
              </w:rPr>
              <w:t xml:space="preserve">Коментарі щодо присвоєння відповідного </w:t>
            </w:r>
            <w:proofErr w:type="spellStart"/>
            <w:r w:rsidRPr="009C1D27">
              <w:rPr>
                <w:rFonts w:eastAsia="Calibri"/>
                <w:lang w:val="uk-UA" w:eastAsia="en-US"/>
              </w:rPr>
              <w:t>бала</w:t>
            </w:r>
            <w:proofErr w:type="spellEnd"/>
          </w:p>
        </w:tc>
      </w:tr>
      <w:tr w:rsidR="00B04981" w:rsidRPr="009C1D27" w:rsidTr="00500ED6">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lastRenderedPageBreak/>
              <w:t>Альтернатива 1</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4</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1 дає змогу досягнути поставлених цілей державного регулювання з мінімальними витратами.</w:t>
            </w:r>
          </w:p>
        </w:tc>
      </w:tr>
      <w:tr w:rsidR="00B04981" w:rsidRPr="009C1D27" w:rsidTr="00500ED6">
        <w:trPr>
          <w:tblCellSpacing w:w="30" w:type="dxa"/>
        </w:trPr>
        <w:tc>
          <w:tcPr>
            <w:tcW w:w="10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Альтернатива 2</w:t>
            </w:r>
          </w:p>
        </w:tc>
        <w:tc>
          <w:tcPr>
            <w:tcW w:w="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spacing w:before="100" w:beforeAutospacing="1" w:after="100" w:afterAutospacing="1"/>
              <w:jc w:val="both"/>
              <w:rPr>
                <w:rFonts w:eastAsia="Calibri"/>
                <w:lang w:val="uk-UA" w:eastAsia="en-US"/>
              </w:rPr>
            </w:pPr>
            <w:r w:rsidRPr="009C1D27">
              <w:rPr>
                <w:rFonts w:eastAsia="Calibri"/>
                <w:lang w:val="uk-UA" w:eastAsia="en-US"/>
              </w:rPr>
              <w:t>1</w:t>
            </w:r>
          </w:p>
        </w:tc>
        <w:tc>
          <w:tcPr>
            <w:tcW w:w="28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B04981" w:rsidRPr="009C1D27" w:rsidRDefault="00B04981" w:rsidP="00500ED6">
            <w:pPr>
              <w:jc w:val="both"/>
              <w:rPr>
                <w:rFonts w:eastAsia="Calibri"/>
                <w:lang w:val="uk-UA" w:eastAsia="en-US"/>
              </w:rPr>
            </w:pPr>
            <w:r w:rsidRPr="009C1D27">
              <w:rPr>
                <w:rFonts w:eastAsia="Calibri"/>
                <w:lang w:val="uk-UA" w:eastAsia="en-US"/>
              </w:rPr>
              <w:t>Альтернатива 2 не дає змоги досягнути поставлених цілей державного регулювання.</w:t>
            </w:r>
          </w:p>
        </w:tc>
      </w:tr>
    </w:tbl>
    <w:p w:rsidR="00B04981" w:rsidRPr="009C1D27" w:rsidRDefault="00B04981" w:rsidP="00B04981">
      <w:pPr>
        <w:pStyle w:val="a9"/>
        <w:widowControl w:val="0"/>
        <w:spacing w:before="0" w:beforeAutospacing="0" w:after="0" w:afterAutospacing="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5"/>
        <w:gridCol w:w="2998"/>
        <w:gridCol w:w="2562"/>
        <w:gridCol w:w="2138"/>
      </w:tblGrid>
      <w:tr w:rsidR="00B04981" w:rsidRPr="009C1D27" w:rsidTr="00500ED6">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center"/>
              <w:rPr>
                <w:lang w:val="uk-UA"/>
              </w:rPr>
            </w:pPr>
            <w:r w:rsidRPr="009C1D27">
              <w:rPr>
                <w:lang w:val="uk-UA"/>
              </w:rPr>
              <w:t>Рейтинг результативності</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center"/>
              <w:rPr>
                <w:lang w:val="uk-UA"/>
              </w:rPr>
            </w:pPr>
            <w:r w:rsidRPr="009C1D27">
              <w:rPr>
                <w:lang w:val="uk-UA"/>
              </w:rPr>
              <w:t>Вигоди (підсумок)</w:t>
            </w: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center"/>
              <w:rPr>
                <w:lang w:val="uk-UA"/>
              </w:rPr>
            </w:pPr>
            <w:r w:rsidRPr="009C1D27">
              <w:rPr>
                <w:lang w:val="uk-UA"/>
              </w:rPr>
              <w:t>Витрати (підсумок)</w:t>
            </w: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center"/>
              <w:rPr>
                <w:lang w:val="uk-UA"/>
              </w:rPr>
            </w:pPr>
            <w:r w:rsidRPr="009C1D27">
              <w:rPr>
                <w:lang w:val="uk-UA"/>
              </w:rPr>
              <w:t>Обґрунтування відповідного місця альтернативи у рейтингу</w:t>
            </w:r>
          </w:p>
        </w:tc>
      </w:tr>
      <w:tr w:rsidR="00B04981" w:rsidRPr="009C1D27" w:rsidTr="00500ED6">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Альтернатива 1</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jc w:val="both"/>
              <w:rPr>
                <w:rFonts w:eastAsia="Calibri"/>
                <w:lang w:val="uk-UA" w:eastAsia="en-US"/>
              </w:rPr>
            </w:pPr>
            <w:r w:rsidRPr="009C1D27">
              <w:rPr>
                <w:rFonts w:eastAsia="Calibri"/>
                <w:lang w:val="uk-UA" w:eastAsia="en-US"/>
              </w:rPr>
              <w:t xml:space="preserve">Прийняття регуляторного </w:t>
            </w:r>
            <w:proofErr w:type="spellStart"/>
            <w:r w:rsidRPr="009C1D27">
              <w:rPr>
                <w:rFonts w:eastAsia="Calibri"/>
                <w:lang w:val="uk-UA" w:eastAsia="en-US"/>
              </w:rPr>
              <w:t>акта</w:t>
            </w:r>
            <w:proofErr w:type="spellEnd"/>
            <w:r w:rsidRPr="009C1D27">
              <w:rPr>
                <w:rFonts w:eastAsia="Calibri"/>
                <w:lang w:val="uk-UA" w:eastAsia="en-US"/>
              </w:rPr>
              <w:t xml:space="preserve"> забезпечить приведення нормативно-правових актів Уряду у відповідність до вимог Кодексу, дозволить спростити адміністрування акцизного податку для виробників алкогольних напоїв та тютюнових виробів, забезпечить вдосконалення порядку видачі та утилізації марок акцизного податку.</w:t>
            </w:r>
          </w:p>
          <w:p w:rsidR="00B04981" w:rsidRPr="009C1D27" w:rsidRDefault="00B04981" w:rsidP="00500ED6">
            <w:pPr>
              <w:widowControl w:val="0"/>
              <w:jc w:val="both"/>
              <w:rPr>
                <w:lang w:val="uk-UA"/>
              </w:rPr>
            </w:pP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jc w:val="both"/>
              <w:rPr>
                <w:szCs w:val="22"/>
                <w:lang w:val="uk-UA"/>
              </w:rPr>
            </w:pPr>
            <w:r w:rsidRPr="009C1D27">
              <w:rPr>
                <w:szCs w:val="22"/>
                <w:lang w:val="uk-UA"/>
              </w:rPr>
              <w:t>Витрати суб’єктів господарювання та держави відсутні.</w:t>
            </w:r>
          </w:p>
          <w:p w:rsidR="00B04981" w:rsidRPr="009C1D27" w:rsidRDefault="00B04981" w:rsidP="00500ED6">
            <w:pPr>
              <w:widowControl w:val="0"/>
              <w:jc w:val="both"/>
              <w:rPr>
                <w:lang w:val="uk-UA"/>
              </w:rPr>
            </w:pPr>
          </w:p>
          <w:p w:rsidR="00B04981" w:rsidRPr="009C1D27" w:rsidRDefault="00B04981" w:rsidP="00500ED6">
            <w:pPr>
              <w:widowControl w:val="0"/>
              <w:jc w:val="both"/>
              <w:rPr>
                <w:lang w:val="uk-UA"/>
              </w:rPr>
            </w:pP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rFonts w:eastAsia="Calibri"/>
                <w:lang w:val="uk-UA"/>
              </w:rPr>
              <w:t>Найоптимальніша із запропонованих альтернатив, оскільки узгоджується із вимогами чинного законодавства.</w:t>
            </w:r>
            <w:r w:rsidRPr="009C1D27">
              <w:rPr>
                <w:lang w:val="uk-UA"/>
              </w:rPr>
              <w:t xml:space="preserve"> </w:t>
            </w:r>
          </w:p>
          <w:p w:rsidR="00B04981" w:rsidRPr="009C1D27" w:rsidRDefault="00B04981" w:rsidP="00500ED6">
            <w:pPr>
              <w:pStyle w:val="a9"/>
              <w:widowControl w:val="0"/>
              <w:spacing w:before="0" w:beforeAutospacing="0" w:after="0" w:afterAutospacing="0"/>
              <w:jc w:val="both"/>
              <w:rPr>
                <w:lang w:val="uk-UA"/>
              </w:rPr>
            </w:pPr>
          </w:p>
        </w:tc>
      </w:tr>
      <w:tr w:rsidR="00B04981" w:rsidRPr="009C1D27" w:rsidTr="00500ED6">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Альтернатива 2</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Відсутні</w:t>
            </w:r>
          </w:p>
        </w:tc>
        <w:tc>
          <w:tcPr>
            <w:tcW w:w="1309"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Default"/>
              <w:jc w:val="both"/>
              <w:rPr>
                <w:color w:val="auto"/>
                <w:lang w:val="uk-UA"/>
              </w:rPr>
            </w:pPr>
            <w:r w:rsidRPr="009C1D27">
              <w:rPr>
                <w:color w:val="auto"/>
                <w:lang w:val="uk-UA"/>
              </w:rPr>
              <w:t>Несвоєчасна видача суб’єктам господарювання акцизних марок.</w:t>
            </w:r>
          </w:p>
          <w:p w:rsidR="00B04981" w:rsidRPr="009C1D27" w:rsidRDefault="00B04981" w:rsidP="00500ED6">
            <w:pPr>
              <w:pStyle w:val="Default"/>
              <w:jc w:val="both"/>
              <w:rPr>
                <w:color w:val="auto"/>
                <w:lang w:val="uk-UA"/>
              </w:rPr>
            </w:pPr>
            <w:r w:rsidRPr="009C1D27">
              <w:rPr>
                <w:color w:val="auto"/>
                <w:lang w:val="uk-UA"/>
              </w:rPr>
              <w:t>Затримка повернення виробникам підакцизних товарів сум акцизного податку за повернуті продавцю пошкоджені марки акцизного податку.</w:t>
            </w:r>
          </w:p>
          <w:p w:rsidR="00B04981" w:rsidRPr="009C1D27" w:rsidRDefault="00B04981" w:rsidP="00500ED6">
            <w:pPr>
              <w:pStyle w:val="Default"/>
              <w:jc w:val="both"/>
              <w:rPr>
                <w:color w:val="auto"/>
                <w:lang w:val="uk-UA"/>
              </w:rPr>
            </w:pPr>
          </w:p>
        </w:tc>
        <w:tc>
          <w:tcPr>
            <w:tcW w:w="1077"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widowControl w:val="0"/>
              <w:jc w:val="both"/>
              <w:rPr>
                <w:lang w:val="uk-UA"/>
              </w:rPr>
            </w:pPr>
            <w:r w:rsidRPr="009C1D27">
              <w:rPr>
                <w:lang w:val="uk-UA"/>
              </w:rPr>
              <w:t>Не дає змоги досягнути поставлених цілей державного регулювання.</w:t>
            </w:r>
          </w:p>
        </w:tc>
      </w:tr>
    </w:tbl>
    <w:p w:rsidR="00B04981" w:rsidRPr="009C1D27" w:rsidRDefault="00B04981" w:rsidP="00B04981">
      <w:pPr>
        <w:pStyle w:val="a9"/>
        <w:widowControl w:val="0"/>
        <w:spacing w:before="60" w:beforeAutospacing="0" w:after="0" w:afterAutospacing="0"/>
        <w:jc w:val="both"/>
        <w:rPr>
          <w:sz w:val="28"/>
          <w:szCs w:val="28"/>
          <w:lang w:val="uk-UA"/>
        </w:rPr>
      </w:pPr>
    </w:p>
    <w:tbl>
      <w:tblPr>
        <w:tblW w:w="4999"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89"/>
        <w:gridCol w:w="5269"/>
        <w:gridCol w:w="2263"/>
      </w:tblGrid>
      <w:tr w:rsidR="00B04981" w:rsidRPr="009C1D27" w:rsidTr="00500ED6">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both"/>
              <w:rPr>
                <w:lang w:val="uk-UA"/>
              </w:rPr>
            </w:pPr>
            <w:r w:rsidRPr="009C1D27">
              <w:rPr>
                <w:lang w:val="uk-UA"/>
              </w:rPr>
              <w:t>Рейтинг</w:t>
            </w:r>
          </w:p>
        </w:tc>
        <w:tc>
          <w:tcPr>
            <w:tcW w:w="2716" w:type="pct"/>
            <w:tcBorders>
              <w:top w:val="outset" w:sz="6" w:space="0" w:color="auto"/>
              <w:left w:val="outset" w:sz="6" w:space="0" w:color="auto"/>
              <w:bottom w:val="outset" w:sz="6" w:space="0" w:color="auto"/>
              <w:right w:val="outset" w:sz="6" w:space="0" w:color="auto"/>
            </w:tcBorders>
            <w:shd w:val="clear" w:color="auto" w:fill="auto"/>
            <w:vAlign w:val="center"/>
          </w:tcPr>
          <w:p w:rsidR="00B04981" w:rsidRPr="009C1D27" w:rsidRDefault="00B04981" w:rsidP="00500ED6">
            <w:pPr>
              <w:pStyle w:val="a9"/>
              <w:widowControl w:val="0"/>
              <w:spacing w:before="0" w:beforeAutospacing="0" w:after="0" w:afterAutospacing="0"/>
              <w:jc w:val="both"/>
              <w:rPr>
                <w:lang w:val="uk-UA"/>
              </w:rPr>
            </w:pPr>
            <w:r w:rsidRPr="009C1D27">
              <w:rPr>
                <w:lang w:val="uk-UA"/>
              </w:rPr>
              <w:t>Аргументи щодо переваги обраної альтернативи / причини відмови від альтернативи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 xml:space="preserve">Оцінка ризику зовнішніх чинників на дію запропонованого регуляторного </w:t>
            </w:r>
            <w:proofErr w:type="spellStart"/>
            <w:r w:rsidRPr="009C1D27">
              <w:rPr>
                <w:lang w:val="uk-UA"/>
              </w:rPr>
              <w:t>акта</w:t>
            </w:r>
            <w:proofErr w:type="spellEnd"/>
          </w:p>
        </w:tc>
      </w:tr>
      <w:tr w:rsidR="00B04981" w:rsidRPr="009C1D27" w:rsidTr="00500ED6">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Альтернатива 1</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 xml:space="preserve">Альтернатива 1 дає змогу повністю досягнути поставлених цілей державного регулювання без будь-яких витрат суб’єктів господарювання чи </w:t>
            </w:r>
            <w:r w:rsidRPr="009C1D27">
              <w:rPr>
                <w:lang w:val="uk-UA"/>
              </w:rPr>
              <w:lastRenderedPageBreak/>
              <w:t>держави.</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lastRenderedPageBreak/>
              <w:t xml:space="preserve">Проект постанови є підзаконним актом, який може </w:t>
            </w:r>
            <w:r w:rsidRPr="009C1D27">
              <w:rPr>
                <w:lang w:val="uk-UA"/>
              </w:rPr>
              <w:lastRenderedPageBreak/>
              <w:t xml:space="preserve">потребувати внесення змін у разі  доопрацювання відповідних норм законодавства. </w:t>
            </w:r>
          </w:p>
        </w:tc>
      </w:tr>
      <w:tr w:rsidR="00B04981" w:rsidRPr="009C1D27" w:rsidTr="00500ED6">
        <w:trPr>
          <w:tblCellSpacing w:w="22" w:type="dxa"/>
        </w:trPr>
        <w:tc>
          <w:tcPr>
            <w:tcW w:w="1052"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lastRenderedPageBreak/>
              <w:t>Альтернатива 2</w:t>
            </w:r>
          </w:p>
        </w:tc>
        <w:tc>
          <w:tcPr>
            <w:tcW w:w="2716"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Альтернатива 2 не узгоджується із вимогами чинного законодавства</w:t>
            </w:r>
          </w:p>
        </w:tc>
        <w:tc>
          <w:tcPr>
            <w:tcW w:w="1142" w:type="pct"/>
            <w:tcBorders>
              <w:top w:val="outset" w:sz="6" w:space="0" w:color="auto"/>
              <w:left w:val="outset" w:sz="6" w:space="0" w:color="auto"/>
              <w:bottom w:val="outset" w:sz="6" w:space="0" w:color="auto"/>
              <w:right w:val="outset" w:sz="6" w:space="0" w:color="auto"/>
            </w:tcBorders>
            <w:shd w:val="clear" w:color="auto" w:fill="auto"/>
          </w:tcPr>
          <w:p w:rsidR="00B04981" w:rsidRPr="009C1D27" w:rsidRDefault="00B04981" w:rsidP="00500ED6">
            <w:pPr>
              <w:pStyle w:val="a9"/>
              <w:widowControl w:val="0"/>
              <w:spacing w:before="0" w:beforeAutospacing="0" w:after="0" w:afterAutospacing="0"/>
              <w:jc w:val="both"/>
              <w:rPr>
                <w:lang w:val="uk-UA"/>
              </w:rPr>
            </w:pPr>
            <w:r w:rsidRPr="009C1D27">
              <w:rPr>
                <w:lang w:val="uk-UA"/>
              </w:rPr>
              <w:t xml:space="preserve">Відсутні </w:t>
            </w:r>
          </w:p>
        </w:tc>
      </w:tr>
    </w:tbl>
    <w:p w:rsidR="00B04981" w:rsidRPr="009C1D27" w:rsidRDefault="00B04981" w:rsidP="00B04981">
      <w:pPr>
        <w:pStyle w:val="3"/>
        <w:widowControl w:val="0"/>
        <w:spacing w:before="0" w:beforeAutospacing="0" w:after="0" w:afterAutospacing="0"/>
        <w:jc w:val="both"/>
        <w:rPr>
          <w:sz w:val="28"/>
          <w:szCs w:val="28"/>
          <w:lang w:val="uk-UA"/>
        </w:rPr>
      </w:pPr>
    </w:p>
    <w:p w:rsidR="00B04981" w:rsidRPr="009C1D27" w:rsidRDefault="00B04981" w:rsidP="00B04981">
      <w:pPr>
        <w:pStyle w:val="3"/>
        <w:widowControl w:val="0"/>
        <w:spacing w:before="0" w:beforeAutospacing="0" w:after="0" w:afterAutospacing="0"/>
        <w:jc w:val="center"/>
        <w:rPr>
          <w:sz w:val="28"/>
          <w:szCs w:val="28"/>
          <w:lang w:val="uk-UA"/>
        </w:rPr>
      </w:pPr>
      <w:r w:rsidRPr="009C1D27">
        <w:rPr>
          <w:sz w:val="28"/>
          <w:szCs w:val="28"/>
          <w:lang w:val="uk-UA"/>
        </w:rPr>
        <w:t>V. Механізми та заходи, які забезпечать розв’язання визначеної проблеми</w:t>
      </w:r>
    </w:p>
    <w:p w:rsidR="00B04981" w:rsidRPr="009C1D27" w:rsidRDefault="00B04981" w:rsidP="00B04981">
      <w:pPr>
        <w:ind w:firstLine="709"/>
        <w:jc w:val="both"/>
        <w:rPr>
          <w:sz w:val="28"/>
          <w:szCs w:val="28"/>
          <w:lang w:val="uk-UA"/>
        </w:rPr>
      </w:pPr>
    </w:p>
    <w:p w:rsidR="00B04981" w:rsidRPr="009C1D27" w:rsidRDefault="00B04981" w:rsidP="00B04981">
      <w:pPr>
        <w:pStyle w:val="3"/>
        <w:shd w:val="clear" w:color="auto" w:fill="FFFFFF" w:themeFill="background1"/>
        <w:spacing w:before="0" w:beforeAutospacing="0" w:after="0" w:afterAutospacing="0"/>
        <w:ind w:firstLine="709"/>
        <w:jc w:val="both"/>
        <w:rPr>
          <w:b w:val="0"/>
          <w:sz w:val="28"/>
          <w:szCs w:val="28"/>
          <w:lang w:val="uk-UA"/>
        </w:rPr>
      </w:pPr>
      <w:r w:rsidRPr="009C1D27">
        <w:rPr>
          <w:b w:val="0"/>
          <w:sz w:val="28"/>
          <w:szCs w:val="28"/>
          <w:lang w:val="uk-UA"/>
        </w:rPr>
        <w:t xml:space="preserve">Механізмом, який забезпечить розв’язання визначеної проблеми, є  прийняття зазначеного регуляторного </w:t>
      </w:r>
      <w:proofErr w:type="spellStart"/>
      <w:r w:rsidRPr="009C1D27">
        <w:rPr>
          <w:b w:val="0"/>
          <w:sz w:val="28"/>
          <w:szCs w:val="28"/>
          <w:lang w:val="uk-UA"/>
        </w:rPr>
        <w:t>акта</w:t>
      </w:r>
      <w:proofErr w:type="spellEnd"/>
      <w:r w:rsidRPr="009C1D27">
        <w:rPr>
          <w:b w:val="0"/>
          <w:sz w:val="28"/>
          <w:szCs w:val="28"/>
          <w:lang w:val="uk-UA"/>
        </w:rPr>
        <w:t xml:space="preserve">. </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 xml:space="preserve">Проектом постанови пропонується привести абзац четвертий пункту 23 Положення у відповідність до підпункту 14.1.109 пункту 14.1 статті 14 Кодексу, передбачивши, що рідини, які використовуються в електронних сигаретах, маркуються марками акцизного податку шляхом наклеювання їх на ємність (упаковку) з рідиною. </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Також із метою спрощення адміністрування акцизного податку проектом постанови пропонується:</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 встановити строк отримання марок акцизного податку виробниками алкогольних напоїв та тютюнових виробів;</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 визначити граничний строк утилізації акцизних марок продавцем (120 днів)</w:t>
      </w:r>
      <w:r w:rsidRPr="009C1D27">
        <w:rPr>
          <w:b w:val="0"/>
          <w:lang w:val="uk-UA"/>
        </w:rPr>
        <w:t xml:space="preserve"> </w:t>
      </w:r>
      <w:r w:rsidRPr="009C1D27">
        <w:rPr>
          <w:b w:val="0"/>
          <w:sz w:val="28"/>
          <w:szCs w:val="28"/>
          <w:lang w:val="uk-UA"/>
        </w:rPr>
        <w:t>та, відповідно, забезпечити прогнозованість повернення встановлених законодавством сум акцизного податку платникам податку.</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 xml:space="preserve">Заходи, які необхідно здійснити для досягнення цілей державного регулювання: </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1) прийняти проект постанови на засіданні Уряду;</w:t>
      </w:r>
    </w:p>
    <w:p w:rsidR="00B04981" w:rsidRPr="009C1D27" w:rsidRDefault="00B04981" w:rsidP="00B04981">
      <w:pPr>
        <w:pStyle w:val="3"/>
        <w:spacing w:before="0" w:beforeAutospacing="0" w:after="0" w:afterAutospacing="0"/>
        <w:ind w:firstLine="709"/>
        <w:jc w:val="both"/>
        <w:rPr>
          <w:b w:val="0"/>
          <w:sz w:val="28"/>
          <w:szCs w:val="28"/>
          <w:lang w:val="uk-UA"/>
        </w:rPr>
      </w:pPr>
      <w:r w:rsidRPr="009C1D27">
        <w:rPr>
          <w:b w:val="0"/>
          <w:sz w:val="28"/>
          <w:szCs w:val="28"/>
          <w:lang w:val="uk-UA"/>
        </w:rPr>
        <w:t>2) Державній податковій службі України привести привести свої нормативно-правові документи у відповідність до вимог постанови (у разі необхідності).</w:t>
      </w:r>
    </w:p>
    <w:p w:rsidR="00B04981" w:rsidRPr="009C1D27" w:rsidRDefault="00B04981" w:rsidP="00B04981">
      <w:pPr>
        <w:ind w:firstLine="709"/>
        <w:jc w:val="both"/>
        <w:rPr>
          <w:sz w:val="28"/>
          <w:szCs w:val="28"/>
          <w:lang w:val="uk-UA"/>
        </w:rPr>
      </w:pPr>
    </w:p>
    <w:p w:rsidR="00B04981" w:rsidRPr="009C1D27" w:rsidRDefault="00B04981" w:rsidP="00B04981">
      <w:pPr>
        <w:pStyle w:val="3"/>
        <w:widowControl w:val="0"/>
        <w:spacing w:before="0" w:beforeAutospacing="0" w:after="0" w:afterAutospacing="0"/>
        <w:jc w:val="center"/>
        <w:rPr>
          <w:sz w:val="28"/>
          <w:szCs w:val="28"/>
          <w:lang w:val="uk-UA"/>
        </w:rPr>
      </w:pPr>
      <w:r w:rsidRPr="009C1D27">
        <w:rPr>
          <w:sz w:val="28"/>
          <w:szCs w:val="28"/>
          <w:lang w:val="uk-UA"/>
        </w:rPr>
        <w:t xml:space="preserve">VI. Оцінка виконання вимог регуляторного </w:t>
      </w:r>
      <w:proofErr w:type="spellStart"/>
      <w:r w:rsidRPr="009C1D27">
        <w:rPr>
          <w:sz w:val="28"/>
          <w:szCs w:val="28"/>
          <w:lang w:val="uk-UA"/>
        </w:rPr>
        <w:t>акта</w:t>
      </w:r>
      <w:proofErr w:type="spellEnd"/>
      <w:r w:rsidRPr="009C1D27">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B04981" w:rsidRPr="009C1D27" w:rsidRDefault="00B04981" w:rsidP="00B04981">
      <w:pPr>
        <w:pStyle w:val="3"/>
        <w:widowControl w:val="0"/>
        <w:spacing w:before="0" w:beforeAutospacing="0" w:after="0" w:afterAutospacing="0"/>
        <w:ind w:firstLine="709"/>
        <w:jc w:val="both"/>
        <w:rPr>
          <w:b w:val="0"/>
          <w:sz w:val="28"/>
          <w:szCs w:val="28"/>
          <w:lang w:val="uk-UA"/>
        </w:rPr>
      </w:pPr>
    </w:p>
    <w:p w:rsidR="00B04981" w:rsidRPr="009C1D27" w:rsidRDefault="00B04981" w:rsidP="00B04981">
      <w:pPr>
        <w:pStyle w:val="3"/>
        <w:spacing w:before="0" w:beforeAutospacing="0" w:after="0" w:afterAutospacing="0"/>
        <w:ind w:firstLine="709"/>
        <w:jc w:val="both"/>
        <w:rPr>
          <w:b w:val="0"/>
          <w:bCs w:val="0"/>
          <w:sz w:val="28"/>
          <w:szCs w:val="28"/>
          <w:lang w:val="uk-UA"/>
        </w:rPr>
      </w:pPr>
      <w:r w:rsidRPr="009C1D27">
        <w:rPr>
          <w:b w:val="0"/>
          <w:bCs w:val="0"/>
          <w:sz w:val="28"/>
          <w:szCs w:val="28"/>
          <w:lang w:val="uk-UA"/>
        </w:rPr>
        <w:t xml:space="preserve">У зв’язку з тим, що програмне забезпечення для адміністрування акцизного податку та для замовлення марок акцизного податку і контролю за їх використанням супроводжується </w:t>
      </w:r>
      <w:proofErr w:type="spellStart"/>
      <w:r w:rsidRPr="009C1D27">
        <w:rPr>
          <w:b w:val="0"/>
          <w:bCs w:val="0"/>
          <w:sz w:val="28"/>
          <w:szCs w:val="28"/>
          <w:lang w:val="uk-UA"/>
        </w:rPr>
        <w:t>ДПС</w:t>
      </w:r>
      <w:proofErr w:type="spellEnd"/>
      <w:r w:rsidRPr="009C1D27">
        <w:rPr>
          <w:b w:val="0"/>
          <w:bCs w:val="0"/>
          <w:sz w:val="28"/>
          <w:szCs w:val="28"/>
          <w:lang w:val="uk-UA"/>
        </w:rPr>
        <w:t>, реалізація проекту постанови не передбачатиме додаткових фінансових витрат платників акцизного податку.</w:t>
      </w:r>
    </w:p>
    <w:p w:rsidR="00B04981" w:rsidRPr="009C1D27" w:rsidRDefault="00B04981" w:rsidP="00B04981">
      <w:pPr>
        <w:widowControl w:val="0"/>
        <w:ind w:firstLine="709"/>
        <w:jc w:val="both"/>
        <w:rPr>
          <w:bCs/>
          <w:sz w:val="28"/>
          <w:szCs w:val="28"/>
          <w:lang w:val="uk-UA"/>
        </w:rPr>
      </w:pPr>
      <w:r w:rsidRPr="009C1D27">
        <w:rPr>
          <w:bCs/>
          <w:sz w:val="28"/>
          <w:szCs w:val="28"/>
          <w:lang w:val="uk-UA"/>
        </w:rPr>
        <w:t xml:space="preserve">Внесення змін до програмного забезпечення щодо адміністрування акцизного податку та для замовлення марок акцизного податку і контролю за їх використанням забезпечується фахівцями </w:t>
      </w:r>
      <w:proofErr w:type="spellStart"/>
      <w:r w:rsidRPr="009C1D27">
        <w:rPr>
          <w:bCs/>
          <w:sz w:val="28"/>
          <w:szCs w:val="28"/>
          <w:lang w:val="uk-UA"/>
        </w:rPr>
        <w:t>ДПС</w:t>
      </w:r>
      <w:proofErr w:type="spellEnd"/>
      <w:r w:rsidRPr="009C1D27">
        <w:rPr>
          <w:bCs/>
          <w:sz w:val="28"/>
          <w:szCs w:val="28"/>
          <w:lang w:val="uk-UA"/>
        </w:rPr>
        <w:t xml:space="preserve"> без залучення сторонніх </w:t>
      </w:r>
      <w:r w:rsidRPr="009C1D27">
        <w:rPr>
          <w:bCs/>
          <w:sz w:val="28"/>
          <w:szCs w:val="28"/>
          <w:lang w:val="uk-UA"/>
        </w:rPr>
        <w:lastRenderedPageBreak/>
        <w:t>організацій.</w:t>
      </w:r>
    </w:p>
    <w:p w:rsidR="00B04981" w:rsidRPr="009C1D27" w:rsidRDefault="00B04981" w:rsidP="00B04981">
      <w:pPr>
        <w:pStyle w:val="3"/>
        <w:widowControl w:val="0"/>
        <w:spacing w:before="0" w:beforeAutospacing="0" w:after="0" w:afterAutospacing="0"/>
        <w:ind w:firstLine="709"/>
        <w:jc w:val="both"/>
        <w:rPr>
          <w:rFonts w:eastAsia="Times New Roman"/>
          <w:b w:val="0"/>
          <w:sz w:val="28"/>
          <w:szCs w:val="28"/>
          <w:lang w:val="uk-UA"/>
        </w:rPr>
      </w:pPr>
    </w:p>
    <w:p w:rsidR="00B04981" w:rsidRPr="009C1D27" w:rsidRDefault="00B04981" w:rsidP="00B04981">
      <w:pPr>
        <w:pStyle w:val="3"/>
        <w:widowControl w:val="0"/>
        <w:spacing w:before="0" w:beforeAutospacing="0" w:after="0" w:afterAutospacing="0"/>
        <w:jc w:val="center"/>
        <w:rPr>
          <w:sz w:val="28"/>
          <w:szCs w:val="28"/>
          <w:lang w:val="uk-UA"/>
        </w:rPr>
      </w:pPr>
      <w:r w:rsidRPr="009C1D27">
        <w:rPr>
          <w:sz w:val="28"/>
          <w:szCs w:val="28"/>
          <w:lang w:val="uk-UA"/>
        </w:rPr>
        <w:t xml:space="preserve">VII. Обґрунтування запропонованого строку дії регуляторного </w:t>
      </w:r>
      <w:proofErr w:type="spellStart"/>
      <w:r w:rsidRPr="009C1D27">
        <w:rPr>
          <w:sz w:val="28"/>
          <w:szCs w:val="28"/>
          <w:lang w:val="uk-UA"/>
        </w:rPr>
        <w:t>акта</w:t>
      </w:r>
      <w:proofErr w:type="spellEnd"/>
    </w:p>
    <w:p w:rsidR="00B04981" w:rsidRPr="009C1D27" w:rsidRDefault="00B04981" w:rsidP="00B04981">
      <w:pPr>
        <w:pStyle w:val="3"/>
        <w:widowControl w:val="0"/>
        <w:spacing w:before="0" w:beforeAutospacing="0" w:after="0" w:afterAutospacing="0"/>
        <w:ind w:firstLine="709"/>
        <w:jc w:val="both"/>
        <w:rPr>
          <w:b w:val="0"/>
          <w:sz w:val="28"/>
          <w:szCs w:val="28"/>
          <w:lang w:val="uk-UA"/>
        </w:rPr>
      </w:pPr>
    </w:p>
    <w:p w:rsidR="00B04981" w:rsidRPr="009C1D27" w:rsidRDefault="00B04981" w:rsidP="00B04981">
      <w:pPr>
        <w:pStyle w:val="a8"/>
        <w:tabs>
          <w:tab w:val="num" w:pos="0"/>
        </w:tabs>
        <w:spacing w:before="0" w:beforeAutospacing="0" w:after="0" w:afterAutospacing="0"/>
        <w:ind w:firstLine="709"/>
        <w:jc w:val="both"/>
        <w:rPr>
          <w:sz w:val="28"/>
          <w:szCs w:val="28"/>
          <w:lang w:val="uk-UA"/>
        </w:rPr>
      </w:pPr>
      <w:r w:rsidRPr="009C1D27">
        <w:rPr>
          <w:sz w:val="28"/>
          <w:szCs w:val="28"/>
          <w:lang w:val="uk-UA"/>
        </w:rPr>
        <w:t>Проектом постанови не визначений строк набрання ним чинності, отже, регуляторний акт набирає чинності у загальному порядку з дня його офіційного опублікування.</w:t>
      </w:r>
    </w:p>
    <w:p w:rsidR="00B04981" w:rsidRPr="009C1D27" w:rsidRDefault="00B04981" w:rsidP="00B04981">
      <w:pPr>
        <w:ind w:firstLine="709"/>
        <w:jc w:val="both"/>
        <w:rPr>
          <w:sz w:val="28"/>
          <w:szCs w:val="28"/>
          <w:lang w:val="uk-UA"/>
        </w:rPr>
      </w:pPr>
      <w:r w:rsidRPr="009C1D27">
        <w:rPr>
          <w:sz w:val="28"/>
          <w:szCs w:val="28"/>
          <w:lang w:val="uk-UA"/>
        </w:rPr>
        <w:t xml:space="preserve">Регуляторний акт не містить норм щодо обмеження строку чинності. Тобто, строк дії </w:t>
      </w:r>
      <w:proofErr w:type="spellStart"/>
      <w:r w:rsidRPr="009C1D27">
        <w:rPr>
          <w:sz w:val="28"/>
          <w:szCs w:val="28"/>
          <w:lang w:val="uk-UA"/>
        </w:rPr>
        <w:t>акта</w:t>
      </w:r>
      <w:proofErr w:type="spellEnd"/>
      <w:r w:rsidRPr="009C1D27">
        <w:rPr>
          <w:sz w:val="28"/>
          <w:szCs w:val="28"/>
          <w:lang w:val="uk-UA"/>
        </w:rPr>
        <w:t xml:space="preserve"> не обмежений.</w:t>
      </w:r>
    </w:p>
    <w:p w:rsidR="00B04981" w:rsidRPr="009C1D27" w:rsidRDefault="00B04981" w:rsidP="00B04981">
      <w:pPr>
        <w:ind w:firstLine="709"/>
        <w:jc w:val="both"/>
        <w:rPr>
          <w:sz w:val="28"/>
          <w:szCs w:val="28"/>
          <w:lang w:val="uk-UA"/>
        </w:rPr>
      </w:pPr>
      <w:r w:rsidRPr="009C1D27">
        <w:rPr>
          <w:sz w:val="28"/>
          <w:szCs w:val="28"/>
          <w:lang w:val="uk-UA"/>
        </w:rPr>
        <w:t xml:space="preserve">Строк може бути змінений шляхом прийняття відповідних змін до регуляторного </w:t>
      </w:r>
      <w:proofErr w:type="spellStart"/>
      <w:r w:rsidRPr="009C1D27">
        <w:rPr>
          <w:sz w:val="28"/>
          <w:szCs w:val="28"/>
          <w:lang w:val="uk-UA"/>
        </w:rPr>
        <w:t>акта</w:t>
      </w:r>
      <w:proofErr w:type="spellEnd"/>
      <w:r w:rsidRPr="009C1D27">
        <w:rPr>
          <w:sz w:val="28"/>
          <w:szCs w:val="28"/>
          <w:lang w:val="uk-UA"/>
        </w:rPr>
        <w:t>.</w:t>
      </w:r>
    </w:p>
    <w:p w:rsidR="00B04981" w:rsidRPr="009C1D27" w:rsidRDefault="00B04981" w:rsidP="00B04981">
      <w:pPr>
        <w:ind w:firstLine="709"/>
        <w:jc w:val="both"/>
        <w:rPr>
          <w:sz w:val="28"/>
          <w:szCs w:val="28"/>
          <w:lang w:val="uk-UA"/>
        </w:rPr>
      </w:pPr>
    </w:p>
    <w:p w:rsidR="00B04981" w:rsidRPr="009C1D27" w:rsidRDefault="00B04981" w:rsidP="00B04981">
      <w:pPr>
        <w:jc w:val="center"/>
        <w:rPr>
          <w:b/>
          <w:sz w:val="28"/>
          <w:szCs w:val="28"/>
          <w:lang w:val="uk-UA"/>
        </w:rPr>
      </w:pPr>
      <w:r w:rsidRPr="009C1D27">
        <w:rPr>
          <w:b/>
          <w:sz w:val="28"/>
          <w:szCs w:val="28"/>
          <w:lang w:val="uk-UA"/>
        </w:rPr>
        <w:t xml:space="preserve">VIII. Визначення показників результативності дії регуляторного </w:t>
      </w:r>
      <w:proofErr w:type="spellStart"/>
      <w:r w:rsidRPr="009C1D27">
        <w:rPr>
          <w:b/>
          <w:sz w:val="28"/>
          <w:szCs w:val="28"/>
          <w:lang w:val="uk-UA"/>
        </w:rPr>
        <w:t>акта</w:t>
      </w:r>
      <w:proofErr w:type="spellEnd"/>
    </w:p>
    <w:p w:rsidR="00B04981" w:rsidRPr="009C1D27" w:rsidRDefault="00B04981" w:rsidP="00B04981">
      <w:pPr>
        <w:jc w:val="center"/>
        <w:rPr>
          <w:sz w:val="28"/>
          <w:szCs w:val="28"/>
          <w:lang w:val="uk-UA"/>
        </w:rPr>
      </w:pPr>
    </w:p>
    <w:p w:rsidR="00B04981" w:rsidRPr="009C1D27" w:rsidRDefault="00B04981" w:rsidP="00B04981">
      <w:pPr>
        <w:ind w:firstLine="709"/>
        <w:jc w:val="both"/>
        <w:rPr>
          <w:sz w:val="28"/>
          <w:szCs w:val="28"/>
          <w:lang w:val="uk-UA"/>
        </w:rPr>
      </w:pPr>
      <w:r w:rsidRPr="009C1D27">
        <w:rPr>
          <w:sz w:val="28"/>
          <w:szCs w:val="28"/>
          <w:lang w:val="uk-UA"/>
        </w:rPr>
        <w:t>1. Додаткових надходжень до держбюджету не передбачається, оскільки регуляторним актом не запроваджуються нові податки і збори (обов’язкові платежі), у 2020 році до державного бюджету від сплати акцизного податку надійшло 138,3 млрд гривень.</w:t>
      </w:r>
    </w:p>
    <w:p w:rsidR="00B04981" w:rsidRPr="009C1D27" w:rsidRDefault="00B04981" w:rsidP="00B04981">
      <w:pPr>
        <w:ind w:firstLine="709"/>
        <w:jc w:val="both"/>
        <w:rPr>
          <w:sz w:val="28"/>
          <w:szCs w:val="28"/>
          <w:lang w:val="uk-UA"/>
        </w:rPr>
      </w:pPr>
      <w:r w:rsidRPr="009C1D27">
        <w:rPr>
          <w:sz w:val="28"/>
          <w:szCs w:val="28"/>
          <w:lang w:val="uk-UA"/>
        </w:rPr>
        <w:t xml:space="preserve">2. Дія </w:t>
      </w:r>
      <w:proofErr w:type="spellStart"/>
      <w:r w:rsidRPr="009C1D27">
        <w:rPr>
          <w:sz w:val="28"/>
          <w:szCs w:val="28"/>
          <w:lang w:val="uk-UA"/>
        </w:rPr>
        <w:t>акта</w:t>
      </w:r>
      <w:proofErr w:type="spellEnd"/>
      <w:r w:rsidRPr="009C1D27">
        <w:rPr>
          <w:sz w:val="28"/>
          <w:szCs w:val="28"/>
          <w:lang w:val="uk-UA"/>
        </w:rPr>
        <w:t xml:space="preserve"> поширюється на всіх суб’єктів господарювання – більш ніж на 350 суб’єктів господарювання (юридичних та фізичних осіб), які здійснюють виробництво та імпорт алкогольних напоїв, тютюнових виробів і рідин, що використовуються в електронних сигаретах, із яких безпосередньо виробництвом та імпортом рідин, що використовуються в електронних сигаретах, займаються 37 суб’єктів господарювання</w:t>
      </w:r>
    </w:p>
    <w:p w:rsidR="00B04981" w:rsidRPr="009C1D27" w:rsidRDefault="00B04981" w:rsidP="00B04981">
      <w:pPr>
        <w:ind w:firstLine="709"/>
        <w:jc w:val="both"/>
        <w:rPr>
          <w:sz w:val="28"/>
          <w:szCs w:val="28"/>
          <w:lang w:val="uk-UA"/>
        </w:rPr>
      </w:pPr>
      <w:r w:rsidRPr="009C1D27">
        <w:rPr>
          <w:sz w:val="28"/>
          <w:szCs w:val="28"/>
          <w:lang w:val="uk-UA"/>
        </w:rPr>
        <w:t xml:space="preserve">3. Працівники суб’єктів господарювання, на яких поширюється дія регуляторного </w:t>
      </w:r>
      <w:proofErr w:type="spellStart"/>
      <w:r w:rsidRPr="009C1D27">
        <w:rPr>
          <w:sz w:val="28"/>
          <w:szCs w:val="28"/>
          <w:lang w:val="uk-UA"/>
        </w:rPr>
        <w:t>акта</w:t>
      </w:r>
      <w:proofErr w:type="spellEnd"/>
      <w:r w:rsidRPr="009C1D27">
        <w:rPr>
          <w:sz w:val="28"/>
          <w:szCs w:val="28"/>
          <w:lang w:val="uk-UA"/>
        </w:rPr>
        <w:t>, одноразово витратять на вивчення його вимог 0,5 години робочого часу. На це буде витрачено 42,18 грн (виходячи із того, що середня заробітна плата у травні 2021 року в Україні становила 13 499 гривень).</w:t>
      </w:r>
    </w:p>
    <w:p w:rsidR="00B04981" w:rsidRPr="009C1D27" w:rsidRDefault="00B04981" w:rsidP="00B04981">
      <w:pPr>
        <w:ind w:firstLine="709"/>
        <w:jc w:val="both"/>
        <w:rPr>
          <w:sz w:val="28"/>
          <w:szCs w:val="28"/>
          <w:lang w:val="uk-UA"/>
        </w:rPr>
      </w:pPr>
      <w:r w:rsidRPr="009C1D27">
        <w:rPr>
          <w:sz w:val="28"/>
          <w:szCs w:val="28"/>
          <w:lang w:val="uk-UA"/>
        </w:rPr>
        <w:t xml:space="preserve">4. Рівень поінформованості суб’єктів господарювання оцінюється як 100%.  </w:t>
      </w:r>
    </w:p>
    <w:p w:rsidR="00B04981" w:rsidRPr="009C1D27" w:rsidRDefault="00B04981" w:rsidP="00B04981">
      <w:pPr>
        <w:ind w:firstLine="709"/>
        <w:jc w:val="both"/>
        <w:rPr>
          <w:sz w:val="28"/>
          <w:szCs w:val="28"/>
          <w:lang w:val="uk-UA"/>
        </w:rPr>
      </w:pPr>
      <w:r w:rsidRPr="009C1D27">
        <w:rPr>
          <w:sz w:val="28"/>
          <w:szCs w:val="28"/>
          <w:lang w:val="uk-UA"/>
        </w:rPr>
        <w:t xml:space="preserve">Проект </w:t>
      </w:r>
      <w:proofErr w:type="spellStart"/>
      <w:r w:rsidRPr="009C1D27">
        <w:rPr>
          <w:sz w:val="28"/>
          <w:szCs w:val="28"/>
          <w:lang w:val="uk-UA"/>
        </w:rPr>
        <w:t>акта</w:t>
      </w:r>
      <w:proofErr w:type="spellEnd"/>
      <w:r w:rsidRPr="009C1D27">
        <w:rPr>
          <w:sz w:val="28"/>
          <w:szCs w:val="28"/>
          <w:lang w:val="uk-UA"/>
        </w:rPr>
        <w:t xml:space="preserve"> розміщено на офіційному </w:t>
      </w:r>
      <w:proofErr w:type="spellStart"/>
      <w:r w:rsidRPr="009C1D27">
        <w:rPr>
          <w:sz w:val="28"/>
          <w:szCs w:val="28"/>
          <w:lang w:val="uk-UA"/>
        </w:rPr>
        <w:t>вебсайті</w:t>
      </w:r>
      <w:proofErr w:type="spellEnd"/>
      <w:r w:rsidRPr="009C1D27">
        <w:rPr>
          <w:sz w:val="28"/>
          <w:szCs w:val="28"/>
          <w:lang w:val="uk-UA"/>
        </w:rPr>
        <w:t xml:space="preserve"> Міністерства фінансів України для отримання пропозицій та зауважень громадськості. </w:t>
      </w:r>
    </w:p>
    <w:p w:rsidR="00B04981" w:rsidRPr="009C1D27" w:rsidRDefault="00B04981" w:rsidP="00B04981">
      <w:pPr>
        <w:ind w:firstLine="709"/>
        <w:jc w:val="both"/>
        <w:rPr>
          <w:sz w:val="28"/>
          <w:szCs w:val="28"/>
          <w:lang w:val="uk-UA"/>
        </w:rPr>
      </w:pPr>
      <w:r w:rsidRPr="009C1D27">
        <w:rPr>
          <w:sz w:val="28"/>
          <w:szCs w:val="28"/>
          <w:lang w:val="uk-UA"/>
        </w:rPr>
        <w:t xml:space="preserve">Після прийняття проекту постанови він буде оприлюднений в установленому законодавством порядку. </w:t>
      </w:r>
    </w:p>
    <w:p w:rsidR="00B04981" w:rsidRPr="009C1D27" w:rsidRDefault="00B04981" w:rsidP="00B04981">
      <w:pPr>
        <w:ind w:firstLine="709"/>
        <w:jc w:val="both"/>
        <w:rPr>
          <w:sz w:val="28"/>
          <w:szCs w:val="28"/>
          <w:lang w:val="uk-UA"/>
        </w:rPr>
      </w:pPr>
      <w:r w:rsidRPr="009C1D27">
        <w:rPr>
          <w:sz w:val="28"/>
          <w:szCs w:val="28"/>
          <w:lang w:val="uk-UA"/>
        </w:rPr>
        <w:t xml:space="preserve">Прогнозні значення показників результативності регуляторного </w:t>
      </w:r>
      <w:proofErr w:type="spellStart"/>
      <w:r w:rsidRPr="009C1D27">
        <w:rPr>
          <w:sz w:val="28"/>
          <w:szCs w:val="28"/>
          <w:lang w:val="uk-UA"/>
        </w:rPr>
        <w:t>акта</w:t>
      </w:r>
      <w:proofErr w:type="spellEnd"/>
      <w:r w:rsidRPr="009C1D27">
        <w:rPr>
          <w:sz w:val="28"/>
          <w:szCs w:val="28"/>
          <w:lang w:val="uk-UA"/>
        </w:rPr>
        <w:t xml:space="preserve"> будуть виражені у кількісній і грошовій формах, а саме:</w:t>
      </w:r>
    </w:p>
    <w:p w:rsidR="00B04981" w:rsidRPr="009C1D27" w:rsidRDefault="00B04981" w:rsidP="00B04981">
      <w:pPr>
        <w:ind w:firstLine="709"/>
        <w:jc w:val="both"/>
        <w:rPr>
          <w:bCs/>
          <w:sz w:val="28"/>
          <w:szCs w:val="28"/>
          <w:lang w:val="uk-UA"/>
        </w:rPr>
      </w:pPr>
      <w:r w:rsidRPr="009C1D27">
        <w:rPr>
          <w:bCs/>
          <w:sz w:val="28"/>
          <w:szCs w:val="28"/>
          <w:lang w:val="uk-UA"/>
        </w:rPr>
        <w:t xml:space="preserve">розмір надходжень до бюджету акцизного податку з тютюнових виробів, алкогольних напоїв та </w:t>
      </w:r>
      <w:r w:rsidRPr="009C1D27">
        <w:rPr>
          <w:sz w:val="28"/>
          <w:szCs w:val="28"/>
          <w:lang w:val="uk-UA"/>
        </w:rPr>
        <w:t>рідин, які використовуються в електронних сигаретах. У 2020 році до державного бюджету надійшло акцизу з алкогольних напоїв та тютюнових виробів на загальну суму 69,8 млрд грн</w:t>
      </w:r>
      <w:r w:rsidRPr="009C1D27">
        <w:rPr>
          <w:bCs/>
          <w:sz w:val="28"/>
          <w:szCs w:val="28"/>
          <w:lang w:val="uk-UA"/>
        </w:rPr>
        <w:t>;</w:t>
      </w:r>
    </w:p>
    <w:p w:rsidR="00B04981" w:rsidRPr="009C1D27" w:rsidRDefault="00B04981" w:rsidP="00B04981">
      <w:pPr>
        <w:ind w:firstLine="709"/>
        <w:jc w:val="both"/>
        <w:rPr>
          <w:bCs/>
          <w:sz w:val="28"/>
          <w:szCs w:val="28"/>
          <w:lang w:val="uk-UA"/>
        </w:rPr>
      </w:pPr>
      <w:r w:rsidRPr="009C1D27">
        <w:rPr>
          <w:bCs/>
          <w:sz w:val="28"/>
          <w:szCs w:val="28"/>
          <w:lang w:val="uk-UA"/>
        </w:rPr>
        <w:t xml:space="preserve">кількість виданих марок акцизного податку для маркування тютюнових виробів, алкогольних напоїв та </w:t>
      </w:r>
      <w:r w:rsidRPr="009C1D27">
        <w:rPr>
          <w:sz w:val="28"/>
          <w:szCs w:val="28"/>
          <w:lang w:val="uk-UA"/>
        </w:rPr>
        <w:t>рідин, які використовуються в електронних сигаретах. У 2020 році видано 3,7 млрд марок акцизного податку;</w:t>
      </w:r>
    </w:p>
    <w:p w:rsidR="00B04981" w:rsidRPr="009C1D27" w:rsidRDefault="00B04981" w:rsidP="00B04981">
      <w:pPr>
        <w:ind w:firstLine="709"/>
        <w:jc w:val="both"/>
        <w:rPr>
          <w:bCs/>
          <w:sz w:val="28"/>
          <w:szCs w:val="28"/>
          <w:lang w:val="uk-UA"/>
        </w:rPr>
      </w:pPr>
      <w:r w:rsidRPr="009C1D27">
        <w:rPr>
          <w:bCs/>
          <w:sz w:val="28"/>
          <w:szCs w:val="28"/>
          <w:lang w:val="uk-UA"/>
        </w:rPr>
        <w:lastRenderedPageBreak/>
        <w:t>кількість повернутих марок акцизного податку. У 2020 році продавцю марок повернуто 170 млн марок акцизного податку.</w:t>
      </w:r>
    </w:p>
    <w:p w:rsidR="00B04981" w:rsidRPr="009C1D27" w:rsidRDefault="00B04981" w:rsidP="00B04981">
      <w:pPr>
        <w:ind w:firstLine="709"/>
        <w:jc w:val="both"/>
        <w:rPr>
          <w:bCs/>
          <w:sz w:val="28"/>
          <w:szCs w:val="28"/>
          <w:lang w:val="uk-UA"/>
        </w:rPr>
      </w:pPr>
    </w:p>
    <w:p w:rsidR="00B04981" w:rsidRPr="009C1D27" w:rsidRDefault="00B04981" w:rsidP="00B04981">
      <w:pPr>
        <w:pStyle w:val="3"/>
        <w:spacing w:before="0" w:beforeAutospacing="0" w:after="0" w:afterAutospacing="0"/>
        <w:ind w:firstLine="709"/>
        <w:jc w:val="center"/>
        <w:rPr>
          <w:rFonts w:eastAsia="Times New Roman"/>
          <w:sz w:val="28"/>
          <w:szCs w:val="28"/>
          <w:lang w:val="uk-UA"/>
        </w:rPr>
      </w:pPr>
      <w:r w:rsidRPr="009C1D27">
        <w:rPr>
          <w:rFonts w:eastAsia="Times New Roman"/>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9C1D27">
        <w:rPr>
          <w:rFonts w:eastAsia="Times New Roman"/>
          <w:sz w:val="28"/>
          <w:szCs w:val="28"/>
          <w:lang w:val="uk-UA"/>
        </w:rPr>
        <w:t>акта</w:t>
      </w:r>
      <w:proofErr w:type="spellEnd"/>
    </w:p>
    <w:p w:rsidR="00B04981" w:rsidRPr="009C1D27" w:rsidRDefault="00B04981" w:rsidP="00B04981">
      <w:pPr>
        <w:pStyle w:val="3"/>
        <w:spacing w:before="0" w:beforeAutospacing="0" w:after="0" w:afterAutospacing="0"/>
        <w:ind w:firstLine="709"/>
        <w:jc w:val="both"/>
        <w:rPr>
          <w:rFonts w:eastAsia="Times New Roman"/>
          <w:b w:val="0"/>
          <w:sz w:val="28"/>
          <w:szCs w:val="28"/>
          <w:lang w:val="uk-UA"/>
        </w:rPr>
      </w:pPr>
    </w:p>
    <w:p w:rsidR="00B04981" w:rsidRPr="009C1D27" w:rsidRDefault="00B04981" w:rsidP="00B04981">
      <w:pPr>
        <w:ind w:firstLine="709"/>
        <w:jc w:val="both"/>
        <w:rPr>
          <w:sz w:val="28"/>
          <w:szCs w:val="28"/>
          <w:lang w:val="uk-UA"/>
        </w:rPr>
      </w:pPr>
      <w:r w:rsidRPr="009C1D27">
        <w:rPr>
          <w:sz w:val="28"/>
          <w:szCs w:val="28"/>
          <w:lang w:val="uk-UA"/>
        </w:rPr>
        <w:t xml:space="preserve">У разі прийняття регуляторного </w:t>
      </w:r>
      <w:proofErr w:type="spellStart"/>
      <w:r w:rsidRPr="009C1D27">
        <w:rPr>
          <w:sz w:val="28"/>
          <w:szCs w:val="28"/>
          <w:lang w:val="uk-UA"/>
        </w:rPr>
        <w:t>акта</w:t>
      </w:r>
      <w:proofErr w:type="spellEnd"/>
      <w:r w:rsidRPr="009C1D27">
        <w:rPr>
          <w:sz w:val="28"/>
          <w:szCs w:val="28"/>
          <w:lang w:val="uk-UA"/>
        </w:rPr>
        <w:t xml:space="preserve">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B04981" w:rsidRPr="009C1D27" w:rsidRDefault="00B04981" w:rsidP="00B04981">
      <w:pPr>
        <w:pStyle w:val="3"/>
        <w:spacing w:before="0" w:beforeAutospacing="0" w:after="0" w:afterAutospacing="0"/>
        <w:ind w:firstLine="709"/>
        <w:jc w:val="both"/>
        <w:rPr>
          <w:rFonts w:eastAsia="Times New Roman"/>
          <w:b w:val="0"/>
          <w:bCs w:val="0"/>
          <w:sz w:val="28"/>
          <w:szCs w:val="28"/>
          <w:lang w:val="uk-UA"/>
        </w:rPr>
      </w:pPr>
      <w:r w:rsidRPr="009C1D27">
        <w:rPr>
          <w:rFonts w:eastAsia="Times New Roman"/>
          <w:b w:val="0"/>
          <w:bCs w:val="0"/>
          <w:sz w:val="28"/>
          <w:szCs w:val="28"/>
          <w:lang w:val="uk-UA"/>
        </w:rPr>
        <w:t xml:space="preserve">Відстеження результативності дії регуляторного </w:t>
      </w:r>
      <w:proofErr w:type="spellStart"/>
      <w:r w:rsidRPr="009C1D27">
        <w:rPr>
          <w:rFonts w:eastAsia="Times New Roman"/>
          <w:b w:val="0"/>
          <w:bCs w:val="0"/>
          <w:sz w:val="28"/>
          <w:szCs w:val="28"/>
          <w:lang w:val="uk-UA"/>
        </w:rPr>
        <w:t>акта</w:t>
      </w:r>
      <w:proofErr w:type="spellEnd"/>
      <w:r w:rsidRPr="009C1D27">
        <w:rPr>
          <w:rFonts w:eastAsia="Times New Roman"/>
          <w:b w:val="0"/>
          <w:bCs w:val="0"/>
          <w:sz w:val="28"/>
          <w:szCs w:val="28"/>
          <w:lang w:val="uk-UA"/>
        </w:rPr>
        <w:t xml:space="preserve"> здійснюватиме Державна податкова служба України, оскільки вона є контролюючим органом щодо сплати суб’єктами господарювання акцизного податку відповідно до поданих ними декларацій акцизного податку.</w:t>
      </w:r>
    </w:p>
    <w:p w:rsidR="00B04981" w:rsidRPr="009C1D27" w:rsidRDefault="00B04981" w:rsidP="00B04981">
      <w:pPr>
        <w:ind w:firstLine="709"/>
        <w:jc w:val="both"/>
        <w:rPr>
          <w:sz w:val="28"/>
          <w:szCs w:val="28"/>
          <w:lang w:val="uk-UA"/>
        </w:rPr>
      </w:pPr>
      <w:r w:rsidRPr="009C1D27">
        <w:rPr>
          <w:sz w:val="28"/>
          <w:szCs w:val="28"/>
          <w:lang w:val="uk-UA"/>
        </w:rPr>
        <w:t xml:space="preserve">Базове відстеження результативності зазначеного регуляторного </w:t>
      </w:r>
      <w:proofErr w:type="spellStart"/>
      <w:r w:rsidRPr="009C1D27">
        <w:rPr>
          <w:sz w:val="28"/>
          <w:szCs w:val="28"/>
          <w:lang w:val="uk-UA"/>
        </w:rPr>
        <w:t>акта</w:t>
      </w:r>
      <w:proofErr w:type="spellEnd"/>
      <w:r w:rsidRPr="009C1D27">
        <w:rPr>
          <w:sz w:val="28"/>
          <w:szCs w:val="28"/>
          <w:lang w:val="uk-UA"/>
        </w:rPr>
        <w:t xml:space="preserve"> буде здійснюватися через рік після набрання постановою чинності шляхом аналізу якісних та кількісних показників. </w:t>
      </w:r>
    </w:p>
    <w:p w:rsidR="00B04981" w:rsidRPr="009C1D27" w:rsidRDefault="00B04981" w:rsidP="00B04981">
      <w:pPr>
        <w:ind w:firstLine="709"/>
        <w:jc w:val="both"/>
        <w:rPr>
          <w:sz w:val="28"/>
          <w:szCs w:val="28"/>
          <w:lang w:val="uk-UA"/>
        </w:rPr>
      </w:pPr>
      <w:r w:rsidRPr="009C1D27">
        <w:rPr>
          <w:sz w:val="28"/>
          <w:szCs w:val="28"/>
          <w:lang w:val="uk-UA"/>
        </w:rPr>
        <w:t xml:space="preserve">Повторне відстеження результативності </w:t>
      </w:r>
      <w:proofErr w:type="spellStart"/>
      <w:r w:rsidRPr="009C1D27">
        <w:rPr>
          <w:sz w:val="28"/>
          <w:szCs w:val="28"/>
          <w:lang w:val="uk-UA"/>
        </w:rPr>
        <w:t>акта</w:t>
      </w:r>
      <w:proofErr w:type="spellEnd"/>
      <w:r w:rsidRPr="009C1D27">
        <w:rPr>
          <w:sz w:val="28"/>
          <w:szCs w:val="28"/>
          <w:lang w:val="uk-UA"/>
        </w:rPr>
        <w:t xml:space="preserve"> буде </w:t>
      </w:r>
      <w:proofErr w:type="spellStart"/>
      <w:r w:rsidRPr="009C1D27">
        <w:rPr>
          <w:sz w:val="28"/>
          <w:szCs w:val="28"/>
          <w:lang w:val="uk-UA"/>
        </w:rPr>
        <w:t>здійснюватись</w:t>
      </w:r>
      <w:proofErr w:type="spellEnd"/>
      <w:r w:rsidRPr="009C1D27">
        <w:rPr>
          <w:sz w:val="28"/>
          <w:szCs w:val="28"/>
          <w:lang w:val="uk-UA"/>
        </w:rPr>
        <w:t xml:space="preserve"> через два роки після набрання чинності цим актом шляхом аналізу якісних та кількісних показників.</w:t>
      </w:r>
    </w:p>
    <w:p w:rsidR="00B04981" w:rsidRPr="009C1D27" w:rsidRDefault="00B04981" w:rsidP="00B04981">
      <w:pPr>
        <w:ind w:firstLine="709"/>
        <w:jc w:val="both"/>
        <w:rPr>
          <w:sz w:val="28"/>
          <w:szCs w:val="28"/>
          <w:lang w:val="uk-UA"/>
        </w:rPr>
      </w:pPr>
      <w:r w:rsidRPr="009C1D27">
        <w:rPr>
          <w:sz w:val="28"/>
          <w:szCs w:val="28"/>
          <w:lang w:val="uk-UA"/>
        </w:rPr>
        <w:t xml:space="preserve">Періодичне відстеження результативності регуляторного </w:t>
      </w:r>
      <w:proofErr w:type="spellStart"/>
      <w:r w:rsidRPr="009C1D27">
        <w:rPr>
          <w:sz w:val="28"/>
          <w:szCs w:val="28"/>
          <w:lang w:val="uk-UA"/>
        </w:rPr>
        <w:t>акта</w:t>
      </w:r>
      <w:proofErr w:type="spellEnd"/>
      <w:r w:rsidRPr="009C1D27">
        <w:rPr>
          <w:sz w:val="28"/>
          <w:szCs w:val="28"/>
          <w:lang w:val="uk-UA"/>
        </w:rPr>
        <w:t xml:space="preserve"> здійснюватиметься раз на кожних три роки, починаючи з дня закінчення заходів із повторного відстеження результативності цього </w:t>
      </w:r>
      <w:proofErr w:type="spellStart"/>
      <w:r w:rsidRPr="009C1D27">
        <w:rPr>
          <w:sz w:val="28"/>
          <w:szCs w:val="28"/>
          <w:lang w:val="uk-UA"/>
        </w:rPr>
        <w:t>акта</w:t>
      </w:r>
      <w:proofErr w:type="spellEnd"/>
      <w:r w:rsidRPr="009C1D27">
        <w:rPr>
          <w:sz w:val="28"/>
          <w:szCs w:val="28"/>
          <w:lang w:val="uk-UA"/>
        </w:rPr>
        <w:t xml:space="preserve">. </w:t>
      </w:r>
    </w:p>
    <w:p w:rsidR="00B04981" w:rsidRPr="009C1D27" w:rsidRDefault="00B04981" w:rsidP="00B04981">
      <w:pPr>
        <w:ind w:firstLine="709"/>
        <w:jc w:val="both"/>
        <w:rPr>
          <w:sz w:val="28"/>
          <w:szCs w:val="28"/>
          <w:lang w:val="uk-UA"/>
        </w:rPr>
      </w:pPr>
      <w:r w:rsidRPr="009C1D27">
        <w:rPr>
          <w:sz w:val="28"/>
          <w:szCs w:val="28"/>
          <w:lang w:val="uk-UA"/>
        </w:rPr>
        <w:t xml:space="preserve">У разі виявлення неврегульованих та проблемних моментів, які передбачається встановлювати за допомогою аналізу якісних та кількісних показників цього </w:t>
      </w:r>
      <w:proofErr w:type="spellStart"/>
      <w:r w:rsidRPr="009C1D27">
        <w:rPr>
          <w:sz w:val="28"/>
          <w:szCs w:val="28"/>
          <w:lang w:val="uk-UA"/>
        </w:rPr>
        <w:t>акта</w:t>
      </w:r>
      <w:proofErr w:type="spellEnd"/>
      <w:r w:rsidRPr="009C1D27">
        <w:rPr>
          <w:sz w:val="28"/>
          <w:szCs w:val="28"/>
          <w:lang w:val="uk-UA"/>
        </w:rPr>
        <w:t>, буде розглядатись можливість їх вирішення шляхом внесення відповідних змін.</w:t>
      </w:r>
    </w:p>
    <w:p w:rsidR="00B04981" w:rsidRPr="009C1D27" w:rsidRDefault="00B04981" w:rsidP="00B04981">
      <w:pPr>
        <w:jc w:val="both"/>
        <w:rPr>
          <w:sz w:val="28"/>
          <w:szCs w:val="28"/>
          <w:lang w:val="uk-UA"/>
        </w:rPr>
      </w:pPr>
    </w:p>
    <w:p w:rsidR="00B04981" w:rsidRPr="009C1D27" w:rsidRDefault="00B04981" w:rsidP="00B04981">
      <w:pPr>
        <w:jc w:val="both"/>
        <w:rPr>
          <w:sz w:val="28"/>
          <w:szCs w:val="28"/>
          <w:lang w:val="uk-UA"/>
        </w:rPr>
      </w:pPr>
    </w:p>
    <w:p w:rsidR="00B04981" w:rsidRPr="009C1D27" w:rsidRDefault="00B04981" w:rsidP="00B04981">
      <w:pPr>
        <w:jc w:val="both"/>
        <w:rPr>
          <w:rFonts w:eastAsia="Calibri"/>
          <w:b/>
          <w:bCs/>
          <w:sz w:val="28"/>
          <w:szCs w:val="28"/>
          <w:lang w:val="uk-UA" w:eastAsia="en-US"/>
        </w:rPr>
      </w:pPr>
      <w:r w:rsidRPr="009C1D27">
        <w:rPr>
          <w:rFonts w:eastAsia="Calibri"/>
          <w:b/>
          <w:bCs/>
          <w:sz w:val="28"/>
          <w:szCs w:val="28"/>
          <w:lang w:val="uk-UA" w:eastAsia="en-US"/>
        </w:rPr>
        <w:t xml:space="preserve">В. о. Міністра фінансів України                                                 Денис </w:t>
      </w:r>
      <w:proofErr w:type="spellStart"/>
      <w:r w:rsidRPr="009C1D27">
        <w:rPr>
          <w:rFonts w:eastAsia="Calibri"/>
          <w:b/>
          <w:bCs/>
          <w:sz w:val="28"/>
          <w:szCs w:val="28"/>
          <w:lang w:val="uk-UA" w:eastAsia="en-US"/>
        </w:rPr>
        <w:t>УЛЮТІН</w:t>
      </w:r>
      <w:proofErr w:type="spellEnd"/>
    </w:p>
    <w:p w:rsidR="00B04981" w:rsidRPr="009C1D27" w:rsidRDefault="00B04981" w:rsidP="00B04981">
      <w:pPr>
        <w:jc w:val="both"/>
        <w:rPr>
          <w:rFonts w:eastAsia="Calibri"/>
          <w:bCs/>
          <w:sz w:val="28"/>
          <w:szCs w:val="28"/>
          <w:lang w:val="uk-UA" w:eastAsia="en-US"/>
        </w:rPr>
      </w:pPr>
    </w:p>
    <w:p w:rsidR="00B04981" w:rsidRPr="009C1D27" w:rsidRDefault="00B04981" w:rsidP="00B04981">
      <w:pPr>
        <w:jc w:val="both"/>
        <w:rPr>
          <w:rFonts w:eastAsia="Calibri"/>
          <w:bCs/>
          <w:sz w:val="28"/>
          <w:szCs w:val="28"/>
          <w:lang w:val="uk-UA" w:eastAsia="en-US"/>
        </w:rPr>
      </w:pPr>
    </w:p>
    <w:p w:rsidR="00B04981" w:rsidRPr="009C1D27" w:rsidRDefault="00B04981" w:rsidP="00B04981">
      <w:pPr>
        <w:rPr>
          <w:rFonts w:eastAsia="Calibri"/>
          <w:bCs/>
          <w:sz w:val="28"/>
          <w:szCs w:val="28"/>
          <w:lang w:val="uk-UA" w:eastAsia="en-US"/>
        </w:rPr>
      </w:pPr>
      <w:r w:rsidRPr="009C1D27">
        <w:rPr>
          <w:rFonts w:eastAsia="Calibri"/>
          <w:bCs/>
          <w:sz w:val="28"/>
          <w:szCs w:val="28"/>
          <w:lang w:val="uk-UA" w:eastAsia="en-US"/>
        </w:rPr>
        <w:br w:type="page"/>
      </w:r>
    </w:p>
    <w:p w:rsidR="00B04981" w:rsidRPr="009C1D27" w:rsidRDefault="00B04981" w:rsidP="00B04981">
      <w:pPr>
        <w:jc w:val="center"/>
        <w:rPr>
          <w:rFonts w:eastAsia="Calibri"/>
          <w:bCs/>
          <w:sz w:val="28"/>
          <w:szCs w:val="28"/>
          <w:lang w:val="uk-UA" w:eastAsia="en-US"/>
        </w:rPr>
      </w:pPr>
      <w:r w:rsidRPr="009C1D27">
        <w:rPr>
          <w:rStyle w:val="rvts15"/>
          <w:b/>
          <w:bCs/>
          <w:sz w:val="28"/>
          <w:szCs w:val="28"/>
          <w:shd w:val="clear" w:color="auto" w:fill="FFFFFF"/>
          <w:lang w:val="uk-UA"/>
        </w:rPr>
        <w:lastRenderedPageBreak/>
        <w:t>ВИТРАТИ</w:t>
      </w:r>
      <w:r w:rsidRPr="009C1D27">
        <w:rPr>
          <w:lang w:val="uk-UA"/>
        </w:rPr>
        <w:br/>
      </w:r>
      <w:r w:rsidRPr="009C1D27">
        <w:rPr>
          <w:rStyle w:val="rvts15"/>
          <w:b/>
          <w:bCs/>
          <w:sz w:val="28"/>
          <w:szCs w:val="28"/>
          <w:shd w:val="clear" w:color="auto" w:fill="FFFFFF"/>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9C1D27">
        <w:rPr>
          <w:rStyle w:val="rvts15"/>
          <w:b/>
          <w:bCs/>
          <w:sz w:val="28"/>
          <w:szCs w:val="28"/>
          <w:shd w:val="clear" w:color="auto" w:fill="FFFFFF"/>
          <w:lang w:val="uk-UA"/>
        </w:rPr>
        <w:t>акта</w:t>
      </w:r>
      <w:proofErr w:type="spellEnd"/>
    </w:p>
    <w:p w:rsidR="00B04981" w:rsidRPr="009C1D27" w:rsidRDefault="00B04981" w:rsidP="00B04981">
      <w:pPr>
        <w:jc w:val="center"/>
        <w:rPr>
          <w:rFonts w:eastAsia="Calibri"/>
          <w:bCs/>
          <w:sz w:val="28"/>
          <w:szCs w:val="28"/>
          <w:lang w:val="uk-UA" w:eastAsia="en-US"/>
        </w:rPr>
      </w:pPr>
    </w:p>
    <w:p w:rsidR="00B04981" w:rsidRPr="009C1D27" w:rsidRDefault="00B04981" w:rsidP="00B04981">
      <w:pPr>
        <w:ind w:firstLine="567"/>
        <w:jc w:val="both"/>
        <w:rPr>
          <w:rFonts w:eastAsia="Calibri"/>
          <w:bCs/>
          <w:sz w:val="28"/>
          <w:szCs w:val="28"/>
          <w:lang w:val="uk-UA" w:eastAsia="en-US"/>
        </w:rPr>
      </w:pPr>
      <w:r w:rsidRPr="009C1D27">
        <w:rPr>
          <w:rFonts w:eastAsia="Calibri"/>
          <w:bCs/>
          <w:sz w:val="28"/>
          <w:szCs w:val="28"/>
          <w:lang w:val="uk-UA" w:eastAsia="en-US"/>
        </w:rPr>
        <w:t>Альтернатива 1.</w:t>
      </w:r>
    </w:p>
    <w:p w:rsidR="00B04981" w:rsidRPr="009C1D27" w:rsidRDefault="00B04981" w:rsidP="00B04981">
      <w:pPr>
        <w:ind w:firstLine="567"/>
        <w:jc w:val="both"/>
        <w:rPr>
          <w:rFonts w:eastAsia="Calibri"/>
          <w:bCs/>
          <w:sz w:val="28"/>
          <w:szCs w:val="28"/>
          <w:lang w:val="uk-UA" w:eastAsia="en-US"/>
        </w:rPr>
      </w:pPr>
    </w:p>
    <w:tbl>
      <w:tblPr>
        <w:tblStyle w:val="ac"/>
        <w:tblW w:w="0" w:type="auto"/>
        <w:tblLook w:val="04A0" w:firstRow="1" w:lastRow="0" w:firstColumn="1" w:lastColumn="0" w:noHBand="0" w:noVBand="1"/>
      </w:tblPr>
      <w:tblGrid>
        <w:gridCol w:w="1469"/>
        <w:gridCol w:w="5158"/>
        <w:gridCol w:w="1406"/>
        <w:gridCol w:w="1387"/>
      </w:tblGrid>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Порядковий номер</w:t>
            </w:r>
          </w:p>
        </w:tc>
        <w:tc>
          <w:tcPr>
            <w:tcW w:w="5158" w:type="dxa"/>
          </w:tcPr>
          <w:p w:rsidR="00B04981" w:rsidRPr="009C1D27" w:rsidRDefault="00B04981" w:rsidP="00500ED6">
            <w:pPr>
              <w:jc w:val="center"/>
              <w:rPr>
                <w:bCs/>
                <w:lang w:val="uk-UA" w:eastAsia="en-US"/>
              </w:rPr>
            </w:pPr>
            <w:r w:rsidRPr="009C1D27">
              <w:rPr>
                <w:bCs/>
                <w:lang w:val="uk-UA" w:eastAsia="en-US"/>
              </w:rPr>
              <w:t>Витрати</w:t>
            </w:r>
          </w:p>
        </w:tc>
        <w:tc>
          <w:tcPr>
            <w:tcW w:w="1406" w:type="dxa"/>
          </w:tcPr>
          <w:p w:rsidR="00B04981" w:rsidRPr="009C1D27" w:rsidRDefault="00B04981" w:rsidP="00500ED6">
            <w:pPr>
              <w:jc w:val="center"/>
              <w:rPr>
                <w:bCs/>
                <w:lang w:val="uk-UA" w:eastAsia="en-US"/>
              </w:rPr>
            </w:pPr>
            <w:r w:rsidRPr="009C1D27">
              <w:rPr>
                <w:bCs/>
                <w:lang w:val="uk-UA" w:eastAsia="en-US"/>
              </w:rPr>
              <w:t>За перший рік</w:t>
            </w:r>
          </w:p>
        </w:tc>
        <w:tc>
          <w:tcPr>
            <w:tcW w:w="1387" w:type="dxa"/>
          </w:tcPr>
          <w:p w:rsidR="00B04981" w:rsidRPr="009C1D27" w:rsidRDefault="00B04981" w:rsidP="00500ED6">
            <w:pPr>
              <w:jc w:val="center"/>
              <w:rPr>
                <w:bCs/>
                <w:lang w:val="uk-UA" w:eastAsia="en-US"/>
              </w:rPr>
            </w:pPr>
            <w:r w:rsidRPr="009C1D27">
              <w:rPr>
                <w:bCs/>
                <w:lang w:val="uk-UA" w:eastAsia="en-US"/>
              </w:rPr>
              <w:t>За п’ять років</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1</w:t>
            </w:r>
          </w:p>
        </w:tc>
        <w:tc>
          <w:tcPr>
            <w:tcW w:w="5158" w:type="dxa"/>
          </w:tcPr>
          <w:p w:rsidR="00B04981" w:rsidRPr="009C1D27" w:rsidRDefault="00B04981" w:rsidP="00500ED6">
            <w:pPr>
              <w:jc w:val="both"/>
              <w:rPr>
                <w:bCs/>
                <w:lang w:val="uk-UA" w:eastAsia="en-US"/>
              </w:rPr>
            </w:pPr>
            <w:r w:rsidRPr="009C1D27">
              <w:rPr>
                <w:bCs/>
                <w:lang w:val="uk-UA" w:eastAsia="en-US"/>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06" w:type="dxa"/>
          </w:tcPr>
          <w:p w:rsidR="00B04981" w:rsidRPr="009C1D27" w:rsidRDefault="00B04981" w:rsidP="00500ED6">
            <w:pPr>
              <w:jc w:val="center"/>
              <w:rPr>
                <w:bCs/>
                <w:lang w:val="uk-UA" w:eastAsia="en-US"/>
              </w:rPr>
            </w:pPr>
            <w:r w:rsidRPr="009C1D27">
              <w:rPr>
                <w:bCs/>
                <w:lang w:val="uk-UA" w:eastAsia="en-US"/>
              </w:rPr>
              <w:t>-</w:t>
            </w:r>
          </w:p>
        </w:tc>
        <w:tc>
          <w:tcPr>
            <w:tcW w:w="1387"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2</w:t>
            </w:r>
          </w:p>
        </w:tc>
        <w:tc>
          <w:tcPr>
            <w:tcW w:w="5158" w:type="dxa"/>
          </w:tcPr>
          <w:p w:rsidR="00B04981" w:rsidRPr="009C1D27" w:rsidRDefault="00B04981" w:rsidP="00500ED6">
            <w:pPr>
              <w:jc w:val="both"/>
              <w:rPr>
                <w:bCs/>
                <w:lang w:val="uk-UA" w:eastAsia="en-US"/>
              </w:rPr>
            </w:pPr>
            <w:r w:rsidRPr="009C1D27">
              <w:rPr>
                <w:shd w:val="clear" w:color="auto" w:fill="FFFFFF"/>
                <w:lang w:val="uk-UA"/>
              </w:rPr>
              <w:t>Податки та збори (зміна розміру податків/зборів, виникнення необхідності у сплаті податків/зборів), гривень</w:t>
            </w:r>
          </w:p>
        </w:tc>
        <w:tc>
          <w:tcPr>
            <w:tcW w:w="1406" w:type="dxa"/>
          </w:tcPr>
          <w:p w:rsidR="00B04981" w:rsidRPr="009C1D27" w:rsidRDefault="00B04981" w:rsidP="00500ED6">
            <w:pPr>
              <w:jc w:val="center"/>
              <w:rPr>
                <w:bCs/>
                <w:lang w:val="uk-UA" w:eastAsia="en-US"/>
              </w:rPr>
            </w:pPr>
            <w:r w:rsidRPr="009C1D27">
              <w:rPr>
                <w:bCs/>
                <w:lang w:val="uk-UA" w:eastAsia="en-US"/>
              </w:rPr>
              <w:t>-</w:t>
            </w:r>
          </w:p>
        </w:tc>
        <w:tc>
          <w:tcPr>
            <w:tcW w:w="1387"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3</w:t>
            </w:r>
          </w:p>
        </w:tc>
        <w:tc>
          <w:tcPr>
            <w:tcW w:w="5158" w:type="dxa"/>
          </w:tcPr>
          <w:p w:rsidR="00B04981" w:rsidRPr="009C1D27" w:rsidRDefault="00B04981" w:rsidP="00500ED6">
            <w:pPr>
              <w:jc w:val="both"/>
              <w:rPr>
                <w:bCs/>
                <w:lang w:val="uk-UA" w:eastAsia="en-US"/>
              </w:rPr>
            </w:pPr>
            <w:r w:rsidRPr="009C1D27">
              <w:rPr>
                <w:shd w:val="clear" w:color="auto" w:fill="FFFFFF"/>
                <w:lang w:val="uk-UA"/>
              </w:rPr>
              <w:t>Витрати, пов’язані із веденням обліку, підготовкою та поданням звітності державним органам, гривень</w:t>
            </w:r>
          </w:p>
        </w:tc>
        <w:tc>
          <w:tcPr>
            <w:tcW w:w="1406" w:type="dxa"/>
          </w:tcPr>
          <w:p w:rsidR="00B04981" w:rsidRPr="009C1D27" w:rsidRDefault="00B04981" w:rsidP="00500ED6">
            <w:pPr>
              <w:jc w:val="center"/>
              <w:rPr>
                <w:bCs/>
                <w:lang w:val="uk-UA" w:eastAsia="en-US"/>
              </w:rPr>
            </w:pPr>
            <w:r w:rsidRPr="009C1D27">
              <w:rPr>
                <w:bCs/>
                <w:lang w:val="uk-UA" w:eastAsia="en-US"/>
              </w:rPr>
              <w:t>42,18</w:t>
            </w:r>
          </w:p>
        </w:tc>
        <w:tc>
          <w:tcPr>
            <w:tcW w:w="1387" w:type="dxa"/>
          </w:tcPr>
          <w:p w:rsidR="00B04981" w:rsidRPr="009C1D27" w:rsidRDefault="00B04981" w:rsidP="00500ED6">
            <w:pPr>
              <w:jc w:val="center"/>
              <w:rPr>
                <w:bCs/>
                <w:lang w:val="uk-UA" w:eastAsia="en-US"/>
              </w:rPr>
            </w:pPr>
            <w:r w:rsidRPr="009C1D27">
              <w:rPr>
                <w:bCs/>
                <w:lang w:val="uk-UA" w:eastAsia="en-US"/>
              </w:rPr>
              <w:t>42,18</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4</w:t>
            </w:r>
          </w:p>
        </w:tc>
        <w:tc>
          <w:tcPr>
            <w:tcW w:w="5158" w:type="dxa"/>
          </w:tcPr>
          <w:p w:rsidR="00B04981" w:rsidRPr="009C1D27" w:rsidRDefault="00B04981" w:rsidP="00500ED6">
            <w:pPr>
              <w:jc w:val="both"/>
              <w:rPr>
                <w:bCs/>
                <w:lang w:val="uk-UA" w:eastAsia="en-US"/>
              </w:rPr>
            </w:pPr>
            <w:r w:rsidRPr="009C1D27">
              <w:rPr>
                <w:shd w:val="clear" w:color="auto" w:fill="FFFFFF"/>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406" w:type="dxa"/>
          </w:tcPr>
          <w:p w:rsidR="00B04981" w:rsidRPr="009C1D27" w:rsidRDefault="00B04981" w:rsidP="00500ED6">
            <w:pPr>
              <w:jc w:val="center"/>
              <w:rPr>
                <w:bCs/>
                <w:lang w:val="uk-UA" w:eastAsia="en-US"/>
              </w:rPr>
            </w:pPr>
            <w:r w:rsidRPr="009C1D27">
              <w:rPr>
                <w:bCs/>
                <w:lang w:val="uk-UA" w:eastAsia="en-US"/>
              </w:rPr>
              <w:t>-</w:t>
            </w:r>
          </w:p>
        </w:tc>
        <w:tc>
          <w:tcPr>
            <w:tcW w:w="1387"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5</w:t>
            </w:r>
          </w:p>
        </w:tc>
        <w:tc>
          <w:tcPr>
            <w:tcW w:w="5158" w:type="dxa"/>
          </w:tcPr>
          <w:p w:rsidR="00B04981" w:rsidRPr="009C1D27" w:rsidRDefault="00B04981" w:rsidP="00500ED6">
            <w:pPr>
              <w:jc w:val="both"/>
              <w:rPr>
                <w:bCs/>
                <w:lang w:val="uk-UA" w:eastAsia="en-US"/>
              </w:rPr>
            </w:pPr>
            <w:r w:rsidRPr="009C1D27">
              <w:rPr>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06" w:type="dxa"/>
          </w:tcPr>
          <w:p w:rsidR="00B04981" w:rsidRPr="009C1D27" w:rsidRDefault="00B04981" w:rsidP="00500ED6">
            <w:pPr>
              <w:jc w:val="center"/>
              <w:rPr>
                <w:bCs/>
                <w:lang w:val="uk-UA" w:eastAsia="en-US"/>
              </w:rPr>
            </w:pPr>
            <w:r w:rsidRPr="009C1D27">
              <w:rPr>
                <w:bCs/>
                <w:lang w:val="uk-UA" w:eastAsia="en-US"/>
              </w:rPr>
              <w:t>-</w:t>
            </w:r>
          </w:p>
        </w:tc>
        <w:tc>
          <w:tcPr>
            <w:tcW w:w="1387"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6</w:t>
            </w:r>
          </w:p>
        </w:tc>
        <w:tc>
          <w:tcPr>
            <w:tcW w:w="5158" w:type="dxa"/>
          </w:tcPr>
          <w:p w:rsidR="00B04981" w:rsidRPr="009C1D27" w:rsidRDefault="00B04981" w:rsidP="00500ED6">
            <w:pPr>
              <w:jc w:val="both"/>
              <w:rPr>
                <w:bCs/>
                <w:lang w:val="uk-UA" w:eastAsia="en-US"/>
              </w:rPr>
            </w:pPr>
            <w:r w:rsidRPr="009C1D27">
              <w:rPr>
                <w:shd w:val="clear" w:color="auto" w:fill="FFFFFF"/>
                <w:lang w:val="uk-UA"/>
              </w:rPr>
              <w:t>Витрати на оборотні активи (матеріали, канцелярські товари тощо), гривень</w:t>
            </w:r>
          </w:p>
        </w:tc>
        <w:tc>
          <w:tcPr>
            <w:tcW w:w="1406" w:type="dxa"/>
          </w:tcPr>
          <w:p w:rsidR="00B04981" w:rsidRPr="009C1D27" w:rsidRDefault="00B04981" w:rsidP="00500ED6">
            <w:pPr>
              <w:jc w:val="center"/>
              <w:rPr>
                <w:bCs/>
                <w:lang w:val="uk-UA" w:eastAsia="en-US"/>
              </w:rPr>
            </w:pPr>
            <w:r w:rsidRPr="009C1D27">
              <w:rPr>
                <w:bCs/>
                <w:lang w:val="uk-UA" w:eastAsia="en-US"/>
              </w:rPr>
              <w:t>-</w:t>
            </w:r>
          </w:p>
        </w:tc>
        <w:tc>
          <w:tcPr>
            <w:tcW w:w="1387"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7</w:t>
            </w:r>
          </w:p>
        </w:tc>
        <w:tc>
          <w:tcPr>
            <w:tcW w:w="5158" w:type="dxa"/>
          </w:tcPr>
          <w:p w:rsidR="00B04981" w:rsidRPr="009C1D27" w:rsidRDefault="00B04981" w:rsidP="00500ED6">
            <w:pPr>
              <w:jc w:val="both"/>
              <w:rPr>
                <w:bCs/>
                <w:lang w:val="uk-UA" w:eastAsia="en-US"/>
              </w:rPr>
            </w:pPr>
            <w:r w:rsidRPr="009C1D27">
              <w:rPr>
                <w:shd w:val="clear" w:color="auto" w:fill="FFFFFF"/>
                <w:lang w:val="uk-UA"/>
              </w:rPr>
              <w:t xml:space="preserve">Витрати, пов’язані із </w:t>
            </w:r>
            <w:proofErr w:type="spellStart"/>
            <w:r w:rsidRPr="009C1D27">
              <w:rPr>
                <w:shd w:val="clear" w:color="auto" w:fill="FFFFFF"/>
                <w:lang w:val="uk-UA"/>
              </w:rPr>
              <w:t>наймом</w:t>
            </w:r>
            <w:proofErr w:type="spellEnd"/>
            <w:r w:rsidRPr="009C1D27">
              <w:rPr>
                <w:shd w:val="clear" w:color="auto" w:fill="FFFFFF"/>
                <w:lang w:val="uk-UA"/>
              </w:rPr>
              <w:t xml:space="preserve"> додаткового персоналу, гривень</w:t>
            </w:r>
          </w:p>
        </w:tc>
        <w:tc>
          <w:tcPr>
            <w:tcW w:w="1406" w:type="dxa"/>
          </w:tcPr>
          <w:p w:rsidR="00B04981" w:rsidRPr="009C1D27" w:rsidRDefault="00B04981" w:rsidP="00500ED6">
            <w:pPr>
              <w:jc w:val="center"/>
              <w:rPr>
                <w:bCs/>
                <w:lang w:val="uk-UA" w:eastAsia="en-US"/>
              </w:rPr>
            </w:pPr>
            <w:r w:rsidRPr="009C1D27">
              <w:rPr>
                <w:bCs/>
                <w:lang w:val="uk-UA" w:eastAsia="en-US"/>
              </w:rPr>
              <w:t>-</w:t>
            </w:r>
          </w:p>
        </w:tc>
        <w:tc>
          <w:tcPr>
            <w:tcW w:w="1387"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8</w:t>
            </w:r>
          </w:p>
        </w:tc>
        <w:tc>
          <w:tcPr>
            <w:tcW w:w="5158" w:type="dxa"/>
          </w:tcPr>
          <w:p w:rsidR="00B04981" w:rsidRPr="009C1D27" w:rsidRDefault="00B04981" w:rsidP="00500ED6">
            <w:pPr>
              <w:jc w:val="both"/>
              <w:rPr>
                <w:bCs/>
                <w:lang w:val="uk-UA" w:eastAsia="en-US"/>
              </w:rPr>
            </w:pPr>
            <w:r w:rsidRPr="009C1D27">
              <w:rPr>
                <w:shd w:val="clear" w:color="auto" w:fill="FFFFFF"/>
                <w:lang w:val="uk-UA"/>
              </w:rPr>
              <w:t>Інше (уточнити), гривень</w:t>
            </w:r>
          </w:p>
        </w:tc>
        <w:tc>
          <w:tcPr>
            <w:tcW w:w="1406" w:type="dxa"/>
          </w:tcPr>
          <w:p w:rsidR="00B04981" w:rsidRPr="009C1D27" w:rsidRDefault="00B04981" w:rsidP="00500ED6">
            <w:pPr>
              <w:jc w:val="center"/>
              <w:rPr>
                <w:bCs/>
                <w:lang w:val="uk-UA" w:eastAsia="en-US"/>
              </w:rPr>
            </w:pPr>
            <w:r w:rsidRPr="009C1D27">
              <w:rPr>
                <w:bCs/>
                <w:lang w:val="uk-UA" w:eastAsia="en-US"/>
              </w:rPr>
              <w:t>-</w:t>
            </w:r>
          </w:p>
        </w:tc>
        <w:tc>
          <w:tcPr>
            <w:tcW w:w="1387"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9</w:t>
            </w:r>
          </w:p>
        </w:tc>
        <w:tc>
          <w:tcPr>
            <w:tcW w:w="5158" w:type="dxa"/>
          </w:tcPr>
          <w:p w:rsidR="00B04981" w:rsidRPr="009C1D27" w:rsidRDefault="00B04981" w:rsidP="00500ED6">
            <w:pPr>
              <w:pStyle w:val="rvps14"/>
              <w:spacing w:before="150" w:after="150"/>
              <w:jc w:val="both"/>
            </w:pPr>
            <w:r w:rsidRPr="009C1D27">
              <w:t>РАЗОМ (сума рядків: 1 + 2 + 3 + 4 + 5 + 6 + 7 + 8), гривень</w:t>
            </w:r>
          </w:p>
          <w:p w:rsidR="00B04981" w:rsidRPr="009C1D27" w:rsidRDefault="00B04981" w:rsidP="00500ED6">
            <w:pPr>
              <w:jc w:val="both"/>
              <w:rPr>
                <w:bCs/>
                <w:lang w:val="uk-UA" w:eastAsia="en-US"/>
              </w:rPr>
            </w:pPr>
          </w:p>
        </w:tc>
        <w:tc>
          <w:tcPr>
            <w:tcW w:w="1406" w:type="dxa"/>
          </w:tcPr>
          <w:p w:rsidR="00B04981" w:rsidRPr="009C1D27" w:rsidRDefault="00B04981" w:rsidP="00500ED6">
            <w:pPr>
              <w:jc w:val="center"/>
              <w:rPr>
                <w:bCs/>
                <w:lang w:val="uk-UA" w:eastAsia="en-US"/>
              </w:rPr>
            </w:pPr>
            <w:r w:rsidRPr="009C1D27">
              <w:rPr>
                <w:bCs/>
                <w:lang w:val="uk-UA" w:eastAsia="en-US"/>
              </w:rPr>
              <w:t>42,18</w:t>
            </w:r>
          </w:p>
        </w:tc>
        <w:tc>
          <w:tcPr>
            <w:tcW w:w="1387" w:type="dxa"/>
          </w:tcPr>
          <w:p w:rsidR="00B04981" w:rsidRPr="009C1D27" w:rsidRDefault="00B04981" w:rsidP="00500ED6">
            <w:pPr>
              <w:jc w:val="center"/>
              <w:rPr>
                <w:bCs/>
                <w:lang w:val="uk-UA" w:eastAsia="en-US"/>
              </w:rPr>
            </w:pPr>
            <w:r w:rsidRPr="009C1D27">
              <w:rPr>
                <w:bCs/>
                <w:lang w:val="uk-UA" w:eastAsia="en-US"/>
              </w:rPr>
              <w:t>42,18</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10</w:t>
            </w:r>
          </w:p>
        </w:tc>
        <w:tc>
          <w:tcPr>
            <w:tcW w:w="5158" w:type="dxa"/>
          </w:tcPr>
          <w:p w:rsidR="00B04981" w:rsidRPr="009C1D27" w:rsidRDefault="00B04981" w:rsidP="00500ED6">
            <w:pPr>
              <w:jc w:val="both"/>
              <w:rPr>
                <w:bCs/>
                <w:lang w:val="uk-UA" w:eastAsia="en-US"/>
              </w:rPr>
            </w:pPr>
            <w:r w:rsidRPr="009C1D27">
              <w:rPr>
                <w:shd w:val="clear" w:color="auto" w:fill="FFFFFF"/>
                <w:lang w:val="uk-UA"/>
              </w:rPr>
              <w:t>Кількість суб’єктів господарювання великого та середнього підприємництва, на яких буде поширено регулювання, одиниць</w:t>
            </w:r>
          </w:p>
        </w:tc>
        <w:tc>
          <w:tcPr>
            <w:tcW w:w="1406" w:type="dxa"/>
          </w:tcPr>
          <w:p w:rsidR="00B04981" w:rsidRPr="009C1D27" w:rsidRDefault="00B04981" w:rsidP="00500ED6">
            <w:pPr>
              <w:jc w:val="center"/>
              <w:rPr>
                <w:bCs/>
                <w:lang w:val="uk-UA" w:eastAsia="en-US"/>
              </w:rPr>
            </w:pPr>
            <w:r w:rsidRPr="009C1D27">
              <w:rPr>
                <w:bCs/>
                <w:lang w:val="uk-UA" w:eastAsia="en-US"/>
              </w:rPr>
              <w:t>316</w:t>
            </w:r>
          </w:p>
        </w:tc>
        <w:tc>
          <w:tcPr>
            <w:tcW w:w="1387" w:type="dxa"/>
          </w:tcPr>
          <w:p w:rsidR="00B04981" w:rsidRPr="009C1D27" w:rsidRDefault="00B04981" w:rsidP="00500ED6">
            <w:pPr>
              <w:jc w:val="center"/>
              <w:rPr>
                <w:bCs/>
                <w:lang w:val="uk-UA" w:eastAsia="en-US"/>
              </w:rPr>
            </w:pPr>
            <w:r w:rsidRPr="009C1D27">
              <w:rPr>
                <w:bCs/>
                <w:lang w:val="uk-UA" w:eastAsia="en-US"/>
              </w:rPr>
              <w:t>316</w:t>
            </w:r>
          </w:p>
        </w:tc>
      </w:tr>
      <w:tr w:rsidR="00B04981" w:rsidRPr="009C1D27" w:rsidTr="00500ED6">
        <w:tc>
          <w:tcPr>
            <w:tcW w:w="1271" w:type="dxa"/>
          </w:tcPr>
          <w:p w:rsidR="00B04981" w:rsidRPr="009C1D27" w:rsidRDefault="00B04981" w:rsidP="00500ED6">
            <w:pPr>
              <w:jc w:val="center"/>
              <w:rPr>
                <w:bCs/>
                <w:lang w:val="uk-UA" w:eastAsia="en-US"/>
              </w:rPr>
            </w:pPr>
            <w:r w:rsidRPr="009C1D27">
              <w:rPr>
                <w:bCs/>
                <w:lang w:val="uk-UA" w:eastAsia="en-US"/>
              </w:rPr>
              <w:t>11</w:t>
            </w:r>
          </w:p>
        </w:tc>
        <w:tc>
          <w:tcPr>
            <w:tcW w:w="5158" w:type="dxa"/>
          </w:tcPr>
          <w:p w:rsidR="00B04981" w:rsidRPr="009C1D27" w:rsidRDefault="00B04981" w:rsidP="00500ED6">
            <w:pPr>
              <w:jc w:val="both"/>
              <w:rPr>
                <w:bCs/>
                <w:lang w:val="uk-UA" w:eastAsia="en-US"/>
              </w:rPr>
            </w:pPr>
            <w:r w:rsidRPr="009C1D27">
              <w:rPr>
                <w:shd w:val="clear" w:color="auto" w:fill="FFFFFF"/>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06" w:type="dxa"/>
          </w:tcPr>
          <w:p w:rsidR="00B04981" w:rsidRPr="009C1D27" w:rsidRDefault="00B04981" w:rsidP="00500ED6">
            <w:pPr>
              <w:jc w:val="center"/>
              <w:rPr>
                <w:bCs/>
                <w:lang w:val="uk-UA" w:eastAsia="en-US"/>
              </w:rPr>
            </w:pPr>
            <w:r w:rsidRPr="009C1D27">
              <w:rPr>
                <w:bCs/>
                <w:lang w:val="uk-UA" w:eastAsia="en-US"/>
              </w:rPr>
              <w:t>13 328,88</w:t>
            </w:r>
          </w:p>
        </w:tc>
        <w:tc>
          <w:tcPr>
            <w:tcW w:w="1387" w:type="dxa"/>
          </w:tcPr>
          <w:p w:rsidR="00B04981" w:rsidRPr="009C1D27" w:rsidRDefault="00B04981" w:rsidP="00500ED6">
            <w:pPr>
              <w:jc w:val="center"/>
              <w:rPr>
                <w:bCs/>
                <w:lang w:val="uk-UA" w:eastAsia="en-US"/>
              </w:rPr>
            </w:pPr>
            <w:r w:rsidRPr="009C1D27">
              <w:rPr>
                <w:bCs/>
                <w:lang w:val="uk-UA" w:eastAsia="en-US"/>
              </w:rPr>
              <w:t>13 328,88</w:t>
            </w:r>
          </w:p>
        </w:tc>
      </w:tr>
    </w:tbl>
    <w:p w:rsidR="00B04981" w:rsidRPr="009C1D27" w:rsidRDefault="00B04981" w:rsidP="00B04981">
      <w:pPr>
        <w:jc w:val="center"/>
        <w:rPr>
          <w:rFonts w:eastAsia="Calibri"/>
          <w:bCs/>
          <w:sz w:val="28"/>
          <w:szCs w:val="28"/>
          <w:lang w:val="uk-UA" w:eastAsia="en-US"/>
        </w:rPr>
      </w:pPr>
    </w:p>
    <w:tbl>
      <w:tblPr>
        <w:tblStyle w:val="ac"/>
        <w:tblW w:w="0" w:type="auto"/>
        <w:tblLook w:val="04A0" w:firstRow="1" w:lastRow="0" w:firstColumn="1" w:lastColumn="0" w:noHBand="0" w:noVBand="1"/>
      </w:tblPr>
      <w:tblGrid>
        <w:gridCol w:w="2547"/>
        <w:gridCol w:w="2268"/>
        <w:gridCol w:w="1559"/>
        <w:gridCol w:w="1559"/>
        <w:gridCol w:w="1696"/>
      </w:tblGrid>
      <w:tr w:rsidR="00B04981" w:rsidRPr="009C1D27" w:rsidTr="00500ED6">
        <w:tc>
          <w:tcPr>
            <w:tcW w:w="2547" w:type="dxa"/>
          </w:tcPr>
          <w:p w:rsidR="00B04981" w:rsidRPr="009C1D27" w:rsidRDefault="00B04981" w:rsidP="00500ED6">
            <w:pPr>
              <w:jc w:val="center"/>
              <w:rPr>
                <w:bCs/>
                <w:lang w:val="uk-UA" w:eastAsia="en-US"/>
              </w:rPr>
            </w:pPr>
            <w:r w:rsidRPr="009C1D27">
              <w:rPr>
                <w:bCs/>
                <w:lang w:val="uk-UA" w:eastAsia="en-US"/>
              </w:rPr>
              <w:t>Вид витрат</w:t>
            </w:r>
          </w:p>
          <w:p w:rsidR="00B04981" w:rsidRPr="009C1D27" w:rsidRDefault="00B04981" w:rsidP="00500ED6">
            <w:pPr>
              <w:jc w:val="center"/>
              <w:rPr>
                <w:bCs/>
                <w:lang w:val="uk-UA" w:eastAsia="en-US"/>
              </w:rPr>
            </w:pPr>
          </w:p>
        </w:tc>
        <w:tc>
          <w:tcPr>
            <w:tcW w:w="2268" w:type="dxa"/>
          </w:tcPr>
          <w:p w:rsidR="00B04981" w:rsidRPr="009C1D27" w:rsidRDefault="00B04981" w:rsidP="00500ED6">
            <w:pPr>
              <w:jc w:val="center"/>
              <w:rPr>
                <w:bCs/>
                <w:lang w:val="uk-UA" w:eastAsia="en-US"/>
              </w:rPr>
            </w:pPr>
            <w:r w:rsidRPr="009C1D27">
              <w:rPr>
                <w:bCs/>
                <w:lang w:val="uk-UA" w:eastAsia="en-US"/>
              </w:rPr>
              <w:t xml:space="preserve">Витрати на ведення обліку, підготовку </w:t>
            </w:r>
            <w:r w:rsidRPr="009C1D27">
              <w:rPr>
                <w:bCs/>
                <w:lang w:val="uk-UA" w:eastAsia="en-US"/>
              </w:rPr>
              <w:lastRenderedPageBreak/>
              <w:t>та подання звітності (за рік)</w:t>
            </w:r>
          </w:p>
        </w:tc>
        <w:tc>
          <w:tcPr>
            <w:tcW w:w="1559" w:type="dxa"/>
          </w:tcPr>
          <w:p w:rsidR="00B04981" w:rsidRPr="009C1D27" w:rsidRDefault="00B04981" w:rsidP="00500ED6">
            <w:pPr>
              <w:jc w:val="center"/>
              <w:rPr>
                <w:bCs/>
                <w:lang w:val="uk-UA" w:eastAsia="en-US"/>
              </w:rPr>
            </w:pPr>
            <w:r w:rsidRPr="009C1D27">
              <w:rPr>
                <w:bCs/>
                <w:lang w:val="uk-UA" w:eastAsia="en-US"/>
              </w:rPr>
              <w:lastRenderedPageBreak/>
              <w:t xml:space="preserve">Витрати на оплату штрафних </w:t>
            </w:r>
            <w:r w:rsidRPr="009C1D27">
              <w:rPr>
                <w:bCs/>
                <w:lang w:val="uk-UA" w:eastAsia="en-US"/>
              </w:rPr>
              <w:lastRenderedPageBreak/>
              <w:t>санкцій за рік</w:t>
            </w:r>
          </w:p>
        </w:tc>
        <w:tc>
          <w:tcPr>
            <w:tcW w:w="1559" w:type="dxa"/>
          </w:tcPr>
          <w:p w:rsidR="00B04981" w:rsidRPr="009C1D27" w:rsidRDefault="00B04981" w:rsidP="00500ED6">
            <w:pPr>
              <w:jc w:val="center"/>
              <w:rPr>
                <w:bCs/>
                <w:lang w:val="uk-UA" w:eastAsia="en-US"/>
              </w:rPr>
            </w:pPr>
            <w:r w:rsidRPr="009C1D27">
              <w:rPr>
                <w:bCs/>
                <w:lang w:val="uk-UA" w:eastAsia="en-US"/>
              </w:rPr>
              <w:lastRenderedPageBreak/>
              <w:t>Разом за рік, грн</w:t>
            </w:r>
          </w:p>
          <w:p w:rsidR="00B04981" w:rsidRPr="009C1D27" w:rsidRDefault="00B04981" w:rsidP="00500ED6">
            <w:pPr>
              <w:jc w:val="center"/>
              <w:rPr>
                <w:bCs/>
                <w:lang w:val="uk-UA" w:eastAsia="en-US"/>
              </w:rPr>
            </w:pPr>
          </w:p>
        </w:tc>
        <w:tc>
          <w:tcPr>
            <w:tcW w:w="1696" w:type="dxa"/>
          </w:tcPr>
          <w:p w:rsidR="00B04981" w:rsidRPr="009C1D27" w:rsidRDefault="00B04981" w:rsidP="00500ED6">
            <w:pPr>
              <w:jc w:val="center"/>
              <w:rPr>
                <w:bCs/>
                <w:lang w:val="uk-UA" w:eastAsia="en-US"/>
              </w:rPr>
            </w:pPr>
            <w:r w:rsidRPr="009C1D27">
              <w:rPr>
                <w:bCs/>
                <w:lang w:val="uk-UA" w:eastAsia="en-US"/>
              </w:rPr>
              <w:t>Витрати за п’ять років, грн</w:t>
            </w:r>
          </w:p>
          <w:p w:rsidR="00B04981" w:rsidRPr="009C1D27" w:rsidRDefault="00B04981" w:rsidP="00500ED6">
            <w:pPr>
              <w:jc w:val="center"/>
              <w:rPr>
                <w:bCs/>
                <w:lang w:val="uk-UA" w:eastAsia="en-US"/>
              </w:rPr>
            </w:pPr>
          </w:p>
        </w:tc>
      </w:tr>
      <w:tr w:rsidR="00B04981" w:rsidRPr="009C1D27" w:rsidTr="00500ED6">
        <w:tc>
          <w:tcPr>
            <w:tcW w:w="2547" w:type="dxa"/>
          </w:tcPr>
          <w:p w:rsidR="00B04981" w:rsidRPr="009C1D27" w:rsidRDefault="00B04981" w:rsidP="00500ED6">
            <w:pPr>
              <w:jc w:val="both"/>
              <w:rPr>
                <w:bCs/>
                <w:lang w:val="uk-UA" w:eastAsia="en-US"/>
              </w:rPr>
            </w:pPr>
            <w:r w:rsidRPr="009C1D27">
              <w:rPr>
                <w:bCs/>
                <w:lang w:val="uk-UA" w:eastAsia="en-US"/>
              </w:rPr>
              <w:lastRenderedPageBreak/>
              <w:t>Витрати, пов’язані із веденням обліку, підготовкою та поданням звітності державним органам (витрати часу персоналу)</w:t>
            </w:r>
          </w:p>
          <w:p w:rsidR="00B04981" w:rsidRPr="009C1D27" w:rsidRDefault="00B04981" w:rsidP="00500ED6">
            <w:pPr>
              <w:jc w:val="center"/>
              <w:rPr>
                <w:bCs/>
                <w:lang w:val="uk-UA" w:eastAsia="en-US"/>
              </w:rPr>
            </w:pPr>
          </w:p>
        </w:tc>
        <w:tc>
          <w:tcPr>
            <w:tcW w:w="2268" w:type="dxa"/>
          </w:tcPr>
          <w:p w:rsidR="00B04981" w:rsidRPr="009C1D27" w:rsidRDefault="00B04981" w:rsidP="00500ED6">
            <w:pPr>
              <w:jc w:val="both"/>
              <w:rPr>
                <w:bCs/>
                <w:lang w:val="uk-UA" w:eastAsia="en-US"/>
              </w:rPr>
            </w:pPr>
            <w:r w:rsidRPr="009C1D27">
              <w:rPr>
                <w:bCs/>
                <w:lang w:val="uk-UA" w:eastAsia="en-US"/>
              </w:rPr>
              <w:t>Витрати часу робітника одного підприємства на ознайомлення з новими нормами – 0,5 год.</w:t>
            </w:r>
          </w:p>
          <w:p w:rsidR="00B04981" w:rsidRPr="009C1D27" w:rsidRDefault="00B04981" w:rsidP="00500ED6">
            <w:pPr>
              <w:jc w:val="both"/>
              <w:rPr>
                <w:bCs/>
                <w:lang w:val="uk-UA" w:eastAsia="en-US"/>
              </w:rPr>
            </w:pPr>
            <w:r w:rsidRPr="009C1D27">
              <w:rPr>
                <w:bCs/>
                <w:lang w:val="uk-UA" w:eastAsia="en-US"/>
              </w:rPr>
              <w:t>Серед. заробітна плата в Україні у травні 2021 року – 13499 грн;</w:t>
            </w:r>
          </w:p>
          <w:p w:rsidR="00B04981" w:rsidRPr="009C1D27" w:rsidRDefault="00B04981" w:rsidP="00500ED6">
            <w:pPr>
              <w:jc w:val="both"/>
              <w:rPr>
                <w:bCs/>
                <w:lang w:val="uk-UA" w:eastAsia="en-US"/>
              </w:rPr>
            </w:pPr>
            <w:r w:rsidRPr="009C1D27">
              <w:rPr>
                <w:bCs/>
                <w:lang w:val="uk-UA" w:eastAsia="en-US"/>
              </w:rPr>
              <w:t>Серед. заробітна плата за годину у травні 2021 – 84,36 грн</w:t>
            </w:r>
          </w:p>
          <w:p w:rsidR="00B04981" w:rsidRPr="009C1D27" w:rsidRDefault="00B04981" w:rsidP="00500ED6">
            <w:pPr>
              <w:jc w:val="both"/>
              <w:rPr>
                <w:bCs/>
                <w:lang w:val="uk-UA" w:eastAsia="en-US"/>
              </w:rPr>
            </w:pPr>
            <w:r w:rsidRPr="009C1D27">
              <w:rPr>
                <w:bCs/>
                <w:lang w:val="uk-UA" w:eastAsia="en-US"/>
              </w:rPr>
              <w:t>Грошові затрати, понесені одним підприємством на вивчення нових норм законодавства – 42,18 гривень.</w:t>
            </w:r>
          </w:p>
        </w:tc>
        <w:tc>
          <w:tcPr>
            <w:tcW w:w="1559" w:type="dxa"/>
          </w:tcPr>
          <w:p w:rsidR="00B04981" w:rsidRPr="009C1D27" w:rsidRDefault="00B04981" w:rsidP="00500ED6">
            <w:pPr>
              <w:jc w:val="center"/>
              <w:rPr>
                <w:bCs/>
                <w:lang w:val="uk-UA" w:eastAsia="en-US"/>
              </w:rPr>
            </w:pPr>
            <w:r w:rsidRPr="009C1D27">
              <w:rPr>
                <w:bCs/>
                <w:lang w:val="uk-UA" w:eastAsia="en-US"/>
              </w:rPr>
              <w:t>Відсутні</w:t>
            </w:r>
          </w:p>
        </w:tc>
        <w:tc>
          <w:tcPr>
            <w:tcW w:w="1559" w:type="dxa"/>
          </w:tcPr>
          <w:p w:rsidR="00B04981" w:rsidRPr="009C1D27" w:rsidRDefault="00B04981" w:rsidP="00500ED6">
            <w:pPr>
              <w:jc w:val="center"/>
              <w:rPr>
                <w:bCs/>
                <w:lang w:val="uk-UA" w:eastAsia="en-US"/>
              </w:rPr>
            </w:pPr>
            <w:r w:rsidRPr="009C1D27">
              <w:rPr>
                <w:bCs/>
                <w:lang w:val="uk-UA" w:eastAsia="en-US"/>
              </w:rPr>
              <w:t xml:space="preserve">42,18 </w:t>
            </w:r>
          </w:p>
        </w:tc>
        <w:tc>
          <w:tcPr>
            <w:tcW w:w="1696" w:type="dxa"/>
          </w:tcPr>
          <w:p w:rsidR="00B04981" w:rsidRPr="009C1D27" w:rsidRDefault="00B04981" w:rsidP="00500ED6">
            <w:pPr>
              <w:jc w:val="center"/>
              <w:rPr>
                <w:bCs/>
                <w:lang w:val="uk-UA" w:eastAsia="en-US"/>
              </w:rPr>
            </w:pPr>
            <w:r w:rsidRPr="009C1D27">
              <w:rPr>
                <w:bCs/>
                <w:lang w:val="uk-UA" w:eastAsia="en-US"/>
              </w:rPr>
              <w:t>42,18</w:t>
            </w:r>
          </w:p>
        </w:tc>
      </w:tr>
    </w:tbl>
    <w:p w:rsidR="00B04981" w:rsidRPr="009C1D27" w:rsidRDefault="00B04981" w:rsidP="00B04981">
      <w:pPr>
        <w:ind w:firstLine="567"/>
        <w:jc w:val="both"/>
        <w:rPr>
          <w:rFonts w:eastAsia="Calibri"/>
          <w:bCs/>
          <w:sz w:val="28"/>
          <w:szCs w:val="28"/>
          <w:lang w:val="uk-UA" w:eastAsia="en-US"/>
        </w:rPr>
      </w:pPr>
    </w:p>
    <w:p w:rsidR="00B04981" w:rsidRPr="009C1D27" w:rsidRDefault="00B04981" w:rsidP="00B04981">
      <w:pPr>
        <w:ind w:firstLine="567"/>
        <w:jc w:val="both"/>
        <w:rPr>
          <w:rFonts w:eastAsia="Calibri"/>
          <w:bCs/>
          <w:sz w:val="28"/>
          <w:szCs w:val="28"/>
          <w:lang w:val="uk-UA" w:eastAsia="en-US"/>
        </w:rPr>
      </w:pPr>
      <w:r w:rsidRPr="009C1D27">
        <w:rPr>
          <w:rFonts w:eastAsia="Calibri"/>
          <w:bCs/>
          <w:sz w:val="28"/>
          <w:szCs w:val="28"/>
          <w:lang w:val="uk-UA" w:eastAsia="en-US"/>
        </w:rPr>
        <w:t>Альтернатива 2.</w:t>
      </w:r>
    </w:p>
    <w:p w:rsidR="00B04981" w:rsidRPr="009C1D27" w:rsidRDefault="00B04981" w:rsidP="00B04981">
      <w:pPr>
        <w:ind w:firstLine="567"/>
        <w:jc w:val="both"/>
        <w:rPr>
          <w:rFonts w:eastAsia="Calibri"/>
          <w:bCs/>
          <w:sz w:val="28"/>
          <w:szCs w:val="28"/>
          <w:lang w:val="uk-UA" w:eastAsia="en-US"/>
        </w:rPr>
      </w:pPr>
    </w:p>
    <w:tbl>
      <w:tblPr>
        <w:tblStyle w:val="ac"/>
        <w:tblW w:w="0" w:type="auto"/>
        <w:tblLook w:val="04A0" w:firstRow="1" w:lastRow="0" w:firstColumn="1" w:lastColumn="0" w:noHBand="0" w:noVBand="1"/>
      </w:tblPr>
      <w:tblGrid>
        <w:gridCol w:w="1678"/>
        <w:gridCol w:w="5029"/>
        <w:gridCol w:w="1376"/>
        <w:gridCol w:w="1546"/>
      </w:tblGrid>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Порядковий номер</w:t>
            </w:r>
          </w:p>
        </w:tc>
        <w:tc>
          <w:tcPr>
            <w:tcW w:w="5029" w:type="dxa"/>
          </w:tcPr>
          <w:p w:rsidR="00B04981" w:rsidRPr="009C1D27" w:rsidRDefault="00B04981" w:rsidP="00500ED6">
            <w:pPr>
              <w:jc w:val="center"/>
              <w:rPr>
                <w:bCs/>
                <w:lang w:val="uk-UA" w:eastAsia="en-US"/>
              </w:rPr>
            </w:pPr>
            <w:r w:rsidRPr="009C1D27">
              <w:rPr>
                <w:bCs/>
                <w:lang w:val="uk-UA" w:eastAsia="en-US"/>
              </w:rPr>
              <w:t>Витрати</w:t>
            </w:r>
          </w:p>
        </w:tc>
        <w:tc>
          <w:tcPr>
            <w:tcW w:w="1376" w:type="dxa"/>
          </w:tcPr>
          <w:p w:rsidR="00B04981" w:rsidRPr="009C1D27" w:rsidRDefault="00B04981" w:rsidP="00500ED6">
            <w:pPr>
              <w:jc w:val="center"/>
              <w:rPr>
                <w:bCs/>
                <w:lang w:val="uk-UA" w:eastAsia="en-US"/>
              </w:rPr>
            </w:pPr>
            <w:r w:rsidRPr="009C1D27">
              <w:rPr>
                <w:bCs/>
                <w:lang w:val="uk-UA" w:eastAsia="en-US"/>
              </w:rPr>
              <w:t>За перший рік</w:t>
            </w:r>
          </w:p>
        </w:tc>
        <w:tc>
          <w:tcPr>
            <w:tcW w:w="1546" w:type="dxa"/>
          </w:tcPr>
          <w:p w:rsidR="00B04981" w:rsidRPr="009C1D27" w:rsidRDefault="00B04981" w:rsidP="00500ED6">
            <w:pPr>
              <w:jc w:val="center"/>
              <w:rPr>
                <w:bCs/>
                <w:lang w:val="uk-UA" w:eastAsia="en-US"/>
              </w:rPr>
            </w:pPr>
            <w:r w:rsidRPr="009C1D27">
              <w:rPr>
                <w:bCs/>
                <w:lang w:val="uk-UA" w:eastAsia="en-US"/>
              </w:rPr>
              <w:t>За п’ять років</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1</w:t>
            </w:r>
          </w:p>
        </w:tc>
        <w:tc>
          <w:tcPr>
            <w:tcW w:w="5029" w:type="dxa"/>
          </w:tcPr>
          <w:p w:rsidR="00B04981" w:rsidRPr="009C1D27" w:rsidRDefault="00B04981" w:rsidP="00500ED6">
            <w:pPr>
              <w:jc w:val="both"/>
              <w:rPr>
                <w:bCs/>
                <w:lang w:val="uk-UA" w:eastAsia="en-US"/>
              </w:rPr>
            </w:pPr>
            <w:r w:rsidRPr="009C1D27">
              <w:rPr>
                <w:bCs/>
                <w:lang w:val="uk-UA" w:eastAsia="en-US"/>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376" w:type="dxa"/>
          </w:tcPr>
          <w:p w:rsidR="00B04981" w:rsidRPr="009C1D27" w:rsidRDefault="00B04981" w:rsidP="00500ED6">
            <w:pPr>
              <w:jc w:val="center"/>
              <w:rPr>
                <w:bCs/>
                <w:lang w:val="uk-UA" w:eastAsia="en-US"/>
              </w:rPr>
            </w:pPr>
            <w:r w:rsidRPr="009C1D27">
              <w:rPr>
                <w:bCs/>
                <w:lang w:val="uk-UA" w:eastAsia="en-US"/>
              </w:rPr>
              <w:t>-</w:t>
            </w:r>
          </w:p>
        </w:tc>
        <w:tc>
          <w:tcPr>
            <w:tcW w:w="1546"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2</w:t>
            </w:r>
          </w:p>
        </w:tc>
        <w:tc>
          <w:tcPr>
            <w:tcW w:w="5029" w:type="dxa"/>
          </w:tcPr>
          <w:p w:rsidR="00B04981" w:rsidRPr="009C1D27" w:rsidRDefault="00B04981" w:rsidP="00500ED6">
            <w:pPr>
              <w:jc w:val="both"/>
              <w:rPr>
                <w:bCs/>
                <w:lang w:val="uk-UA" w:eastAsia="en-US"/>
              </w:rPr>
            </w:pPr>
            <w:r w:rsidRPr="009C1D27">
              <w:rPr>
                <w:shd w:val="clear" w:color="auto" w:fill="FFFFFF"/>
                <w:lang w:val="uk-UA"/>
              </w:rPr>
              <w:t>Податки та збори (зміна розміру податків/зборів, виникнення необхідності у сплаті податків/зборів), гривень.</w:t>
            </w:r>
          </w:p>
        </w:tc>
        <w:tc>
          <w:tcPr>
            <w:tcW w:w="1376" w:type="dxa"/>
          </w:tcPr>
          <w:p w:rsidR="00B04981" w:rsidRPr="009C1D27" w:rsidRDefault="00B04981" w:rsidP="00500ED6">
            <w:pPr>
              <w:jc w:val="center"/>
              <w:rPr>
                <w:bCs/>
                <w:lang w:val="uk-UA" w:eastAsia="en-US"/>
              </w:rPr>
            </w:pPr>
            <w:r w:rsidRPr="009C1D27">
              <w:rPr>
                <w:bCs/>
                <w:lang w:val="uk-UA" w:eastAsia="en-US"/>
              </w:rPr>
              <w:t>-</w:t>
            </w:r>
          </w:p>
        </w:tc>
        <w:tc>
          <w:tcPr>
            <w:tcW w:w="1546"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3</w:t>
            </w:r>
          </w:p>
        </w:tc>
        <w:tc>
          <w:tcPr>
            <w:tcW w:w="5029" w:type="dxa"/>
          </w:tcPr>
          <w:p w:rsidR="00B04981" w:rsidRPr="009C1D27" w:rsidRDefault="00B04981" w:rsidP="00500ED6">
            <w:pPr>
              <w:jc w:val="both"/>
              <w:rPr>
                <w:bCs/>
                <w:lang w:val="uk-UA" w:eastAsia="en-US"/>
              </w:rPr>
            </w:pPr>
            <w:r w:rsidRPr="009C1D27">
              <w:rPr>
                <w:shd w:val="clear" w:color="auto" w:fill="FFFFFF"/>
                <w:lang w:val="uk-UA"/>
              </w:rPr>
              <w:t>Витрати, пов’язані із веденням обліку, підготовкою та поданням звітності державним органам, гривень</w:t>
            </w:r>
          </w:p>
        </w:tc>
        <w:tc>
          <w:tcPr>
            <w:tcW w:w="1376" w:type="dxa"/>
          </w:tcPr>
          <w:p w:rsidR="00B04981" w:rsidRPr="009C1D27" w:rsidRDefault="00B04981" w:rsidP="00500ED6">
            <w:pPr>
              <w:jc w:val="center"/>
              <w:rPr>
                <w:bCs/>
                <w:lang w:val="uk-UA" w:eastAsia="en-US"/>
              </w:rPr>
            </w:pPr>
            <w:r w:rsidRPr="009C1D27">
              <w:rPr>
                <w:bCs/>
                <w:lang w:val="uk-UA" w:eastAsia="en-US"/>
              </w:rPr>
              <w:t>-</w:t>
            </w:r>
          </w:p>
        </w:tc>
        <w:tc>
          <w:tcPr>
            <w:tcW w:w="1546"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4</w:t>
            </w:r>
          </w:p>
        </w:tc>
        <w:tc>
          <w:tcPr>
            <w:tcW w:w="5029" w:type="dxa"/>
          </w:tcPr>
          <w:p w:rsidR="00B04981" w:rsidRPr="009C1D27" w:rsidRDefault="00B04981" w:rsidP="00500ED6">
            <w:pPr>
              <w:jc w:val="both"/>
              <w:rPr>
                <w:bCs/>
                <w:lang w:val="uk-UA" w:eastAsia="en-US"/>
              </w:rPr>
            </w:pPr>
            <w:r w:rsidRPr="009C1D27">
              <w:rPr>
                <w:shd w:val="clear" w:color="auto" w:fill="FFFFFF"/>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376" w:type="dxa"/>
          </w:tcPr>
          <w:p w:rsidR="00B04981" w:rsidRPr="009C1D27" w:rsidRDefault="00B04981" w:rsidP="00500ED6">
            <w:pPr>
              <w:jc w:val="center"/>
              <w:rPr>
                <w:bCs/>
                <w:lang w:val="uk-UA" w:eastAsia="en-US"/>
              </w:rPr>
            </w:pPr>
            <w:r w:rsidRPr="009C1D27">
              <w:rPr>
                <w:bCs/>
                <w:lang w:val="uk-UA" w:eastAsia="en-US"/>
              </w:rPr>
              <w:t>-</w:t>
            </w:r>
          </w:p>
        </w:tc>
        <w:tc>
          <w:tcPr>
            <w:tcW w:w="1546"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5</w:t>
            </w:r>
          </w:p>
        </w:tc>
        <w:tc>
          <w:tcPr>
            <w:tcW w:w="5029" w:type="dxa"/>
          </w:tcPr>
          <w:p w:rsidR="00B04981" w:rsidRPr="009C1D27" w:rsidRDefault="00B04981" w:rsidP="00500ED6">
            <w:pPr>
              <w:jc w:val="both"/>
              <w:rPr>
                <w:bCs/>
                <w:lang w:val="uk-UA" w:eastAsia="en-US"/>
              </w:rPr>
            </w:pPr>
            <w:r w:rsidRPr="009C1D27">
              <w:rPr>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376" w:type="dxa"/>
          </w:tcPr>
          <w:p w:rsidR="00B04981" w:rsidRPr="009C1D27" w:rsidRDefault="00B04981" w:rsidP="00500ED6">
            <w:pPr>
              <w:jc w:val="center"/>
              <w:rPr>
                <w:bCs/>
                <w:lang w:val="uk-UA" w:eastAsia="en-US"/>
              </w:rPr>
            </w:pPr>
            <w:r w:rsidRPr="009C1D27">
              <w:rPr>
                <w:bCs/>
                <w:lang w:val="uk-UA" w:eastAsia="en-US"/>
              </w:rPr>
              <w:t>-</w:t>
            </w:r>
          </w:p>
        </w:tc>
        <w:tc>
          <w:tcPr>
            <w:tcW w:w="1546"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lastRenderedPageBreak/>
              <w:t>6</w:t>
            </w:r>
          </w:p>
        </w:tc>
        <w:tc>
          <w:tcPr>
            <w:tcW w:w="5029" w:type="dxa"/>
          </w:tcPr>
          <w:p w:rsidR="00B04981" w:rsidRPr="009C1D27" w:rsidRDefault="00B04981" w:rsidP="00500ED6">
            <w:pPr>
              <w:jc w:val="both"/>
              <w:rPr>
                <w:bCs/>
                <w:lang w:val="uk-UA" w:eastAsia="en-US"/>
              </w:rPr>
            </w:pPr>
            <w:r w:rsidRPr="009C1D27">
              <w:rPr>
                <w:shd w:val="clear" w:color="auto" w:fill="FFFFFF"/>
                <w:lang w:val="uk-UA"/>
              </w:rPr>
              <w:t>Витрати на оборотні активи (матеріали, канцелярські товари тощо), гривень.</w:t>
            </w:r>
          </w:p>
        </w:tc>
        <w:tc>
          <w:tcPr>
            <w:tcW w:w="1376" w:type="dxa"/>
          </w:tcPr>
          <w:p w:rsidR="00B04981" w:rsidRPr="009C1D27" w:rsidRDefault="00B04981" w:rsidP="00500ED6">
            <w:pPr>
              <w:jc w:val="center"/>
              <w:rPr>
                <w:bCs/>
                <w:lang w:val="uk-UA" w:eastAsia="en-US"/>
              </w:rPr>
            </w:pPr>
            <w:r w:rsidRPr="009C1D27">
              <w:rPr>
                <w:bCs/>
                <w:lang w:val="uk-UA" w:eastAsia="en-US"/>
              </w:rPr>
              <w:t>-</w:t>
            </w:r>
          </w:p>
        </w:tc>
        <w:tc>
          <w:tcPr>
            <w:tcW w:w="1546"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7</w:t>
            </w:r>
          </w:p>
        </w:tc>
        <w:tc>
          <w:tcPr>
            <w:tcW w:w="5029" w:type="dxa"/>
          </w:tcPr>
          <w:p w:rsidR="00B04981" w:rsidRPr="009C1D27" w:rsidRDefault="00B04981" w:rsidP="00500ED6">
            <w:pPr>
              <w:jc w:val="both"/>
              <w:rPr>
                <w:bCs/>
                <w:lang w:val="uk-UA" w:eastAsia="en-US"/>
              </w:rPr>
            </w:pPr>
            <w:r w:rsidRPr="009C1D27">
              <w:rPr>
                <w:shd w:val="clear" w:color="auto" w:fill="FFFFFF"/>
                <w:lang w:val="uk-UA"/>
              </w:rPr>
              <w:t xml:space="preserve">Витрати, пов’язані із </w:t>
            </w:r>
            <w:proofErr w:type="spellStart"/>
            <w:r w:rsidRPr="009C1D27">
              <w:rPr>
                <w:shd w:val="clear" w:color="auto" w:fill="FFFFFF"/>
                <w:lang w:val="uk-UA"/>
              </w:rPr>
              <w:t>наймом</w:t>
            </w:r>
            <w:proofErr w:type="spellEnd"/>
            <w:r w:rsidRPr="009C1D27">
              <w:rPr>
                <w:shd w:val="clear" w:color="auto" w:fill="FFFFFF"/>
                <w:lang w:val="uk-UA"/>
              </w:rPr>
              <w:t xml:space="preserve"> додаткового персоналу, гривень.</w:t>
            </w:r>
          </w:p>
        </w:tc>
        <w:tc>
          <w:tcPr>
            <w:tcW w:w="1376" w:type="dxa"/>
          </w:tcPr>
          <w:p w:rsidR="00B04981" w:rsidRPr="009C1D27" w:rsidRDefault="00B04981" w:rsidP="00500ED6">
            <w:pPr>
              <w:jc w:val="center"/>
              <w:rPr>
                <w:bCs/>
                <w:lang w:val="uk-UA" w:eastAsia="en-US"/>
              </w:rPr>
            </w:pPr>
            <w:r w:rsidRPr="009C1D27">
              <w:rPr>
                <w:bCs/>
                <w:lang w:val="uk-UA" w:eastAsia="en-US"/>
              </w:rPr>
              <w:t>-</w:t>
            </w:r>
          </w:p>
        </w:tc>
        <w:tc>
          <w:tcPr>
            <w:tcW w:w="1546" w:type="dxa"/>
          </w:tcPr>
          <w:p w:rsidR="00B04981" w:rsidRPr="009C1D27" w:rsidRDefault="00B04981" w:rsidP="00500ED6">
            <w:pPr>
              <w:jc w:val="center"/>
              <w:rPr>
                <w:bCs/>
                <w:lang w:val="uk-UA" w:eastAsia="en-US"/>
              </w:rPr>
            </w:pPr>
            <w:r w:rsidRPr="009C1D27">
              <w:rPr>
                <w:bCs/>
                <w:lang w:val="uk-UA" w:eastAsia="en-US"/>
              </w:rPr>
              <w:t>-</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8</w:t>
            </w:r>
          </w:p>
        </w:tc>
        <w:tc>
          <w:tcPr>
            <w:tcW w:w="5029" w:type="dxa"/>
          </w:tcPr>
          <w:p w:rsidR="00B04981" w:rsidRPr="009C1D27" w:rsidRDefault="00B04981" w:rsidP="00500ED6">
            <w:pPr>
              <w:ind w:firstLine="57"/>
              <w:jc w:val="both"/>
              <w:rPr>
                <w:bCs/>
                <w:lang w:val="uk-UA" w:eastAsia="en-US"/>
              </w:rPr>
            </w:pPr>
            <w:r w:rsidRPr="009C1D27">
              <w:rPr>
                <w:shd w:val="clear" w:color="auto" w:fill="FFFFFF"/>
                <w:lang w:val="uk-UA"/>
              </w:rPr>
              <w:t>Інше (відсутність можливості реалізувати немарковані рідини, що використовуються в електронних сигаретах), гривень.</w:t>
            </w:r>
          </w:p>
        </w:tc>
        <w:tc>
          <w:tcPr>
            <w:tcW w:w="1376" w:type="dxa"/>
          </w:tcPr>
          <w:p w:rsidR="00B04981" w:rsidRPr="009C1D27" w:rsidRDefault="00B04981" w:rsidP="00500ED6">
            <w:pPr>
              <w:jc w:val="center"/>
              <w:rPr>
                <w:bCs/>
                <w:lang w:val="uk-UA" w:eastAsia="en-US"/>
              </w:rPr>
            </w:pPr>
            <w:r w:rsidRPr="009C1D27">
              <w:rPr>
                <w:bCs/>
                <w:lang w:val="uk-UA" w:eastAsia="en-US"/>
              </w:rPr>
              <w:t>21 188,11</w:t>
            </w:r>
          </w:p>
        </w:tc>
        <w:tc>
          <w:tcPr>
            <w:tcW w:w="1546" w:type="dxa"/>
          </w:tcPr>
          <w:p w:rsidR="00B04981" w:rsidRPr="009C1D27" w:rsidRDefault="00B04981" w:rsidP="00500ED6">
            <w:pPr>
              <w:jc w:val="center"/>
              <w:rPr>
                <w:bCs/>
                <w:lang w:val="uk-UA" w:eastAsia="en-US"/>
              </w:rPr>
            </w:pPr>
            <w:r w:rsidRPr="009C1D27">
              <w:rPr>
                <w:bCs/>
                <w:lang w:val="uk-UA" w:eastAsia="en-US"/>
              </w:rPr>
              <w:t>105 940,55</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9</w:t>
            </w:r>
          </w:p>
        </w:tc>
        <w:tc>
          <w:tcPr>
            <w:tcW w:w="5029" w:type="dxa"/>
          </w:tcPr>
          <w:p w:rsidR="00B04981" w:rsidRPr="009C1D27" w:rsidRDefault="00B04981" w:rsidP="00500ED6">
            <w:pPr>
              <w:pStyle w:val="rvps14"/>
              <w:spacing w:before="150" w:after="150"/>
              <w:jc w:val="both"/>
            </w:pPr>
            <w:r w:rsidRPr="009C1D27">
              <w:t>РАЗОМ (сума рядків: 1 + 2 + 3 + 4 + 5 + 6 + 7 + 8), гривень.</w:t>
            </w:r>
          </w:p>
          <w:p w:rsidR="00B04981" w:rsidRPr="009C1D27" w:rsidRDefault="00B04981" w:rsidP="00500ED6">
            <w:pPr>
              <w:jc w:val="both"/>
              <w:rPr>
                <w:bCs/>
                <w:lang w:val="uk-UA" w:eastAsia="en-US"/>
              </w:rPr>
            </w:pPr>
          </w:p>
        </w:tc>
        <w:tc>
          <w:tcPr>
            <w:tcW w:w="1376" w:type="dxa"/>
          </w:tcPr>
          <w:p w:rsidR="00B04981" w:rsidRPr="009C1D27" w:rsidRDefault="00B04981" w:rsidP="00500ED6">
            <w:pPr>
              <w:jc w:val="center"/>
              <w:rPr>
                <w:bCs/>
                <w:lang w:val="uk-UA" w:eastAsia="en-US"/>
              </w:rPr>
            </w:pPr>
            <w:r w:rsidRPr="009C1D27">
              <w:rPr>
                <w:bCs/>
                <w:lang w:val="uk-UA" w:eastAsia="en-US"/>
              </w:rPr>
              <w:t>21 188,11</w:t>
            </w:r>
          </w:p>
        </w:tc>
        <w:tc>
          <w:tcPr>
            <w:tcW w:w="1546" w:type="dxa"/>
          </w:tcPr>
          <w:p w:rsidR="00B04981" w:rsidRPr="009C1D27" w:rsidRDefault="00B04981" w:rsidP="00500ED6">
            <w:pPr>
              <w:jc w:val="center"/>
              <w:rPr>
                <w:bCs/>
                <w:lang w:val="uk-UA" w:eastAsia="en-US"/>
              </w:rPr>
            </w:pPr>
            <w:r w:rsidRPr="009C1D27">
              <w:rPr>
                <w:bCs/>
                <w:lang w:val="uk-UA" w:eastAsia="en-US"/>
              </w:rPr>
              <w:t>105 940,55</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10</w:t>
            </w:r>
          </w:p>
        </w:tc>
        <w:tc>
          <w:tcPr>
            <w:tcW w:w="5029" w:type="dxa"/>
          </w:tcPr>
          <w:p w:rsidR="00B04981" w:rsidRPr="009C1D27" w:rsidRDefault="00B04981" w:rsidP="00500ED6">
            <w:pPr>
              <w:jc w:val="both"/>
              <w:rPr>
                <w:bCs/>
                <w:lang w:val="uk-UA" w:eastAsia="en-US"/>
              </w:rPr>
            </w:pPr>
            <w:r w:rsidRPr="009C1D27">
              <w:rPr>
                <w:shd w:val="clear" w:color="auto" w:fill="FFFFFF"/>
                <w:lang w:val="uk-UA"/>
              </w:rPr>
              <w:t>Кількість суб’єктів господарювання великого та середнього підприємництва, на яких буде поширено регулювання, одиниць.</w:t>
            </w:r>
          </w:p>
        </w:tc>
        <w:tc>
          <w:tcPr>
            <w:tcW w:w="1376" w:type="dxa"/>
          </w:tcPr>
          <w:p w:rsidR="00B04981" w:rsidRPr="009C1D27" w:rsidRDefault="00B04981" w:rsidP="00500ED6">
            <w:pPr>
              <w:jc w:val="center"/>
              <w:rPr>
                <w:bCs/>
                <w:lang w:val="uk-UA" w:eastAsia="en-US"/>
              </w:rPr>
            </w:pPr>
            <w:r w:rsidRPr="009C1D27">
              <w:rPr>
                <w:bCs/>
                <w:lang w:val="uk-UA" w:eastAsia="en-US"/>
              </w:rPr>
              <w:t>37</w:t>
            </w:r>
          </w:p>
        </w:tc>
        <w:tc>
          <w:tcPr>
            <w:tcW w:w="1546" w:type="dxa"/>
          </w:tcPr>
          <w:p w:rsidR="00B04981" w:rsidRPr="009C1D27" w:rsidRDefault="00B04981" w:rsidP="00500ED6">
            <w:pPr>
              <w:jc w:val="center"/>
              <w:rPr>
                <w:bCs/>
                <w:lang w:val="uk-UA" w:eastAsia="en-US"/>
              </w:rPr>
            </w:pPr>
            <w:r w:rsidRPr="009C1D27">
              <w:rPr>
                <w:bCs/>
                <w:lang w:val="uk-UA" w:eastAsia="en-US"/>
              </w:rPr>
              <w:t>37</w:t>
            </w:r>
          </w:p>
        </w:tc>
      </w:tr>
      <w:tr w:rsidR="00B04981" w:rsidRPr="009C1D27" w:rsidTr="00500ED6">
        <w:tc>
          <w:tcPr>
            <w:tcW w:w="1678" w:type="dxa"/>
          </w:tcPr>
          <w:p w:rsidR="00B04981" w:rsidRPr="009C1D27" w:rsidRDefault="00B04981" w:rsidP="00500ED6">
            <w:pPr>
              <w:jc w:val="center"/>
              <w:rPr>
                <w:bCs/>
                <w:lang w:val="uk-UA" w:eastAsia="en-US"/>
              </w:rPr>
            </w:pPr>
            <w:r w:rsidRPr="009C1D27">
              <w:rPr>
                <w:bCs/>
                <w:lang w:val="uk-UA" w:eastAsia="en-US"/>
              </w:rPr>
              <w:t>11</w:t>
            </w:r>
          </w:p>
        </w:tc>
        <w:tc>
          <w:tcPr>
            <w:tcW w:w="5029" w:type="dxa"/>
          </w:tcPr>
          <w:p w:rsidR="00B04981" w:rsidRPr="009C1D27" w:rsidRDefault="00B04981" w:rsidP="00500ED6">
            <w:pPr>
              <w:jc w:val="both"/>
              <w:rPr>
                <w:bCs/>
                <w:lang w:val="uk-UA" w:eastAsia="en-US"/>
              </w:rPr>
            </w:pPr>
            <w:r w:rsidRPr="009C1D27">
              <w:rPr>
                <w:shd w:val="clear" w:color="auto" w:fill="FFFFFF"/>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376" w:type="dxa"/>
          </w:tcPr>
          <w:p w:rsidR="00B04981" w:rsidRPr="009C1D27" w:rsidRDefault="00B04981" w:rsidP="00500ED6">
            <w:pPr>
              <w:jc w:val="center"/>
              <w:rPr>
                <w:bCs/>
                <w:lang w:val="uk-UA" w:eastAsia="en-US"/>
              </w:rPr>
            </w:pPr>
            <w:r w:rsidRPr="009C1D27">
              <w:rPr>
                <w:bCs/>
                <w:lang w:val="uk-UA" w:eastAsia="en-US"/>
              </w:rPr>
              <w:t>783 960,0</w:t>
            </w:r>
          </w:p>
        </w:tc>
        <w:tc>
          <w:tcPr>
            <w:tcW w:w="1546" w:type="dxa"/>
          </w:tcPr>
          <w:p w:rsidR="00B04981" w:rsidRPr="009C1D27" w:rsidRDefault="00B04981" w:rsidP="00500ED6">
            <w:pPr>
              <w:jc w:val="center"/>
              <w:rPr>
                <w:bCs/>
                <w:lang w:val="uk-UA" w:eastAsia="en-US"/>
              </w:rPr>
            </w:pPr>
            <w:r w:rsidRPr="009C1D27">
              <w:rPr>
                <w:bCs/>
                <w:lang w:val="uk-UA" w:eastAsia="en-US"/>
              </w:rPr>
              <w:t xml:space="preserve">3 919 800,0 </w:t>
            </w:r>
          </w:p>
        </w:tc>
      </w:tr>
    </w:tbl>
    <w:p w:rsidR="00B04981" w:rsidRPr="009C1D27" w:rsidRDefault="00B04981" w:rsidP="00B04981">
      <w:pPr>
        <w:ind w:firstLine="567"/>
        <w:jc w:val="both"/>
        <w:rPr>
          <w:rFonts w:eastAsia="Calibri"/>
          <w:bCs/>
          <w:sz w:val="28"/>
          <w:szCs w:val="28"/>
          <w:lang w:val="uk-UA" w:eastAsia="en-US"/>
        </w:rPr>
      </w:pPr>
    </w:p>
    <w:tbl>
      <w:tblPr>
        <w:tblStyle w:val="ac"/>
        <w:tblW w:w="0" w:type="auto"/>
        <w:tblLook w:val="04A0" w:firstRow="1" w:lastRow="0" w:firstColumn="1" w:lastColumn="0" w:noHBand="0" w:noVBand="1"/>
      </w:tblPr>
      <w:tblGrid>
        <w:gridCol w:w="3823"/>
        <w:gridCol w:w="2551"/>
        <w:gridCol w:w="2241"/>
      </w:tblGrid>
      <w:tr w:rsidR="00B04981" w:rsidRPr="009C1D27" w:rsidTr="00500ED6">
        <w:trPr>
          <w:trHeight w:val="866"/>
        </w:trPr>
        <w:tc>
          <w:tcPr>
            <w:tcW w:w="3823" w:type="dxa"/>
          </w:tcPr>
          <w:p w:rsidR="00B04981" w:rsidRPr="009C1D27" w:rsidRDefault="00B04981" w:rsidP="00500ED6">
            <w:pPr>
              <w:jc w:val="center"/>
              <w:rPr>
                <w:bCs/>
                <w:lang w:val="uk-UA" w:eastAsia="en-US"/>
              </w:rPr>
            </w:pPr>
            <w:r w:rsidRPr="009C1D27">
              <w:rPr>
                <w:bCs/>
                <w:lang w:val="uk-UA" w:eastAsia="en-US"/>
              </w:rPr>
              <w:t>Вид витрат</w:t>
            </w:r>
          </w:p>
          <w:p w:rsidR="00B04981" w:rsidRPr="009C1D27" w:rsidRDefault="00B04981" w:rsidP="00500ED6">
            <w:pPr>
              <w:jc w:val="center"/>
              <w:rPr>
                <w:bCs/>
                <w:lang w:val="uk-UA" w:eastAsia="en-US"/>
              </w:rPr>
            </w:pPr>
          </w:p>
        </w:tc>
        <w:tc>
          <w:tcPr>
            <w:tcW w:w="2551" w:type="dxa"/>
          </w:tcPr>
          <w:p w:rsidR="00B04981" w:rsidRPr="009C1D27" w:rsidRDefault="00B04981" w:rsidP="00500ED6">
            <w:pPr>
              <w:jc w:val="center"/>
              <w:rPr>
                <w:bCs/>
                <w:lang w:val="uk-UA" w:eastAsia="en-US"/>
              </w:rPr>
            </w:pPr>
            <w:r w:rsidRPr="009C1D27">
              <w:rPr>
                <w:bCs/>
                <w:lang w:val="uk-UA" w:eastAsia="en-US"/>
              </w:rPr>
              <w:t xml:space="preserve">Втрати суб’єктів господарювання </w:t>
            </w:r>
          </w:p>
          <w:p w:rsidR="00B04981" w:rsidRPr="009C1D27" w:rsidRDefault="00B04981" w:rsidP="00500ED6">
            <w:pPr>
              <w:jc w:val="center"/>
              <w:rPr>
                <w:bCs/>
                <w:lang w:val="uk-UA" w:eastAsia="en-US"/>
              </w:rPr>
            </w:pPr>
            <w:r w:rsidRPr="009C1D27">
              <w:rPr>
                <w:bCs/>
                <w:lang w:val="uk-UA" w:eastAsia="en-US"/>
              </w:rPr>
              <w:t>(за рік), грн</w:t>
            </w:r>
          </w:p>
        </w:tc>
        <w:tc>
          <w:tcPr>
            <w:tcW w:w="2241" w:type="dxa"/>
          </w:tcPr>
          <w:p w:rsidR="00B04981" w:rsidRPr="009C1D27" w:rsidRDefault="00B04981" w:rsidP="00500ED6">
            <w:pPr>
              <w:jc w:val="center"/>
              <w:rPr>
                <w:bCs/>
                <w:lang w:val="uk-UA" w:eastAsia="en-US"/>
              </w:rPr>
            </w:pPr>
            <w:r w:rsidRPr="009C1D27">
              <w:rPr>
                <w:bCs/>
                <w:lang w:val="uk-UA" w:eastAsia="en-US"/>
              </w:rPr>
              <w:t>Витрати за п’ять років, грн</w:t>
            </w:r>
          </w:p>
          <w:p w:rsidR="00B04981" w:rsidRPr="009C1D27" w:rsidRDefault="00B04981" w:rsidP="00500ED6">
            <w:pPr>
              <w:jc w:val="center"/>
              <w:rPr>
                <w:bCs/>
                <w:lang w:val="uk-UA" w:eastAsia="en-US"/>
              </w:rPr>
            </w:pPr>
          </w:p>
        </w:tc>
      </w:tr>
      <w:tr w:rsidR="00B04981" w:rsidRPr="009C1D27" w:rsidTr="00500ED6">
        <w:trPr>
          <w:trHeight w:val="1308"/>
        </w:trPr>
        <w:tc>
          <w:tcPr>
            <w:tcW w:w="3823" w:type="dxa"/>
          </w:tcPr>
          <w:p w:rsidR="00B04981" w:rsidRPr="009C1D27" w:rsidRDefault="00B04981" w:rsidP="00500ED6">
            <w:pPr>
              <w:jc w:val="both"/>
              <w:rPr>
                <w:bCs/>
                <w:lang w:val="uk-UA" w:eastAsia="en-US"/>
              </w:rPr>
            </w:pPr>
            <w:r w:rsidRPr="009C1D27">
              <w:rPr>
                <w:bCs/>
                <w:lang w:val="uk-UA" w:eastAsia="en-US"/>
              </w:rPr>
              <w:t>Інші витрати (</w:t>
            </w:r>
            <w:r w:rsidRPr="009C1D27">
              <w:rPr>
                <w:shd w:val="clear" w:color="auto" w:fill="FFFFFF"/>
                <w:lang w:val="uk-UA"/>
              </w:rPr>
              <w:t>неможливість реалізувати немарковані рідини, що використовуються в електронних сигаретах)</w:t>
            </w:r>
          </w:p>
          <w:p w:rsidR="00B04981" w:rsidRPr="009C1D27" w:rsidRDefault="00B04981" w:rsidP="00500ED6">
            <w:pPr>
              <w:jc w:val="center"/>
              <w:rPr>
                <w:bCs/>
                <w:lang w:val="uk-UA" w:eastAsia="en-US"/>
              </w:rPr>
            </w:pPr>
          </w:p>
        </w:tc>
        <w:tc>
          <w:tcPr>
            <w:tcW w:w="2551" w:type="dxa"/>
            <w:vAlign w:val="center"/>
          </w:tcPr>
          <w:p w:rsidR="00B04981" w:rsidRPr="009C1D27" w:rsidRDefault="00B04981" w:rsidP="00500ED6">
            <w:pPr>
              <w:jc w:val="both"/>
              <w:rPr>
                <w:bCs/>
                <w:lang w:val="uk-UA" w:eastAsia="en-US"/>
              </w:rPr>
            </w:pPr>
            <w:r w:rsidRPr="009C1D27">
              <w:rPr>
                <w:bCs/>
                <w:lang w:val="uk-UA" w:eastAsia="en-US"/>
              </w:rPr>
              <w:t>У 2019 році ввезено 871,08 тис. мл рідин.</w:t>
            </w:r>
          </w:p>
          <w:p w:rsidR="00B04981" w:rsidRPr="009C1D27" w:rsidRDefault="00B04981" w:rsidP="00500ED6">
            <w:pPr>
              <w:jc w:val="both"/>
              <w:rPr>
                <w:bCs/>
                <w:lang w:val="uk-UA" w:eastAsia="en-US"/>
              </w:rPr>
            </w:pPr>
            <w:r w:rsidRPr="009C1D27">
              <w:rPr>
                <w:bCs/>
                <w:lang w:val="uk-UA" w:eastAsia="en-US"/>
              </w:rPr>
              <w:t xml:space="preserve">Приблизно 30% рідин наразі неможливо маркувати акцизною маркою. </w:t>
            </w:r>
          </w:p>
          <w:p w:rsidR="00B04981" w:rsidRPr="009C1D27" w:rsidRDefault="00B04981" w:rsidP="00500ED6">
            <w:pPr>
              <w:jc w:val="both"/>
              <w:rPr>
                <w:bCs/>
                <w:lang w:val="uk-UA" w:eastAsia="en-US"/>
              </w:rPr>
            </w:pPr>
            <w:r w:rsidRPr="009C1D27">
              <w:rPr>
                <w:bCs/>
                <w:lang w:val="uk-UA" w:eastAsia="en-US"/>
              </w:rPr>
              <w:t>30% рідин – 261,32 тис. мл.</w:t>
            </w:r>
          </w:p>
          <w:p w:rsidR="00B04981" w:rsidRPr="009C1D27" w:rsidRDefault="00B04981" w:rsidP="00500ED6">
            <w:pPr>
              <w:jc w:val="both"/>
              <w:rPr>
                <w:bCs/>
                <w:lang w:val="uk-UA" w:eastAsia="en-US"/>
              </w:rPr>
            </w:pPr>
            <w:r w:rsidRPr="009C1D27">
              <w:rPr>
                <w:bCs/>
                <w:lang w:val="uk-UA" w:eastAsia="en-US"/>
              </w:rPr>
              <w:t>Середня роздрібна ціна за 1 мл рідини – 3 грн.</w:t>
            </w:r>
          </w:p>
          <w:p w:rsidR="00B04981" w:rsidRPr="009C1D27" w:rsidRDefault="00B04981" w:rsidP="00500ED6">
            <w:pPr>
              <w:jc w:val="both"/>
              <w:rPr>
                <w:bCs/>
                <w:lang w:val="uk-UA" w:eastAsia="en-US"/>
              </w:rPr>
            </w:pPr>
            <w:r w:rsidRPr="009C1D27">
              <w:rPr>
                <w:bCs/>
                <w:lang w:val="uk-UA" w:eastAsia="en-US"/>
              </w:rPr>
              <w:t>Суб’єктів господарювання що замовляють марки для рідин – 37.</w:t>
            </w:r>
          </w:p>
          <w:p w:rsidR="00B04981" w:rsidRPr="009C1D27" w:rsidRDefault="00B04981" w:rsidP="00500ED6">
            <w:pPr>
              <w:jc w:val="both"/>
              <w:rPr>
                <w:bCs/>
                <w:lang w:val="uk-UA" w:eastAsia="en-US"/>
              </w:rPr>
            </w:pPr>
            <w:r w:rsidRPr="009C1D27">
              <w:rPr>
                <w:bCs/>
                <w:lang w:val="uk-UA" w:eastAsia="en-US"/>
              </w:rPr>
              <w:t>Рідин в середньому у 1 суб’єкта – 7,06 тис. мл.</w:t>
            </w:r>
          </w:p>
          <w:p w:rsidR="00B04981" w:rsidRPr="009C1D27" w:rsidRDefault="00B04981" w:rsidP="00500ED6">
            <w:pPr>
              <w:jc w:val="both"/>
              <w:rPr>
                <w:bCs/>
                <w:lang w:val="uk-UA" w:eastAsia="en-US"/>
              </w:rPr>
            </w:pPr>
            <w:r w:rsidRPr="009C1D27">
              <w:rPr>
                <w:bCs/>
                <w:lang w:val="uk-UA" w:eastAsia="en-US"/>
              </w:rPr>
              <w:t>Втрати одного суб’єкта – 7,06 тис. мл. * 3 грн * 1000 = 21 188,11 грн.</w:t>
            </w:r>
          </w:p>
          <w:p w:rsidR="00B04981" w:rsidRPr="009C1D27" w:rsidRDefault="00B04981" w:rsidP="00500ED6">
            <w:pPr>
              <w:jc w:val="both"/>
              <w:rPr>
                <w:bCs/>
                <w:lang w:val="uk-UA" w:eastAsia="en-US"/>
              </w:rPr>
            </w:pPr>
          </w:p>
          <w:p w:rsidR="00B04981" w:rsidRPr="009C1D27" w:rsidRDefault="00B04981" w:rsidP="00500ED6">
            <w:pPr>
              <w:jc w:val="both"/>
              <w:rPr>
                <w:bCs/>
                <w:lang w:val="uk-UA" w:eastAsia="en-US"/>
              </w:rPr>
            </w:pPr>
            <w:r w:rsidRPr="009C1D27">
              <w:rPr>
                <w:bCs/>
                <w:lang w:val="uk-UA" w:eastAsia="en-US"/>
              </w:rPr>
              <w:t>Втрати всіх суб’єктів – 783 960,0</w:t>
            </w:r>
          </w:p>
        </w:tc>
        <w:tc>
          <w:tcPr>
            <w:tcW w:w="2241" w:type="dxa"/>
            <w:vAlign w:val="center"/>
          </w:tcPr>
          <w:p w:rsidR="00B04981" w:rsidRPr="009C1D27" w:rsidRDefault="00B04981" w:rsidP="00500ED6">
            <w:pPr>
              <w:jc w:val="center"/>
              <w:rPr>
                <w:bCs/>
                <w:lang w:val="uk-UA" w:eastAsia="en-US"/>
              </w:rPr>
            </w:pPr>
            <w:r w:rsidRPr="009C1D27">
              <w:rPr>
                <w:bCs/>
                <w:lang w:val="uk-UA" w:eastAsia="en-US"/>
              </w:rPr>
              <w:t>Одного суб’єкта - 105 940,55;</w:t>
            </w:r>
          </w:p>
          <w:p w:rsidR="00B04981" w:rsidRPr="009C1D27" w:rsidRDefault="00B04981" w:rsidP="00500ED6">
            <w:pPr>
              <w:jc w:val="center"/>
              <w:rPr>
                <w:bCs/>
                <w:lang w:val="uk-UA" w:eastAsia="en-US"/>
              </w:rPr>
            </w:pPr>
          </w:p>
          <w:p w:rsidR="00B04981" w:rsidRPr="009C1D27" w:rsidRDefault="00B04981" w:rsidP="00500ED6">
            <w:pPr>
              <w:jc w:val="center"/>
              <w:rPr>
                <w:bCs/>
                <w:lang w:val="uk-UA" w:eastAsia="en-US"/>
              </w:rPr>
            </w:pPr>
            <w:r w:rsidRPr="009C1D27">
              <w:rPr>
                <w:bCs/>
                <w:lang w:val="uk-UA" w:eastAsia="en-US"/>
              </w:rPr>
              <w:t>Всіх суб’єктів - 3 919 800,0</w:t>
            </w:r>
          </w:p>
        </w:tc>
      </w:tr>
    </w:tbl>
    <w:p w:rsidR="00B04981" w:rsidRPr="009C1D27" w:rsidRDefault="00B04981" w:rsidP="00B04981">
      <w:pPr>
        <w:ind w:firstLine="567"/>
        <w:jc w:val="both"/>
        <w:rPr>
          <w:rFonts w:eastAsia="Calibri"/>
          <w:bCs/>
          <w:sz w:val="28"/>
          <w:szCs w:val="28"/>
          <w:lang w:val="uk-UA" w:eastAsia="en-US"/>
        </w:rPr>
      </w:pPr>
    </w:p>
    <w:p w:rsidR="00421F63" w:rsidRDefault="00421F63"/>
    <w:sectPr w:rsidR="00421F63" w:rsidSect="003B47A6">
      <w:headerReference w:type="even" r:id="rId5"/>
      <w:headerReference w:type="default" r:id="rId6"/>
      <w:pgSz w:w="11906" w:h="16838"/>
      <w:pgMar w:top="1134" w:right="566"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A2" w:rsidRDefault="00B049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2BA2" w:rsidRDefault="00B049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A2" w:rsidRPr="00203C4D" w:rsidRDefault="00B04981">
    <w:pPr>
      <w:pStyle w:val="a5"/>
      <w:framePr w:wrap="around" w:vAnchor="text" w:hAnchor="margin" w:xAlign="center" w:y="1"/>
      <w:rPr>
        <w:rStyle w:val="a7"/>
        <w:sz w:val="20"/>
        <w:szCs w:val="20"/>
      </w:rPr>
    </w:pPr>
    <w:r w:rsidRPr="00203C4D">
      <w:rPr>
        <w:rStyle w:val="a7"/>
        <w:sz w:val="20"/>
        <w:szCs w:val="20"/>
      </w:rPr>
      <w:fldChar w:fldCharType="begin"/>
    </w:r>
    <w:r w:rsidRPr="00203C4D">
      <w:rPr>
        <w:rStyle w:val="a7"/>
        <w:sz w:val="20"/>
        <w:szCs w:val="20"/>
      </w:rPr>
      <w:instrText xml:space="preserve">PAGE  </w:instrText>
    </w:r>
    <w:r w:rsidRPr="00203C4D">
      <w:rPr>
        <w:rStyle w:val="a7"/>
        <w:sz w:val="20"/>
        <w:szCs w:val="20"/>
      </w:rPr>
      <w:fldChar w:fldCharType="separate"/>
    </w:r>
    <w:r>
      <w:rPr>
        <w:rStyle w:val="a7"/>
        <w:noProof/>
        <w:sz w:val="20"/>
        <w:szCs w:val="20"/>
      </w:rPr>
      <w:t>2</w:t>
    </w:r>
    <w:r w:rsidRPr="00203C4D">
      <w:rPr>
        <w:rStyle w:val="a7"/>
        <w:sz w:val="20"/>
        <w:szCs w:val="20"/>
      </w:rPr>
      <w:fldChar w:fldCharType="end"/>
    </w:r>
  </w:p>
  <w:p w:rsidR="00732BA2" w:rsidRPr="00203C4D" w:rsidRDefault="00B04981">
    <w:pPr>
      <w:pStyle w:val="a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64964"/>
    <w:multiLevelType w:val="hybridMultilevel"/>
    <w:tmpl w:val="39CA5864"/>
    <w:lvl w:ilvl="0" w:tplc="1402EE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0E"/>
    <w:rsid w:val="00421F63"/>
    <w:rsid w:val="00836D0E"/>
    <w:rsid w:val="00B049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3E66D-A19A-46F3-9140-0D5F0EA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981"/>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B04981"/>
    <w:pPr>
      <w:spacing w:before="100" w:beforeAutospacing="1" w:after="100" w:afterAutospacing="1"/>
      <w:outlineLvl w:val="2"/>
    </w:pPr>
    <w:rPr>
      <w:rFonts w:eastAsia="SimSu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4981"/>
    <w:rPr>
      <w:rFonts w:ascii="Times New Roman" w:eastAsia="SimSun" w:hAnsi="Times New Roman" w:cs="Times New Roman"/>
      <w:b/>
      <w:bCs/>
      <w:sz w:val="27"/>
      <w:szCs w:val="27"/>
      <w:lang w:val="ru-RU" w:eastAsia="ru-RU"/>
    </w:rPr>
  </w:style>
  <w:style w:type="paragraph" w:styleId="a3">
    <w:name w:val="Body Text"/>
    <w:basedOn w:val="a"/>
    <w:link w:val="a4"/>
    <w:rsid w:val="00B04981"/>
    <w:pPr>
      <w:jc w:val="center"/>
    </w:pPr>
    <w:rPr>
      <w:rFonts w:ascii="Times New Roman CYR" w:hAnsi="Times New Roman CYR"/>
      <w:b/>
      <w:sz w:val="32"/>
      <w:szCs w:val="20"/>
      <w:lang w:val="uk-UA"/>
    </w:rPr>
  </w:style>
  <w:style w:type="character" w:customStyle="1" w:styleId="a4">
    <w:name w:val="Основний текст Знак"/>
    <w:basedOn w:val="a0"/>
    <w:link w:val="a3"/>
    <w:rsid w:val="00B04981"/>
    <w:rPr>
      <w:rFonts w:ascii="Times New Roman CYR" w:eastAsia="Times New Roman" w:hAnsi="Times New Roman CYR" w:cs="Times New Roman"/>
      <w:b/>
      <w:sz w:val="32"/>
      <w:szCs w:val="20"/>
      <w:lang w:eastAsia="ru-RU"/>
    </w:rPr>
  </w:style>
  <w:style w:type="paragraph" w:styleId="a5">
    <w:name w:val="header"/>
    <w:basedOn w:val="a"/>
    <w:link w:val="a6"/>
    <w:rsid w:val="00B04981"/>
    <w:pPr>
      <w:tabs>
        <w:tab w:val="center" w:pos="4677"/>
        <w:tab w:val="right" w:pos="9355"/>
      </w:tabs>
    </w:pPr>
  </w:style>
  <w:style w:type="character" w:customStyle="1" w:styleId="a6">
    <w:name w:val="Верхній колонтитул Знак"/>
    <w:basedOn w:val="a0"/>
    <w:link w:val="a5"/>
    <w:rsid w:val="00B04981"/>
    <w:rPr>
      <w:rFonts w:ascii="Times New Roman" w:eastAsia="Times New Roman" w:hAnsi="Times New Roman" w:cs="Times New Roman"/>
      <w:sz w:val="24"/>
      <w:szCs w:val="24"/>
      <w:lang w:val="ru-RU" w:eastAsia="ru-RU"/>
    </w:rPr>
  </w:style>
  <w:style w:type="character" w:styleId="a7">
    <w:name w:val="page number"/>
    <w:basedOn w:val="a0"/>
    <w:rsid w:val="00B04981"/>
  </w:style>
  <w:style w:type="paragraph" w:customStyle="1" w:styleId="a8">
    <w:name w:val="a"/>
    <w:basedOn w:val="a"/>
    <w:rsid w:val="00B04981"/>
    <w:pPr>
      <w:spacing w:before="100" w:beforeAutospacing="1" w:after="100" w:afterAutospacing="1"/>
    </w:pPr>
  </w:style>
  <w:style w:type="paragraph" w:customStyle="1" w:styleId="Default">
    <w:name w:val="Default"/>
    <w:rsid w:val="00B04981"/>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9">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a"/>
    <w:uiPriority w:val="99"/>
    <w:unhideWhenUsed/>
    <w:rsid w:val="00B04981"/>
    <w:pPr>
      <w:spacing w:before="100" w:beforeAutospacing="1" w:after="100" w:afterAutospacing="1"/>
    </w:pPr>
  </w:style>
  <w:style w:type="character" w:customStyle="1" w:styleId="aa">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1"/>
    <w:link w:val="a9"/>
    <w:uiPriority w:val="99"/>
    <w:locked/>
    <w:rsid w:val="00B04981"/>
    <w:rPr>
      <w:rFonts w:ascii="Times New Roman" w:eastAsia="Times New Roman" w:hAnsi="Times New Roman" w:cs="Times New Roman"/>
      <w:sz w:val="24"/>
      <w:szCs w:val="24"/>
      <w:lang w:val="ru-RU" w:eastAsia="ru-RU"/>
    </w:rPr>
  </w:style>
  <w:style w:type="paragraph" w:customStyle="1" w:styleId="ab">
    <w:name w:val="Нормальний текст"/>
    <w:basedOn w:val="a"/>
    <w:rsid w:val="00B04981"/>
    <w:pPr>
      <w:spacing w:before="120"/>
      <w:ind w:firstLine="567"/>
      <w:jc w:val="both"/>
    </w:pPr>
    <w:rPr>
      <w:rFonts w:ascii="Antiqua" w:hAnsi="Antiqua" w:cs="Antiqua"/>
      <w:sz w:val="26"/>
      <w:szCs w:val="26"/>
      <w:lang w:val="uk-UA"/>
    </w:rPr>
  </w:style>
  <w:style w:type="table" w:styleId="ac">
    <w:name w:val="Table Grid"/>
    <w:basedOn w:val="a1"/>
    <w:uiPriority w:val="39"/>
    <w:rsid w:val="00B0498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B04981"/>
    <w:pPr>
      <w:spacing w:before="100" w:beforeAutospacing="1" w:after="100" w:afterAutospacing="1"/>
    </w:pPr>
    <w:rPr>
      <w:lang w:val="uk-UA" w:eastAsia="uk-UA"/>
    </w:rPr>
  </w:style>
  <w:style w:type="character" w:customStyle="1" w:styleId="rvts15">
    <w:name w:val="rvts15"/>
    <w:basedOn w:val="a0"/>
    <w:rsid w:val="00B04981"/>
  </w:style>
  <w:style w:type="paragraph" w:customStyle="1" w:styleId="rvps14">
    <w:name w:val="rvps14"/>
    <w:basedOn w:val="a"/>
    <w:rsid w:val="00B04981"/>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12588</Words>
  <Characters>7176</Characters>
  <Application>Microsoft Office Word</Application>
  <DocSecurity>0</DocSecurity>
  <Lines>59</Lines>
  <Paragraphs>39</Paragraphs>
  <ScaleCrop>false</ScaleCrop>
  <Company>MINFIN</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Орлянський Олексій Андрійович</dc:creator>
  <cp:keywords/>
  <dc:description/>
  <cp:lastModifiedBy>Орлянський Олексій Андрійович</cp:lastModifiedBy>
  <cp:revision>2</cp:revision>
  <dcterms:created xsi:type="dcterms:W3CDTF">2021-07-08T06:12:00Z</dcterms:created>
  <dcterms:modified xsi:type="dcterms:W3CDTF">2021-07-08T06:12:00Z</dcterms:modified>
</cp:coreProperties>
</file>