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E2" w:rsidRPr="00933440" w:rsidRDefault="009F44E2" w:rsidP="009F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40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AB6237" w:rsidRPr="00933440" w:rsidRDefault="009F44E2" w:rsidP="00AB6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40">
        <w:rPr>
          <w:rFonts w:ascii="Times New Roman" w:hAnsi="Times New Roman" w:cs="Times New Roman"/>
          <w:b/>
          <w:sz w:val="28"/>
          <w:szCs w:val="28"/>
        </w:rPr>
        <w:t xml:space="preserve">до проекту </w:t>
      </w:r>
      <w:r w:rsidR="00AB6237" w:rsidRPr="00933440">
        <w:rPr>
          <w:rFonts w:ascii="Times New Roman" w:hAnsi="Times New Roman" w:cs="Times New Roman"/>
          <w:b/>
          <w:sz w:val="28"/>
          <w:szCs w:val="28"/>
        </w:rPr>
        <w:t>Закону України «</w:t>
      </w:r>
      <w:r w:rsidR="005E655E" w:rsidRPr="00933440">
        <w:rPr>
          <w:rFonts w:ascii="Times New Roman" w:hAnsi="Times New Roman" w:cs="Times New Roman"/>
          <w:b/>
          <w:sz w:val="28"/>
          <w:szCs w:val="28"/>
        </w:rPr>
        <w:t>Про внесення змін до Закону України «Про застосування реєстраторів розрахункових операцій у сфері торгівлі, громадського харчування та послуг</w:t>
      </w:r>
      <w:r w:rsidR="00AB6237" w:rsidRPr="00933440">
        <w:rPr>
          <w:rFonts w:ascii="Times New Roman" w:hAnsi="Times New Roman" w:cs="Times New Roman"/>
          <w:b/>
          <w:sz w:val="28"/>
          <w:szCs w:val="28"/>
        </w:rPr>
        <w:t>»</w:t>
      </w:r>
    </w:p>
    <w:p w:rsidR="005E655E" w:rsidRPr="00933440" w:rsidRDefault="005E655E" w:rsidP="00AB6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E2" w:rsidRPr="00933440" w:rsidRDefault="009F44E2" w:rsidP="00AB6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40">
        <w:rPr>
          <w:rFonts w:ascii="Times New Roman" w:hAnsi="Times New Roman" w:cs="Times New Roman"/>
          <w:b/>
          <w:sz w:val="28"/>
          <w:szCs w:val="28"/>
        </w:rPr>
        <w:t>I. Визначення проблеми</w:t>
      </w:r>
    </w:p>
    <w:p w:rsidR="005E655E" w:rsidRPr="00933440" w:rsidRDefault="005E655E" w:rsidP="005E655E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Пунктом 4 статті 9 Закону України «Про застосування реєстраторів розрахункових операцій у сфері торгівлі, громадського харчування та послуг» передбачено, що реєстратори розрахункових операцій та розрахункові книжки не застосовуються, зокрема, «при продажу білетів державних лотерей через електронну систему прийняття ставок, що контролюється у режимі реального часу центральним органом виконавчої влади, що реалізує державну політику у сфері казначейського обслуговування бюджетних коштів».</w:t>
      </w:r>
    </w:p>
    <w:p w:rsidR="005E655E" w:rsidRPr="00933440" w:rsidRDefault="005E655E" w:rsidP="005E655E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Також Державна казначейська служба України (далі – Казначейство) зазначає, що контроль за проведенням лотерей не належить до профільних функцій Казначейства.</w:t>
      </w:r>
    </w:p>
    <w:p w:rsidR="005E655E" w:rsidRPr="00933440" w:rsidRDefault="005E655E" w:rsidP="005E655E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 xml:space="preserve">Крім того, за інформацією Казначейства, зняття (формування) інформації про сплату участі у лотереях за допомогою технічних засобів організаторів лотерей проводиться як Казначейством України, так і організаторами лотерей з однієї інформаційної бази даних, яка </w:t>
      </w:r>
      <w:proofErr w:type="spellStart"/>
      <w:r w:rsidRPr="00933440">
        <w:rPr>
          <w:rFonts w:ascii="Times New Roman" w:hAnsi="Times New Roman" w:cs="Times New Roman"/>
          <w:sz w:val="28"/>
          <w:szCs w:val="28"/>
        </w:rPr>
        <w:t>адмініструється</w:t>
      </w:r>
      <w:proofErr w:type="spellEnd"/>
      <w:r w:rsidRPr="00933440">
        <w:rPr>
          <w:rFonts w:ascii="Times New Roman" w:hAnsi="Times New Roman" w:cs="Times New Roman"/>
          <w:sz w:val="28"/>
          <w:szCs w:val="28"/>
        </w:rPr>
        <w:t xml:space="preserve"> останніми. В таких умовах Казначейство не може ні підтвердити, ні спростувати достовірність отриманої інформації про обсяги сплати у лотереях.</w:t>
      </w:r>
    </w:p>
    <w:p w:rsidR="005E655E" w:rsidRPr="00933440" w:rsidRDefault="005E655E" w:rsidP="005E655E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Слід зазначити, що відповідно до пункту 16 статті 1 Закону України «Про державні лотереї в Україні» використання електронної системи прийняття ставок не вимагається при проведенні миттєвих лотерей.</w:t>
      </w:r>
    </w:p>
    <w:p w:rsidR="00E9683D" w:rsidRPr="00E9683D" w:rsidRDefault="00E9683D" w:rsidP="00E9683D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3D">
        <w:rPr>
          <w:rFonts w:ascii="Times New Roman" w:hAnsi="Times New Roman" w:cs="Times New Roman"/>
          <w:sz w:val="28"/>
          <w:szCs w:val="28"/>
        </w:rPr>
        <w:t xml:space="preserve">Фактично із 137 лотереї, які на сьогодні проводяться організаторами лотерей, Казначейство отримує дані про сплату участі лише щодо 18 тиражних лотерей, що становить 13% лотерей. </w:t>
      </w:r>
    </w:p>
    <w:p w:rsidR="00CB401C" w:rsidRPr="00CB401C" w:rsidRDefault="00CB401C" w:rsidP="00CB401C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1C">
        <w:rPr>
          <w:rFonts w:ascii="Times New Roman" w:hAnsi="Times New Roman" w:cs="Times New Roman"/>
          <w:sz w:val="28"/>
          <w:szCs w:val="28"/>
        </w:rPr>
        <w:t>Відповідно до Податкового кодексу України (з урахуванням змін, внесених Законом №1797 «Про внесення змін до Податкового кодексу України щодо покращення інвестиційного клімату в Україні») суб’єкти, що здійснюють випуск та проведення лотерей, нараховують на сплачують:</w:t>
      </w:r>
    </w:p>
    <w:p w:rsidR="00CB401C" w:rsidRPr="00CB401C" w:rsidRDefault="00CB401C" w:rsidP="00CB401C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1C">
        <w:rPr>
          <w:rFonts w:ascii="Times New Roman" w:hAnsi="Times New Roman" w:cs="Times New Roman"/>
          <w:sz w:val="28"/>
          <w:szCs w:val="28"/>
        </w:rPr>
        <w:t>- податок на прибуток від діяльності, яка не пов’язана із випуском та проведенням лотерей, за базовою (основною) ставкою податку (18%).</w:t>
      </w:r>
    </w:p>
    <w:p w:rsidR="00CB401C" w:rsidRPr="00CB401C" w:rsidRDefault="00CB401C" w:rsidP="00CB401C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1C">
        <w:rPr>
          <w:rFonts w:ascii="Times New Roman" w:hAnsi="Times New Roman" w:cs="Times New Roman"/>
          <w:sz w:val="28"/>
          <w:szCs w:val="28"/>
        </w:rPr>
        <w:t xml:space="preserve">- податок на дохід від операцій з випуску та проведення лотерей за ставкою 30 відсотків з урахуванням положень пункту 47 підрозділу 4 розділу </w:t>
      </w:r>
      <w:r w:rsidRPr="00CB401C">
        <w:rPr>
          <w:rFonts w:ascii="Times New Roman" w:hAnsi="Times New Roman" w:cs="Times New Roman"/>
          <w:sz w:val="28"/>
          <w:szCs w:val="28"/>
        </w:rPr>
        <w:lastRenderedPageBreak/>
        <w:t xml:space="preserve">XX цього Кодексу, а саме: з 01.01.2017 по 31.12.2017 включно - 18 %; з 01.01.2018 по 31.12.2018 включно - 24 %; з 01.01.2019 по 31.12.2019 включно – 26 %; з 01.01.2020  по 31 грудня 2020 включно – 28 %; з 01.01.2021 – 30%. При цьому, нарахований податок на дохід за ставкою, не є різницею та не зменшує фінансовий результат до оподаткування податком на прибуток, отриманий таким суб’єктом. </w:t>
      </w:r>
    </w:p>
    <w:p w:rsidR="00CB401C" w:rsidRPr="00CB401C" w:rsidRDefault="00CB401C" w:rsidP="00CB401C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1C">
        <w:rPr>
          <w:rFonts w:ascii="Times New Roman" w:hAnsi="Times New Roman" w:cs="Times New Roman"/>
          <w:sz w:val="28"/>
          <w:szCs w:val="28"/>
        </w:rPr>
        <w:t>При цьому, Законом №1797 положення Кодекс доповнено визначенням терміну «дохід суб’єктів, які здійснюють випуск та проведення лотерей, від операцій з випуску та проведення лотерей» (підпункт 14.1.271 пункту 14.1 статті 14) одночасно із ставкою податку на прибуток (18%) сплачують податок на дохід (10% доходу, отриманого від діяльності);</w:t>
      </w:r>
    </w:p>
    <w:p w:rsidR="005E655E" w:rsidRPr="00933440" w:rsidRDefault="00CB401C" w:rsidP="00CB401C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1C">
        <w:rPr>
          <w:rFonts w:ascii="Times New Roman" w:hAnsi="Times New Roman" w:cs="Times New Roman"/>
          <w:sz w:val="28"/>
          <w:szCs w:val="28"/>
        </w:rPr>
        <w:t>Крім того, організатори лотерей як податкові агенти сплачують податок з виграшу у лотерею (15%) та військовий збір (1,5%).</w:t>
      </w:r>
      <w:r w:rsidR="00E9683D" w:rsidRPr="00E9683D">
        <w:rPr>
          <w:rFonts w:ascii="Times New Roman" w:hAnsi="Times New Roman" w:cs="Times New Roman"/>
          <w:sz w:val="28"/>
          <w:szCs w:val="28"/>
        </w:rPr>
        <w:t xml:space="preserve"> </w:t>
      </w:r>
      <w:r w:rsidR="005E655E" w:rsidRPr="00933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55E" w:rsidRPr="00933440" w:rsidRDefault="005E655E" w:rsidP="005E655E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 xml:space="preserve">Отже, проблема, що потребує врегулювання і на вирішення якої спрямовано цей проект акта, це необхідність забезпечення адміністрування оподатковуваного доходу організаторів лотерей і оподатковуваного виграшу у лотереях, а також встановлення відповідальності за </w:t>
      </w:r>
      <w:proofErr w:type="spellStart"/>
      <w:r w:rsidRPr="00933440">
        <w:rPr>
          <w:rFonts w:ascii="Times New Roman" w:hAnsi="Times New Roman" w:cs="Times New Roman"/>
          <w:sz w:val="28"/>
          <w:szCs w:val="28"/>
        </w:rPr>
        <w:t>невідображення</w:t>
      </w:r>
      <w:proofErr w:type="spellEnd"/>
      <w:r w:rsidRPr="00933440">
        <w:rPr>
          <w:rFonts w:ascii="Times New Roman" w:hAnsi="Times New Roman" w:cs="Times New Roman"/>
          <w:sz w:val="28"/>
          <w:szCs w:val="28"/>
        </w:rPr>
        <w:t xml:space="preserve"> розрахункових операцій, пов’язаних із прийняттям ставок та виплатою виграшів.</w:t>
      </w:r>
    </w:p>
    <w:p w:rsidR="005E655E" w:rsidRPr="00933440" w:rsidRDefault="005E655E" w:rsidP="005E655E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З метою врегулювання порушених питань підготовлено проект Закону України «Про внесення змін до Закону України «Про застосування реєстраторів розрахункових операцій у сфері торгівлі, громадського харчування та послуг».</w:t>
      </w:r>
    </w:p>
    <w:p w:rsidR="005E655E" w:rsidRPr="00933440" w:rsidRDefault="005E655E" w:rsidP="005E655E">
      <w:pPr>
        <w:spacing w:before="10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440">
        <w:rPr>
          <w:rFonts w:ascii="Times New Roman" w:hAnsi="Times New Roman" w:cs="Times New Roman"/>
          <w:b/>
          <w:i/>
          <w:sz w:val="28"/>
          <w:szCs w:val="28"/>
        </w:rPr>
        <w:t>Обґрунтування необхідності державного регулювання:</w:t>
      </w:r>
    </w:p>
    <w:p w:rsidR="005E655E" w:rsidRPr="00933440" w:rsidRDefault="005E655E" w:rsidP="005E655E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Необхідність прийняття акта зумовлена потребою вдосконалення законодавства з питань застосування реєстраторів розрахункових операцій.</w:t>
      </w:r>
    </w:p>
    <w:p w:rsidR="005E655E" w:rsidRPr="00933440" w:rsidRDefault="005E655E" w:rsidP="005E655E">
      <w:pPr>
        <w:spacing w:before="10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Основні групи, на які проблема справляє вплив: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10CD7" w:rsidRPr="00933440" w:rsidTr="00310CD7">
        <w:tc>
          <w:tcPr>
            <w:tcW w:w="3285" w:type="dxa"/>
          </w:tcPr>
          <w:p w:rsidR="00310CD7" w:rsidRPr="00933440" w:rsidRDefault="00244046" w:rsidP="0024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Групи (підгрупи)</w:t>
            </w:r>
          </w:p>
        </w:tc>
        <w:tc>
          <w:tcPr>
            <w:tcW w:w="3285" w:type="dxa"/>
          </w:tcPr>
          <w:p w:rsidR="00310CD7" w:rsidRPr="00933440" w:rsidRDefault="00244046" w:rsidP="0024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3285" w:type="dxa"/>
          </w:tcPr>
          <w:p w:rsidR="00310CD7" w:rsidRPr="00933440" w:rsidRDefault="00244046" w:rsidP="0024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310CD7" w:rsidRPr="00933440" w:rsidTr="00310CD7">
        <w:tc>
          <w:tcPr>
            <w:tcW w:w="3285" w:type="dxa"/>
          </w:tcPr>
          <w:p w:rsidR="00310CD7" w:rsidRPr="00933440" w:rsidRDefault="00244046" w:rsidP="009F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3285" w:type="dxa"/>
          </w:tcPr>
          <w:p w:rsidR="00310CD7" w:rsidRPr="00933440" w:rsidRDefault="00310CD7" w:rsidP="00D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10CD7" w:rsidRPr="00933440" w:rsidRDefault="00F22894" w:rsidP="005E6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10CD7" w:rsidRPr="00933440" w:rsidTr="00310CD7">
        <w:tc>
          <w:tcPr>
            <w:tcW w:w="3285" w:type="dxa"/>
          </w:tcPr>
          <w:p w:rsidR="00310CD7" w:rsidRPr="00933440" w:rsidRDefault="00244046" w:rsidP="009F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3285" w:type="dxa"/>
          </w:tcPr>
          <w:p w:rsidR="00310CD7" w:rsidRPr="00933440" w:rsidRDefault="00DA3317" w:rsidP="00D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5" w:type="dxa"/>
          </w:tcPr>
          <w:p w:rsidR="00310CD7" w:rsidRPr="00933440" w:rsidRDefault="00310CD7" w:rsidP="00D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D7" w:rsidRPr="00933440" w:rsidTr="00310CD7">
        <w:tc>
          <w:tcPr>
            <w:tcW w:w="3285" w:type="dxa"/>
          </w:tcPr>
          <w:p w:rsidR="00310CD7" w:rsidRPr="00933440" w:rsidRDefault="00244046" w:rsidP="009F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3285" w:type="dxa"/>
          </w:tcPr>
          <w:p w:rsidR="00310CD7" w:rsidRPr="00933440" w:rsidRDefault="00DA3317" w:rsidP="00D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5" w:type="dxa"/>
          </w:tcPr>
          <w:p w:rsidR="00310CD7" w:rsidRPr="00933440" w:rsidRDefault="00310CD7" w:rsidP="00D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D7" w:rsidRPr="00933440" w:rsidTr="00310CD7">
        <w:tc>
          <w:tcPr>
            <w:tcW w:w="3285" w:type="dxa"/>
          </w:tcPr>
          <w:p w:rsidR="00310CD7" w:rsidRPr="00933440" w:rsidRDefault="00244046" w:rsidP="009F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у тому числі суб’єкти малого підприємництва</w:t>
            </w:r>
          </w:p>
        </w:tc>
        <w:tc>
          <w:tcPr>
            <w:tcW w:w="3285" w:type="dxa"/>
          </w:tcPr>
          <w:p w:rsidR="00310CD7" w:rsidRPr="00933440" w:rsidRDefault="00DA3317" w:rsidP="00D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5" w:type="dxa"/>
          </w:tcPr>
          <w:p w:rsidR="00310CD7" w:rsidRPr="00933440" w:rsidRDefault="00310CD7" w:rsidP="009F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757" w:rsidRPr="00933440" w:rsidRDefault="00796757" w:rsidP="0079675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E2" w:rsidRPr="00933440" w:rsidRDefault="009F44E2" w:rsidP="0079675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40">
        <w:rPr>
          <w:rFonts w:ascii="Times New Roman" w:hAnsi="Times New Roman" w:cs="Times New Roman"/>
          <w:b/>
          <w:sz w:val="28"/>
          <w:szCs w:val="28"/>
        </w:rPr>
        <w:t>II. Цілі державного регулювання</w:t>
      </w:r>
    </w:p>
    <w:p w:rsidR="0036624B" w:rsidRPr="00933440" w:rsidRDefault="0036624B" w:rsidP="00796757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М</w:t>
      </w:r>
      <w:r w:rsidR="009F44E2" w:rsidRPr="00933440">
        <w:rPr>
          <w:rFonts w:ascii="Times New Roman" w:hAnsi="Times New Roman" w:cs="Times New Roman"/>
          <w:sz w:val="28"/>
          <w:szCs w:val="28"/>
        </w:rPr>
        <w:t>ето</w:t>
      </w:r>
      <w:r w:rsidR="00796757" w:rsidRPr="00933440">
        <w:rPr>
          <w:rFonts w:ascii="Times New Roman" w:hAnsi="Times New Roman" w:cs="Times New Roman"/>
          <w:sz w:val="28"/>
          <w:szCs w:val="28"/>
        </w:rPr>
        <w:t xml:space="preserve">ю </w:t>
      </w:r>
      <w:r w:rsidRPr="00933440">
        <w:rPr>
          <w:rFonts w:ascii="Times New Roman" w:hAnsi="Times New Roman" w:cs="Times New Roman"/>
          <w:sz w:val="28"/>
          <w:szCs w:val="28"/>
        </w:rPr>
        <w:t>розробки вказаного законопроекту є:</w:t>
      </w:r>
    </w:p>
    <w:p w:rsidR="0036624B" w:rsidRPr="00933440" w:rsidRDefault="0036624B" w:rsidP="0036624B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-</w:t>
      </w:r>
      <w:r w:rsidRPr="00933440">
        <w:rPr>
          <w:rFonts w:ascii="Times New Roman" w:hAnsi="Times New Roman" w:cs="Times New Roman"/>
          <w:sz w:val="28"/>
          <w:szCs w:val="28"/>
        </w:rPr>
        <w:tab/>
        <w:t>забезпечення фіскалізації операцій з прийняття ставок у лотерею та з виплати виграшів у лотерею;</w:t>
      </w:r>
    </w:p>
    <w:p w:rsidR="009F44E2" w:rsidRPr="00933440" w:rsidRDefault="0036624B" w:rsidP="0036624B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33440">
        <w:rPr>
          <w:rFonts w:ascii="Times New Roman" w:hAnsi="Times New Roman" w:cs="Times New Roman"/>
          <w:sz w:val="28"/>
          <w:szCs w:val="28"/>
        </w:rPr>
        <w:tab/>
        <w:t>забезпечення потреб державного бюджету, захист прав і законних інтересів громадян.</w:t>
      </w:r>
    </w:p>
    <w:p w:rsidR="00796757" w:rsidRPr="00933440" w:rsidRDefault="009F44E2" w:rsidP="00796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40">
        <w:rPr>
          <w:rFonts w:ascii="Times New Roman" w:hAnsi="Times New Roman" w:cs="Times New Roman"/>
          <w:b/>
          <w:sz w:val="28"/>
          <w:szCs w:val="28"/>
        </w:rPr>
        <w:t>III. Визначення та оцінка альтернативних способів досягнення цілей</w:t>
      </w:r>
    </w:p>
    <w:p w:rsidR="0036624B" w:rsidRPr="00933440" w:rsidRDefault="0036624B" w:rsidP="0036624B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1. Альтернативні способи досягнення цілей державного регулювання:</w:t>
      </w:r>
    </w:p>
    <w:tbl>
      <w:tblPr>
        <w:tblW w:w="4912" w:type="pct"/>
        <w:tblCellSpacing w:w="22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3"/>
        <w:gridCol w:w="7301"/>
      </w:tblGrid>
      <w:tr w:rsidR="0036624B" w:rsidRPr="00933440" w:rsidTr="0036624B">
        <w:trPr>
          <w:tblCellSpacing w:w="22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6D0CA7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33440">
              <w:rPr>
                <w:sz w:val="24"/>
                <w:szCs w:val="24"/>
              </w:rPr>
              <w:t>Вид альтернативи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6D0CA7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33440">
              <w:rPr>
                <w:sz w:val="24"/>
                <w:szCs w:val="24"/>
              </w:rPr>
              <w:t>Опис альтернативи</w:t>
            </w:r>
          </w:p>
        </w:tc>
      </w:tr>
      <w:tr w:rsidR="0036624B" w:rsidRPr="00933440" w:rsidTr="0036624B">
        <w:trPr>
          <w:tblCellSpacing w:w="22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6D0CA7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33440">
              <w:rPr>
                <w:sz w:val="24"/>
                <w:szCs w:val="24"/>
              </w:rPr>
              <w:t>Альтернатива 1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6D0CA7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33440">
              <w:rPr>
                <w:sz w:val="24"/>
                <w:szCs w:val="24"/>
              </w:rPr>
              <w:t>Збереження існуючого стану</w:t>
            </w:r>
          </w:p>
        </w:tc>
      </w:tr>
      <w:tr w:rsidR="0036624B" w:rsidRPr="00933440" w:rsidTr="0036624B">
        <w:trPr>
          <w:tblCellSpacing w:w="22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6D0CA7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33440">
              <w:rPr>
                <w:sz w:val="24"/>
                <w:szCs w:val="24"/>
              </w:rPr>
              <w:t>Альтернатива 2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7761E5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33440">
              <w:rPr>
                <w:sz w:val="24"/>
                <w:szCs w:val="24"/>
              </w:rPr>
              <w:t>Внесення змін до</w:t>
            </w:r>
            <w:r w:rsidR="007761E5" w:rsidRPr="00933440">
              <w:rPr>
                <w:sz w:val="24"/>
                <w:szCs w:val="24"/>
              </w:rPr>
              <w:t xml:space="preserve"> Закону України «Про застосування реєстраторів розрахункових операцій у сфері торгівлі, громадського харчування та послуг»</w:t>
            </w:r>
            <w:r w:rsidRPr="00933440">
              <w:rPr>
                <w:sz w:val="24"/>
                <w:szCs w:val="24"/>
              </w:rPr>
              <w:t>, що пропонуються актом</w:t>
            </w:r>
          </w:p>
        </w:tc>
      </w:tr>
    </w:tbl>
    <w:p w:rsidR="0036624B" w:rsidRPr="00933440" w:rsidRDefault="0036624B" w:rsidP="0036624B">
      <w:pPr>
        <w:pStyle w:val="a9"/>
        <w:spacing w:before="12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33440">
        <w:rPr>
          <w:sz w:val="28"/>
          <w:szCs w:val="28"/>
          <w:lang w:val="uk-UA"/>
        </w:rPr>
        <w:t>2. Оцінка впливу на сферу інтересів держави:</w:t>
      </w:r>
    </w:p>
    <w:tbl>
      <w:tblPr>
        <w:tblW w:w="4973" w:type="pct"/>
        <w:tblCellSpacing w:w="22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8"/>
        <w:gridCol w:w="3858"/>
        <w:gridCol w:w="3838"/>
      </w:tblGrid>
      <w:tr w:rsidR="0036624B" w:rsidRPr="00933440" w:rsidTr="006D0CA7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6D0CA7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Вид альтернативи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6D0CA7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Вигоди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6D0CA7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Витрати</w:t>
            </w:r>
          </w:p>
        </w:tc>
      </w:tr>
      <w:tr w:rsidR="0036624B" w:rsidRPr="00933440" w:rsidTr="006D0CA7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6D0CA7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933440">
              <w:rPr>
                <w:lang w:val="uk-UA"/>
              </w:rPr>
              <w:t>Альтернатива 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7761E5">
            <w:pPr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40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382A" w:rsidRPr="00933440" w:rsidRDefault="0027382A" w:rsidP="007761E5">
            <w:pPr>
              <w:widowControl w:val="0"/>
              <w:spacing w:after="0"/>
              <w:ind w:right="120" w:firstLine="295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93344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 неналежний облік операцій продажу білетів державних лотерей;</w:t>
            </w:r>
          </w:p>
          <w:p w:rsidR="0036624B" w:rsidRPr="00933440" w:rsidRDefault="0027382A" w:rsidP="007761E5">
            <w:pPr>
              <w:widowControl w:val="0"/>
              <w:spacing w:after="0"/>
              <w:ind w:right="120" w:firstLine="295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93344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  втрати доходів бюджетів від недонадходження податків і зборів з операцій, пов’язаних із прийняттям ставок та виплатою виграшів.</w:t>
            </w:r>
          </w:p>
        </w:tc>
      </w:tr>
      <w:tr w:rsidR="0036624B" w:rsidRPr="00933440" w:rsidTr="006D0CA7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6D0CA7">
            <w:pPr>
              <w:pStyle w:val="a9"/>
              <w:rPr>
                <w:highlight w:val="yellow"/>
                <w:lang w:val="uk-UA"/>
              </w:rPr>
            </w:pPr>
            <w:r w:rsidRPr="00933440">
              <w:rPr>
                <w:lang w:val="uk-UA"/>
              </w:rPr>
              <w:t>Альтернатива 2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08E6" w:rsidRPr="00933440" w:rsidRDefault="009708E6" w:rsidP="007761E5">
            <w:pPr>
              <w:widowControl w:val="0"/>
              <w:spacing w:after="0"/>
              <w:ind w:right="120"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- створення дієвого механізму обліку операцій з продажу державних лотерей, який забезпечить отримання контролюючими органами достовірної інформації про обсяги сплати у лотереях;</w:t>
            </w:r>
          </w:p>
          <w:p w:rsidR="0036624B" w:rsidRPr="00933440" w:rsidRDefault="0027382A" w:rsidP="007761E5">
            <w:pPr>
              <w:widowControl w:val="0"/>
              <w:spacing w:after="0"/>
              <w:ind w:right="120"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- збільшення надходжень до бюджетів усіх рівнів за рахунок забезпечення фіскалізації операцій з прийняття ставок у лотерею та з виплати виграшів у лотерею;</w:t>
            </w:r>
          </w:p>
          <w:p w:rsidR="0027382A" w:rsidRPr="00933440" w:rsidRDefault="0027382A" w:rsidP="007761E5">
            <w:pPr>
              <w:widowControl w:val="0"/>
              <w:spacing w:after="0"/>
              <w:ind w:right="120"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 xml:space="preserve">- визначення механізму встановлення відповідальності за </w:t>
            </w:r>
            <w:proofErr w:type="spellStart"/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невідображення</w:t>
            </w:r>
            <w:proofErr w:type="spellEnd"/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 xml:space="preserve"> розрахункових операцій, пов’язаних із прийняттям ставок та виплатою виграшів.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7761E5">
            <w:pPr>
              <w:pStyle w:val="a9"/>
              <w:spacing w:before="0" w:beforeAutospacing="0" w:after="0" w:afterAutospacing="0"/>
              <w:ind w:firstLine="295"/>
              <w:jc w:val="both"/>
              <w:rPr>
                <w:lang w:val="uk-UA"/>
              </w:rPr>
            </w:pPr>
            <w:r w:rsidRPr="00933440">
              <w:rPr>
                <w:lang w:val="uk-UA"/>
              </w:rPr>
              <w:t>Відсутні</w:t>
            </w:r>
          </w:p>
        </w:tc>
      </w:tr>
    </w:tbl>
    <w:p w:rsidR="00F22894" w:rsidRDefault="0036624B" w:rsidP="0036624B">
      <w:pPr>
        <w:pStyle w:val="a9"/>
        <w:spacing w:before="12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33440">
        <w:rPr>
          <w:sz w:val="28"/>
          <w:szCs w:val="28"/>
          <w:lang w:val="uk-UA"/>
        </w:rPr>
        <w:t xml:space="preserve">3. </w:t>
      </w:r>
      <w:r w:rsidR="00F22894" w:rsidRPr="00F22894">
        <w:rPr>
          <w:sz w:val="28"/>
          <w:szCs w:val="28"/>
          <w:lang w:val="uk-UA"/>
        </w:rPr>
        <w:t>Проект постанови не поширюється та не впливає на сферу інтересів громадян.</w:t>
      </w:r>
    </w:p>
    <w:p w:rsidR="0036624B" w:rsidRPr="00933440" w:rsidRDefault="0036624B" w:rsidP="0036624B">
      <w:pPr>
        <w:pStyle w:val="a9"/>
        <w:spacing w:before="12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33440">
        <w:rPr>
          <w:sz w:val="28"/>
          <w:szCs w:val="28"/>
          <w:lang w:val="uk-UA"/>
        </w:rPr>
        <w:t>4. Оцінка впливу на сферу інтересів суб’єктів господарювання, у тому числі суб’єктів малого підприємництва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3"/>
        <w:gridCol w:w="3990"/>
        <w:gridCol w:w="3674"/>
      </w:tblGrid>
      <w:tr w:rsidR="0036624B" w:rsidRPr="00933440" w:rsidTr="006D0CA7">
        <w:trPr>
          <w:tblCellSpacing w:w="22" w:type="dxa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708E6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lastRenderedPageBreak/>
              <w:t>Вид альтернативи</w:t>
            </w: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708E6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Вигоди</w:t>
            </w:r>
          </w:p>
        </w:tc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708E6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Витрати</w:t>
            </w:r>
          </w:p>
        </w:tc>
      </w:tr>
      <w:tr w:rsidR="0036624B" w:rsidRPr="00933440" w:rsidTr="006D0CA7">
        <w:trPr>
          <w:tblCellSpacing w:w="22" w:type="dxa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708E6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933440">
              <w:rPr>
                <w:lang w:val="uk-UA"/>
              </w:rPr>
              <w:t>Альтернатива 1</w:t>
            </w: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708E6">
            <w:pPr>
              <w:pStyle w:val="a9"/>
              <w:spacing w:before="0" w:beforeAutospacing="0" w:after="0" w:afterAutospacing="0"/>
              <w:ind w:firstLine="217"/>
              <w:jc w:val="both"/>
              <w:rPr>
                <w:lang w:val="uk-UA"/>
              </w:rPr>
            </w:pPr>
            <w:r w:rsidRPr="00933440">
              <w:rPr>
                <w:lang w:val="uk-UA"/>
              </w:rPr>
              <w:t>Відсутні</w:t>
            </w:r>
          </w:p>
          <w:p w:rsidR="0036624B" w:rsidRPr="00933440" w:rsidRDefault="0036624B" w:rsidP="009708E6">
            <w:pPr>
              <w:pStyle w:val="a9"/>
              <w:spacing w:before="0" w:beforeAutospacing="0" w:after="0" w:afterAutospacing="0"/>
              <w:ind w:firstLine="217"/>
              <w:jc w:val="both"/>
              <w:rPr>
                <w:lang w:val="uk-UA"/>
              </w:rPr>
            </w:pPr>
          </w:p>
          <w:p w:rsidR="0036624B" w:rsidRPr="00933440" w:rsidRDefault="0036624B" w:rsidP="009708E6">
            <w:pPr>
              <w:pStyle w:val="a9"/>
              <w:spacing w:before="0" w:beforeAutospacing="0" w:after="0" w:afterAutospacing="0"/>
              <w:ind w:firstLine="217"/>
              <w:jc w:val="both"/>
              <w:rPr>
                <w:lang w:val="uk-UA"/>
              </w:rPr>
            </w:pPr>
          </w:p>
        </w:tc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24B" w:rsidRPr="00933440" w:rsidRDefault="0036624B" w:rsidP="009708E6">
            <w:pPr>
              <w:spacing w:after="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40">
              <w:rPr>
                <w:rFonts w:ascii="Times New Roman" w:hAnsi="Times New Roman" w:cs="Times New Roman"/>
                <w:sz w:val="24"/>
                <w:szCs w:val="24"/>
              </w:rPr>
              <w:t xml:space="preserve">Відсутність можливості </w:t>
            </w:r>
            <w:r w:rsidR="009708E6" w:rsidRPr="00933440">
              <w:rPr>
                <w:rFonts w:ascii="Times New Roman" w:hAnsi="Times New Roman" w:cs="Times New Roman"/>
                <w:sz w:val="24"/>
                <w:szCs w:val="24"/>
              </w:rPr>
              <w:t>забезпечити належний облік та звітування перед контролюючими органами щодо обсягів оподатковуваного доходу організаторів лотерей і оподатковуваного виграшу у лотереях.</w:t>
            </w:r>
          </w:p>
        </w:tc>
      </w:tr>
      <w:tr w:rsidR="0036624B" w:rsidRPr="00933440" w:rsidTr="006D0CA7">
        <w:trPr>
          <w:tblCellSpacing w:w="22" w:type="dxa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708E6">
            <w:pPr>
              <w:pStyle w:val="a9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933440">
              <w:rPr>
                <w:lang w:val="uk-UA"/>
              </w:rPr>
              <w:t>Альтернатива 2</w:t>
            </w: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F22894">
            <w:pPr>
              <w:spacing w:after="0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34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</w:t>
            </w:r>
            <w:r w:rsidR="00F22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Забезпечення належного обліку сум </w:t>
            </w:r>
            <w:r w:rsidR="00F22894" w:rsidRPr="00F22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доход</w:t>
            </w:r>
            <w:r w:rsidR="00F22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ів</w:t>
            </w:r>
            <w:r w:rsidR="00F22894" w:rsidRPr="00F22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організаторів лотерей і оподатковуваного виграшу</w:t>
            </w:r>
            <w:r w:rsidR="00F22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F22894" w:rsidRPr="00F22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 лотереях</w:t>
            </w:r>
            <w:r w:rsidR="00F22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їх учасників.</w:t>
            </w:r>
          </w:p>
        </w:tc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708E6">
            <w:pPr>
              <w:spacing w:after="0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40">
              <w:rPr>
                <w:rFonts w:ascii="Times New Roman" w:hAnsi="Times New Roman" w:cs="Times New Roman"/>
                <w:sz w:val="24"/>
                <w:szCs w:val="24"/>
              </w:rPr>
              <w:t xml:space="preserve">Посилення відповідальності за порушення вимог </w:t>
            </w:r>
            <w:r w:rsidR="009708E6" w:rsidRPr="00933440">
              <w:rPr>
                <w:rFonts w:ascii="Times New Roman" w:hAnsi="Times New Roman" w:cs="Times New Roman"/>
                <w:sz w:val="24"/>
                <w:szCs w:val="24"/>
              </w:rPr>
              <w:t>законодавства щодо порядку обліку розрахункових операцій з продажу білетів державних лотерей</w:t>
            </w:r>
            <w:r w:rsidRPr="00933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24B" w:rsidRPr="00933440" w:rsidRDefault="0036624B" w:rsidP="009708E6">
            <w:pPr>
              <w:pStyle w:val="a9"/>
              <w:spacing w:before="0" w:beforeAutospacing="0" w:after="0" w:afterAutospacing="0"/>
              <w:ind w:firstLine="222"/>
              <w:jc w:val="both"/>
              <w:rPr>
                <w:lang w:val="uk-UA"/>
              </w:rPr>
            </w:pPr>
          </w:p>
        </w:tc>
      </w:tr>
    </w:tbl>
    <w:p w:rsidR="0036624B" w:rsidRPr="00933440" w:rsidRDefault="0036624B" w:rsidP="0036624B">
      <w:pPr>
        <w:pStyle w:val="3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IV. Вибір найбільш оптимального альтернативного способу досягнення цілей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2"/>
        <w:gridCol w:w="2051"/>
        <w:gridCol w:w="5854"/>
      </w:tblGrid>
      <w:tr w:rsidR="0036624B" w:rsidRPr="00933440" w:rsidTr="006D0CA7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24B" w:rsidRPr="00933440" w:rsidRDefault="0036624B" w:rsidP="0093344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24B" w:rsidRPr="00933440" w:rsidRDefault="0036624B" w:rsidP="00933440">
            <w:pPr>
              <w:pStyle w:val="a9"/>
              <w:spacing w:before="0" w:beforeAutospacing="0" w:after="0" w:afterAutospacing="0"/>
              <w:ind w:left="-45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24B" w:rsidRPr="00933440" w:rsidRDefault="0036624B" w:rsidP="00933440">
            <w:pPr>
              <w:pStyle w:val="a9"/>
              <w:spacing w:before="0" w:beforeAutospacing="0" w:after="0" w:afterAutospacing="0"/>
              <w:ind w:firstLine="300"/>
              <w:jc w:val="both"/>
              <w:rPr>
                <w:lang w:val="uk-UA"/>
              </w:rPr>
            </w:pPr>
            <w:r w:rsidRPr="00933440">
              <w:rPr>
                <w:lang w:val="uk-UA"/>
              </w:rPr>
              <w:t>Коментарі щодо присвоєння відповідного бала</w:t>
            </w:r>
          </w:p>
        </w:tc>
      </w:tr>
      <w:tr w:rsidR="0036624B" w:rsidRPr="00933440" w:rsidTr="006D0CA7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3344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933440">
              <w:rPr>
                <w:lang w:val="uk-UA"/>
              </w:rPr>
              <w:t>Альтернатива 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3344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1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0B7CA7">
            <w:pPr>
              <w:widowControl w:val="0"/>
              <w:autoSpaceDE w:val="0"/>
              <w:autoSpaceDN w:val="0"/>
              <w:adjustRightInd w:val="0"/>
              <w:spacing w:after="0"/>
              <w:ind w:firstLine="301"/>
              <w:jc w:val="both"/>
              <w:rPr>
                <w:rFonts w:ascii="Times New Roman" w:hAnsi="Times New Roman" w:cs="Times New Roman"/>
                <w:lang w:val="uk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 xml:space="preserve">Наявність прогалин у законодавстві, які дозволяють уникати </w:t>
            </w:r>
            <w:r w:rsidR="000B7CA7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 xml:space="preserve">здійснення </w:t>
            </w:r>
            <w:r w:rsidR="000B7CA7" w:rsidRPr="00933440">
              <w:rPr>
                <w:rFonts w:ascii="Times New Roman" w:hAnsi="Times New Roman" w:cs="Times New Roman"/>
                <w:sz w:val="24"/>
                <w:szCs w:val="24"/>
              </w:rPr>
              <w:t>належн</w:t>
            </w:r>
            <w:r w:rsidR="000B7CA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B7CA7" w:rsidRPr="00933440">
              <w:rPr>
                <w:rFonts w:ascii="Times New Roman" w:hAnsi="Times New Roman" w:cs="Times New Roman"/>
                <w:sz w:val="24"/>
                <w:szCs w:val="24"/>
              </w:rPr>
              <w:t xml:space="preserve"> облік</w:t>
            </w:r>
            <w:r w:rsidR="000B7C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CA7" w:rsidRPr="00933440">
              <w:rPr>
                <w:rFonts w:ascii="Times New Roman" w:hAnsi="Times New Roman" w:cs="Times New Roman"/>
                <w:sz w:val="24"/>
                <w:szCs w:val="24"/>
              </w:rPr>
              <w:t xml:space="preserve"> та звітування перед контролюючими органами щодо обсягів оподатковуваного доходу організаторів лотерей і оподатковуваного виграшу у лотереях.</w:t>
            </w:r>
          </w:p>
        </w:tc>
      </w:tr>
      <w:tr w:rsidR="0036624B" w:rsidRPr="00933440" w:rsidTr="006D0CA7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3344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933440">
              <w:rPr>
                <w:lang w:val="uk-UA"/>
              </w:rPr>
              <w:t>Альтернатива 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93344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4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0B7CA7" w:rsidP="000B7CA7">
            <w:pPr>
              <w:pStyle w:val="a9"/>
              <w:spacing w:before="0" w:beforeAutospacing="0" w:after="0" w:afterAutospacing="0" w:line="276" w:lineRule="auto"/>
              <w:ind w:firstLine="301"/>
              <w:jc w:val="both"/>
              <w:rPr>
                <w:lang w:val="uk-UA"/>
              </w:rPr>
            </w:pPr>
            <w:r w:rsidRPr="000B7CA7">
              <w:rPr>
                <w:rFonts w:eastAsiaTheme="minorHAnsi"/>
                <w:lang w:val="uk-UA" w:eastAsia="en-US"/>
              </w:rPr>
              <w:t>Прийняття законопроекту дасть змогу збільшити надходження  до бюджетів усіх рівнів за рахунок забезпечення фіскалізації операцій з прийняття ставок у лотерею та з виплати виграшів у лотерею.</w:t>
            </w:r>
          </w:p>
        </w:tc>
      </w:tr>
    </w:tbl>
    <w:p w:rsidR="0036624B" w:rsidRPr="00933440" w:rsidRDefault="0036624B" w:rsidP="0036624B">
      <w:pPr>
        <w:pStyle w:val="a9"/>
        <w:spacing w:before="0" w:beforeAutospacing="0" w:after="0" w:afterAutospacing="0" w:line="360" w:lineRule="auto"/>
        <w:jc w:val="both"/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2"/>
        <w:gridCol w:w="2287"/>
        <w:gridCol w:w="3087"/>
        <w:gridCol w:w="2531"/>
      </w:tblGrid>
      <w:tr w:rsidR="009A2473" w:rsidRPr="00933440" w:rsidTr="009A2473">
        <w:trPr>
          <w:tblCellSpacing w:w="22" w:type="dxa"/>
        </w:trPr>
        <w:tc>
          <w:tcPr>
            <w:tcW w:w="940" w:type="pct"/>
            <w:shd w:val="clear" w:color="auto" w:fill="auto"/>
          </w:tcPr>
          <w:p w:rsidR="0036624B" w:rsidRPr="00933440" w:rsidRDefault="0036624B" w:rsidP="006D0CA7">
            <w:pPr>
              <w:pStyle w:val="a9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Рейтинг результативності</w:t>
            </w:r>
          </w:p>
        </w:tc>
        <w:tc>
          <w:tcPr>
            <w:tcW w:w="1143" w:type="pct"/>
            <w:shd w:val="clear" w:color="auto" w:fill="auto"/>
          </w:tcPr>
          <w:p w:rsidR="0036624B" w:rsidRPr="00933440" w:rsidRDefault="0036624B" w:rsidP="009A2473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Вигоди (підсумок)</w:t>
            </w:r>
          </w:p>
        </w:tc>
        <w:tc>
          <w:tcPr>
            <w:tcW w:w="1550" w:type="pct"/>
            <w:shd w:val="clear" w:color="auto" w:fill="auto"/>
          </w:tcPr>
          <w:p w:rsidR="0036624B" w:rsidRPr="00933440" w:rsidRDefault="0036624B" w:rsidP="006D0CA7">
            <w:pPr>
              <w:pStyle w:val="a9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Витрати (підсумок)</w:t>
            </w:r>
          </w:p>
        </w:tc>
        <w:tc>
          <w:tcPr>
            <w:tcW w:w="1255" w:type="pct"/>
            <w:shd w:val="clear" w:color="auto" w:fill="auto"/>
          </w:tcPr>
          <w:p w:rsidR="0036624B" w:rsidRPr="00933440" w:rsidRDefault="0036624B" w:rsidP="006D0CA7">
            <w:pPr>
              <w:pStyle w:val="a9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9A2473" w:rsidRPr="00933440" w:rsidTr="009A2473">
        <w:trPr>
          <w:tblCellSpacing w:w="22" w:type="dxa"/>
        </w:trPr>
        <w:tc>
          <w:tcPr>
            <w:tcW w:w="940" w:type="pct"/>
            <w:shd w:val="clear" w:color="auto" w:fill="auto"/>
          </w:tcPr>
          <w:p w:rsidR="0036624B" w:rsidRPr="00933440" w:rsidRDefault="0036624B" w:rsidP="006D0CA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933440">
              <w:rPr>
                <w:lang w:val="uk-UA"/>
              </w:rPr>
              <w:t>Альтернатива 1</w:t>
            </w:r>
          </w:p>
          <w:p w:rsidR="0036624B" w:rsidRPr="00933440" w:rsidRDefault="0036624B" w:rsidP="006D0CA7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(1 бал)</w:t>
            </w:r>
          </w:p>
        </w:tc>
        <w:tc>
          <w:tcPr>
            <w:tcW w:w="1143" w:type="pct"/>
            <w:shd w:val="clear" w:color="auto" w:fill="auto"/>
          </w:tcPr>
          <w:p w:rsidR="0036624B" w:rsidRPr="00933440" w:rsidRDefault="00DC2B70" w:rsidP="009A2473">
            <w:pPr>
              <w:pStyle w:val="a9"/>
              <w:spacing w:before="0" w:beforeAutospacing="0" w:after="0" w:afterAutospacing="0"/>
              <w:ind w:firstLine="300"/>
              <w:jc w:val="both"/>
              <w:rPr>
                <w:lang w:val="uk-UA"/>
              </w:rPr>
            </w:pPr>
            <w:proofErr w:type="spellStart"/>
            <w:r w:rsidRPr="00933440">
              <w:t>Відсутні</w:t>
            </w:r>
            <w:proofErr w:type="spellEnd"/>
          </w:p>
        </w:tc>
        <w:tc>
          <w:tcPr>
            <w:tcW w:w="1550" w:type="pct"/>
            <w:shd w:val="clear" w:color="auto" w:fill="auto"/>
          </w:tcPr>
          <w:p w:rsidR="00E9683D" w:rsidRPr="00933440" w:rsidRDefault="00E9683D" w:rsidP="00E9683D">
            <w:pPr>
              <w:widowControl w:val="0"/>
              <w:spacing w:after="0"/>
              <w:ind w:left="75" w:right="12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93344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 неналежний облік операцій продажу білетів державних лотерей;</w:t>
            </w:r>
          </w:p>
          <w:p w:rsidR="00E9683D" w:rsidRPr="00E9683D" w:rsidRDefault="00E9683D" w:rsidP="00087926">
            <w:pPr>
              <w:pStyle w:val="a9"/>
              <w:spacing w:before="0" w:beforeAutospacing="0" w:after="0" w:afterAutospacing="0"/>
              <w:ind w:left="75" w:firstLine="141"/>
              <w:jc w:val="both"/>
              <w:rPr>
                <w:lang w:val="uk"/>
              </w:rPr>
            </w:pPr>
            <w:r w:rsidRPr="00933440">
              <w:rPr>
                <w:lang w:val="uk"/>
              </w:rPr>
              <w:t xml:space="preserve">-  втрати доходів бюджетів від недонадходження податків і зборів з операцій, </w:t>
            </w:r>
            <w:r w:rsidRPr="00933440">
              <w:rPr>
                <w:lang w:val="uk"/>
              </w:rPr>
              <w:lastRenderedPageBreak/>
              <w:t>пов’язаних із прийняттям ставок та виплатою виграшів</w:t>
            </w:r>
            <w:r w:rsidR="00087926">
              <w:rPr>
                <w:lang w:val="uk"/>
              </w:rPr>
              <w:t>.</w:t>
            </w:r>
          </w:p>
        </w:tc>
        <w:tc>
          <w:tcPr>
            <w:tcW w:w="1255" w:type="pct"/>
            <w:shd w:val="clear" w:color="auto" w:fill="auto"/>
          </w:tcPr>
          <w:p w:rsidR="0036624B" w:rsidRPr="00933440" w:rsidRDefault="0036624B" w:rsidP="00087926">
            <w:pPr>
              <w:pStyle w:val="a9"/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  <w:r w:rsidRPr="00933440">
              <w:rPr>
                <w:lang w:val="uk-UA"/>
              </w:rPr>
              <w:lastRenderedPageBreak/>
              <w:t>Альтернатива 1 призведе до невиконання поставле</w:t>
            </w:r>
            <w:r w:rsidR="00087926">
              <w:rPr>
                <w:lang w:val="uk-UA"/>
              </w:rPr>
              <w:t xml:space="preserve">них цілей державного регулювання та не вирішення </w:t>
            </w:r>
            <w:r w:rsidR="00087926">
              <w:rPr>
                <w:lang w:val="uk-UA"/>
              </w:rPr>
              <w:lastRenderedPageBreak/>
              <w:t>проблемних питань, пов’язаних з обліком доходів від продажу державних лотерей</w:t>
            </w:r>
            <w:r w:rsidRPr="00933440">
              <w:rPr>
                <w:lang w:val="uk-UA"/>
              </w:rPr>
              <w:t>.</w:t>
            </w:r>
          </w:p>
        </w:tc>
      </w:tr>
      <w:tr w:rsidR="009A2473" w:rsidRPr="00933440" w:rsidTr="009A2473">
        <w:trPr>
          <w:tblCellSpacing w:w="22" w:type="dxa"/>
        </w:trPr>
        <w:tc>
          <w:tcPr>
            <w:tcW w:w="940" w:type="pct"/>
            <w:shd w:val="clear" w:color="auto" w:fill="auto"/>
          </w:tcPr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933440">
              <w:rPr>
                <w:lang w:val="uk-UA"/>
              </w:rPr>
              <w:lastRenderedPageBreak/>
              <w:t>Альтернатива 2</w:t>
            </w:r>
          </w:p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(4 бали)</w:t>
            </w:r>
          </w:p>
        </w:tc>
        <w:tc>
          <w:tcPr>
            <w:tcW w:w="1143" w:type="pct"/>
            <w:shd w:val="clear" w:color="auto" w:fill="auto"/>
          </w:tcPr>
          <w:p w:rsidR="00E9683D" w:rsidRPr="00933440" w:rsidRDefault="00E9683D" w:rsidP="00094BA5">
            <w:pPr>
              <w:widowControl w:val="0"/>
              <w:spacing w:after="0"/>
              <w:ind w:right="120"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- створення дієвого механізму обліку операцій з продажу державних лотерей, який забезпечить отримання контролюючими органами достовірної інформації про обсяги сплати у лотереях;</w:t>
            </w:r>
          </w:p>
          <w:p w:rsidR="00E9683D" w:rsidRPr="00933440" w:rsidRDefault="00E9683D" w:rsidP="00094BA5">
            <w:pPr>
              <w:widowControl w:val="0"/>
              <w:spacing w:after="0"/>
              <w:ind w:right="120"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- збільшення надходжень до бюджетів усіх рівнів за рахунок забезпечення фіскалізації операцій з прийняття ставок у лотерею та з виплати виграшів у лотерею;</w:t>
            </w:r>
          </w:p>
          <w:p w:rsidR="00E9683D" w:rsidRDefault="00E9683D" w:rsidP="00094BA5">
            <w:pPr>
              <w:spacing w:after="0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 xml:space="preserve">- визначення механізму встановлення відповідальності за </w:t>
            </w:r>
            <w:proofErr w:type="spellStart"/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невідображення</w:t>
            </w:r>
            <w:proofErr w:type="spellEnd"/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 xml:space="preserve"> розрахункових операцій, пов’язаних із прийняттям ставок та виплатою виграш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ів;</w:t>
            </w:r>
          </w:p>
          <w:p w:rsidR="0036624B" w:rsidRPr="00933440" w:rsidRDefault="00E9683D" w:rsidP="00094BA5">
            <w:pPr>
              <w:spacing w:after="0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- з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абезпечення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належного обліку сум </w:t>
            </w:r>
            <w:r w:rsidRPr="00F22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ів</w:t>
            </w:r>
            <w:r w:rsidRPr="00F22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організаторів лотерей і оподатковуваного виграшу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22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 лотереях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їх учасників.</w:t>
            </w:r>
          </w:p>
        </w:tc>
        <w:tc>
          <w:tcPr>
            <w:tcW w:w="1550" w:type="pct"/>
            <w:shd w:val="clear" w:color="auto" w:fill="auto"/>
          </w:tcPr>
          <w:p w:rsidR="009A2473" w:rsidRPr="00933440" w:rsidRDefault="009A2473" w:rsidP="00094BA5">
            <w:pPr>
              <w:spacing w:after="0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933440">
              <w:rPr>
                <w:rFonts w:ascii="Times New Roman" w:hAnsi="Times New Roman" w:cs="Times New Roman"/>
                <w:sz w:val="24"/>
                <w:szCs w:val="24"/>
              </w:rPr>
              <w:t>осилення відповідальності за порушення вимог законодавства щодо порядку обліку розрахункових операцій з продажу білетів державних лотерей.</w:t>
            </w:r>
          </w:p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ind w:firstLine="300"/>
              <w:jc w:val="both"/>
              <w:rPr>
                <w:lang w:val="uk-UA"/>
              </w:rPr>
            </w:pPr>
          </w:p>
        </w:tc>
        <w:tc>
          <w:tcPr>
            <w:tcW w:w="1255" w:type="pct"/>
            <w:shd w:val="clear" w:color="auto" w:fill="auto"/>
          </w:tcPr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ind w:firstLine="301"/>
              <w:jc w:val="both"/>
              <w:rPr>
                <w:lang w:val="uk-UA"/>
              </w:rPr>
            </w:pPr>
            <w:r w:rsidRPr="00933440">
              <w:rPr>
                <w:lang w:val="uk-UA"/>
              </w:rPr>
              <w:t xml:space="preserve">Альтернатива 2 забезпечить повною мірою досягнення поставлених цілей, </w:t>
            </w:r>
            <w:r w:rsidR="00EC6125">
              <w:rPr>
                <w:lang w:val="uk-UA"/>
              </w:rPr>
              <w:t xml:space="preserve">а також сприятиме </w:t>
            </w:r>
            <w:r w:rsidR="00EC6125" w:rsidRPr="00EC6125">
              <w:rPr>
                <w:lang w:val="uk-UA"/>
              </w:rPr>
              <w:t>збільш</w:t>
            </w:r>
            <w:r w:rsidR="00EC6125">
              <w:rPr>
                <w:lang w:val="uk-UA"/>
              </w:rPr>
              <w:t xml:space="preserve">енню </w:t>
            </w:r>
            <w:r w:rsidR="00EC6125" w:rsidRPr="00EC6125">
              <w:rPr>
                <w:lang w:val="uk-UA"/>
              </w:rPr>
              <w:t>и надходження  до бюджетів усіх рівнів за рахунок забезпечення фіскалізації операцій з прийняття ставок у лотерею та з виплати виграшів у лотерею.</w:t>
            </w:r>
          </w:p>
        </w:tc>
      </w:tr>
    </w:tbl>
    <w:p w:rsidR="0036624B" w:rsidRPr="00933440" w:rsidRDefault="0036624B" w:rsidP="00094BA5">
      <w:pPr>
        <w:pStyle w:val="a9"/>
        <w:spacing w:before="0" w:beforeAutospacing="0" w:after="0" w:afterAutospacing="0" w:line="276" w:lineRule="auto"/>
        <w:jc w:val="both"/>
        <w:rPr>
          <w:highlight w:val="yellow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0"/>
        <w:gridCol w:w="5064"/>
        <w:gridCol w:w="2873"/>
      </w:tblGrid>
      <w:tr w:rsidR="0036624B" w:rsidRPr="00933440" w:rsidTr="006D0CA7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Рейтинг</w:t>
            </w: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36624B" w:rsidRPr="00933440" w:rsidTr="006D0CA7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rPr>
                <w:lang w:val="uk-UA"/>
              </w:rPr>
            </w:pPr>
            <w:r w:rsidRPr="00933440">
              <w:rPr>
                <w:lang w:val="uk-UA"/>
              </w:rPr>
              <w:t>Альтернатива 1</w:t>
            </w:r>
          </w:p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(1 бал)</w:t>
            </w: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094BA5">
            <w:pPr>
              <w:widowControl w:val="0"/>
              <w:autoSpaceDE w:val="0"/>
              <w:autoSpaceDN w:val="0"/>
              <w:adjustRightInd w:val="0"/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Збереження існуючого стану сприятиме:</w:t>
            </w:r>
          </w:p>
          <w:p w:rsidR="00087926" w:rsidRPr="00087926" w:rsidRDefault="00087926" w:rsidP="00094BA5">
            <w:pPr>
              <w:pStyle w:val="a9"/>
              <w:spacing w:before="0" w:beforeAutospacing="0" w:after="0" w:afterAutospacing="0" w:line="276" w:lineRule="auto"/>
              <w:ind w:firstLine="2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погіршенню ситуації, пов’язаної з </w:t>
            </w:r>
            <w:r w:rsidRPr="00087926">
              <w:rPr>
                <w:lang w:val="uk-UA"/>
              </w:rPr>
              <w:t>неналежни</w:t>
            </w:r>
            <w:r>
              <w:rPr>
                <w:lang w:val="uk-UA"/>
              </w:rPr>
              <w:t>м</w:t>
            </w:r>
            <w:r w:rsidRPr="00087926">
              <w:rPr>
                <w:lang w:val="uk-UA"/>
              </w:rPr>
              <w:t xml:space="preserve"> облік</w:t>
            </w:r>
            <w:r>
              <w:rPr>
                <w:lang w:val="uk-UA"/>
              </w:rPr>
              <w:t>ом</w:t>
            </w:r>
            <w:r w:rsidRPr="00087926">
              <w:rPr>
                <w:lang w:val="uk-UA"/>
              </w:rPr>
              <w:t xml:space="preserve"> операцій продажу білетів державних лотерей;</w:t>
            </w:r>
          </w:p>
          <w:p w:rsidR="0036624B" w:rsidRPr="00933440" w:rsidRDefault="00087926" w:rsidP="00094BA5">
            <w:pPr>
              <w:pStyle w:val="a9"/>
              <w:spacing w:before="0" w:beforeAutospacing="0" w:after="0" w:afterAutospacing="0" w:line="276" w:lineRule="auto"/>
              <w:ind w:firstLine="232"/>
              <w:jc w:val="both"/>
              <w:rPr>
                <w:lang w:val="uk-UA"/>
              </w:rPr>
            </w:pPr>
            <w:r w:rsidRPr="00087926">
              <w:rPr>
                <w:lang w:val="uk-UA"/>
              </w:rPr>
              <w:t xml:space="preserve">-  </w:t>
            </w:r>
            <w:r>
              <w:rPr>
                <w:lang w:val="uk-UA"/>
              </w:rPr>
              <w:t xml:space="preserve">подальшим </w:t>
            </w:r>
            <w:r w:rsidRPr="00087926">
              <w:rPr>
                <w:lang w:val="uk-UA"/>
              </w:rPr>
              <w:t>втрат</w:t>
            </w:r>
            <w:r>
              <w:rPr>
                <w:lang w:val="uk-UA"/>
              </w:rPr>
              <w:t>ами</w:t>
            </w:r>
            <w:r w:rsidRPr="00087926">
              <w:rPr>
                <w:lang w:val="uk-UA"/>
              </w:rPr>
              <w:t xml:space="preserve"> доходів бюджетів від недонадходжен</w:t>
            </w:r>
            <w:r>
              <w:rPr>
                <w:lang w:val="uk-UA"/>
              </w:rPr>
              <w:t>ь</w:t>
            </w:r>
            <w:r w:rsidRPr="00087926">
              <w:rPr>
                <w:lang w:val="uk-UA"/>
              </w:rPr>
              <w:t xml:space="preserve"> податків і зборів з операцій, пов’язаних із прийняттям ставок та виплатою виграшів.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Відсутні</w:t>
            </w:r>
          </w:p>
        </w:tc>
      </w:tr>
      <w:tr w:rsidR="0036624B" w:rsidRPr="00933440" w:rsidTr="006D0CA7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Альтернатива 2</w:t>
            </w:r>
          </w:p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(4 бали)</w:t>
            </w:r>
          </w:p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926" w:rsidRDefault="00087926" w:rsidP="00094BA5">
            <w:pPr>
              <w:widowControl w:val="0"/>
              <w:spacing w:after="0"/>
              <w:ind w:right="120"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Прийняття законопроекту сприятиме</w:t>
            </w:r>
          </w:p>
          <w:p w:rsidR="00087926" w:rsidRPr="00933440" w:rsidRDefault="00087926" w:rsidP="00094BA5">
            <w:pPr>
              <w:widowControl w:val="0"/>
              <w:spacing w:after="0"/>
              <w:ind w:right="120"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- створення дієвого механізму обліку операцій з продажу державних лотерей, який забезпечить отримання контролюючими органами достовірної інформації про обсяги сплати у лотереях;</w:t>
            </w:r>
          </w:p>
          <w:p w:rsidR="00087926" w:rsidRPr="00933440" w:rsidRDefault="00087926" w:rsidP="00094BA5">
            <w:pPr>
              <w:widowControl w:val="0"/>
              <w:spacing w:after="0"/>
              <w:ind w:right="120"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- збільшенн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ю</w:t>
            </w: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 xml:space="preserve"> надходжень до бюджетів усіх рівнів за рахунок забезпечення фіскалізації операцій з прийняття ставок у лотерею та з виплати виграшів у лотерею;</w:t>
            </w:r>
          </w:p>
          <w:p w:rsidR="00087926" w:rsidRDefault="00087926" w:rsidP="00094BA5">
            <w:pPr>
              <w:spacing w:after="0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</w:pP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- встановленн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ю</w:t>
            </w:r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 xml:space="preserve"> відповідальності за </w:t>
            </w:r>
            <w:proofErr w:type="spellStart"/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невідображення</w:t>
            </w:r>
            <w:proofErr w:type="spellEnd"/>
            <w:r w:rsidRPr="00933440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 xml:space="preserve"> розрахункових операцій, пов’язаних із прийняттям ставок та виплатою виграш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ів;</w:t>
            </w:r>
          </w:p>
          <w:p w:rsidR="0036624B" w:rsidRPr="00933440" w:rsidRDefault="00087926" w:rsidP="00094BA5">
            <w:pPr>
              <w:spacing w:after="0"/>
              <w:ind w:firstLine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- з</w:t>
            </w:r>
            <w:r w:rsidRPr="00087926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абезпеченн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ю</w:t>
            </w:r>
            <w:r w:rsidRPr="00087926">
              <w:rPr>
                <w:rFonts w:ascii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 xml:space="preserve"> належного обліку сум доходів організаторів лотерей і оподатковуваного виграшу у лотереях їх учасників.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  <w:p w:rsidR="0036624B" w:rsidRPr="00933440" w:rsidRDefault="0036624B" w:rsidP="00094BA5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933440">
              <w:rPr>
                <w:lang w:val="uk-UA"/>
              </w:rPr>
              <w:t>Відсутні</w:t>
            </w:r>
          </w:p>
        </w:tc>
      </w:tr>
    </w:tbl>
    <w:p w:rsidR="0036624B" w:rsidRPr="00933440" w:rsidRDefault="0036624B" w:rsidP="00094BA5">
      <w:pPr>
        <w:widowControl w:val="0"/>
        <w:spacing w:before="12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40">
        <w:rPr>
          <w:rFonts w:ascii="Times New Roman" w:hAnsi="Times New Roman" w:cs="Times New Roman"/>
          <w:b/>
          <w:sz w:val="28"/>
          <w:szCs w:val="28"/>
        </w:rPr>
        <w:t>V. Механізми та заходи, що пропонуються для розв’язання проблеми</w:t>
      </w:r>
    </w:p>
    <w:p w:rsidR="0036624B" w:rsidRPr="00933440" w:rsidRDefault="0036624B" w:rsidP="00094BA5">
      <w:pPr>
        <w:pStyle w:val="StyleZakonu"/>
        <w:spacing w:before="120" w:after="0" w:line="276" w:lineRule="auto"/>
        <w:ind w:right="-2" w:firstLine="720"/>
        <w:rPr>
          <w:sz w:val="28"/>
          <w:szCs w:val="28"/>
        </w:rPr>
      </w:pPr>
      <w:r w:rsidRPr="00933440">
        <w:rPr>
          <w:sz w:val="28"/>
          <w:szCs w:val="28"/>
        </w:rPr>
        <w:t xml:space="preserve">Реалізація поставлених цілей державного регулювання забезпечується шляхом внесення змін до </w:t>
      </w:r>
      <w:r w:rsidR="00087926" w:rsidRPr="00087926">
        <w:rPr>
          <w:sz w:val="28"/>
          <w:szCs w:val="28"/>
        </w:rPr>
        <w:t>Закону України «Про застосування реєстраторів розрахункових операцій у сфері торгівлі, громадського харчування та послуг»</w:t>
      </w:r>
      <w:r w:rsidRPr="00933440">
        <w:rPr>
          <w:sz w:val="28"/>
          <w:szCs w:val="28"/>
        </w:rPr>
        <w:t>.</w:t>
      </w:r>
    </w:p>
    <w:p w:rsidR="0036624B" w:rsidRPr="00933440" w:rsidRDefault="0036624B" w:rsidP="00094BA5">
      <w:pPr>
        <w:pStyle w:val="StyleZakonu"/>
        <w:spacing w:before="120" w:after="0" w:line="276" w:lineRule="auto"/>
        <w:ind w:right="-2" w:firstLine="720"/>
        <w:rPr>
          <w:sz w:val="28"/>
          <w:szCs w:val="28"/>
        </w:rPr>
      </w:pPr>
      <w:r w:rsidRPr="00933440">
        <w:rPr>
          <w:sz w:val="28"/>
          <w:szCs w:val="28"/>
        </w:rPr>
        <w:t>Заходами, які необхідно здійснити для реалізації вказаних цілей, є:</w:t>
      </w:r>
    </w:p>
    <w:p w:rsidR="0036624B" w:rsidRPr="00933440" w:rsidRDefault="0036624B" w:rsidP="00094BA5">
      <w:pPr>
        <w:pStyle w:val="StyleZakonu"/>
        <w:spacing w:before="120" w:after="0" w:line="276" w:lineRule="auto"/>
        <w:ind w:right="-2" w:firstLine="720"/>
        <w:rPr>
          <w:sz w:val="28"/>
          <w:szCs w:val="28"/>
        </w:rPr>
      </w:pPr>
      <w:r w:rsidRPr="00933440">
        <w:rPr>
          <w:sz w:val="28"/>
          <w:szCs w:val="28"/>
        </w:rPr>
        <w:t xml:space="preserve">1) погодження законопроекту </w:t>
      </w:r>
      <w:r w:rsidR="00A61197" w:rsidRPr="00A61197">
        <w:rPr>
          <w:sz w:val="28"/>
          <w:szCs w:val="28"/>
        </w:rPr>
        <w:t xml:space="preserve">Міністерством економічного розвитку і торгівлі України, Міністерством юстиції України та Державною фіскальною службою України </w:t>
      </w:r>
      <w:r w:rsidR="00A61197">
        <w:rPr>
          <w:sz w:val="28"/>
          <w:szCs w:val="28"/>
        </w:rPr>
        <w:t xml:space="preserve">та </w:t>
      </w:r>
      <w:r w:rsidRPr="00933440">
        <w:rPr>
          <w:sz w:val="28"/>
          <w:szCs w:val="28"/>
        </w:rPr>
        <w:t>Державною регуляторною службою України;</w:t>
      </w:r>
    </w:p>
    <w:p w:rsidR="0036624B" w:rsidRPr="00933440" w:rsidRDefault="0036624B" w:rsidP="00094BA5">
      <w:pPr>
        <w:pStyle w:val="StyleZakonu"/>
        <w:spacing w:before="120" w:after="0" w:line="276" w:lineRule="auto"/>
        <w:ind w:right="-2" w:firstLine="720"/>
        <w:rPr>
          <w:sz w:val="28"/>
          <w:szCs w:val="28"/>
        </w:rPr>
      </w:pPr>
      <w:r w:rsidRPr="00933440">
        <w:rPr>
          <w:sz w:val="28"/>
          <w:szCs w:val="28"/>
        </w:rPr>
        <w:lastRenderedPageBreak/>
        <w:t>2) подання Міністерством фінансів України законопроекту на розгляд Кабінету Міністрів України;</w:t>
      </w:r>
    </w:p>
    <w:p w:rsidR="0036624B" w:rsidRPr="00933440" w:rsidRDefault="0036624B" w:rsidP="00094BA5">
      <w:pPr>
        <w:pStyle w:val="StyleZakonu"/>
        <w:spacing w:before="120" w:after="0" w:line="276" w:lineRule="auto"/>
        <w:ind w:right="-2" w:firstLine="720"/>
        <w:rPr>
          <w:sz w:val="28"/>
          <w:szCs w:val="28"/>
        </w:rPr>
      </w:pPr>
      <w:r w:rsidRPr="00933440">
        <w:rPr>
          <w:sz w:val="28"/>
          <w:szCs w:val="28"/>
        </w:rPr>
        <w:t>3) внесення законопроекту Кабінетом Міністрів України до Верховної Ради України;</w:t>
      </w:r>
    </w:p>
    <w:p w:rsidR="0036624B" w:rsidRPr="00933440" w:rsidRDefault="0036624B" w:rsidP="00094BA5">
      <w:pPr>
        <w:pStyle w:val="StyleZakonu"/>
        <w:spacing w:before="120" w:after="0" w:line="276" w:lineRule="auto"/>
        <w:ind w:right="-2" w:firstLine="720"/>
        <w:rPr>
          <w:sz w:val="28"/>
          <w:szCs w:val="28"/>
        </w:rPr>
      </w:pPr>
      <w:r w:rsidRPr="00933440">
        <w:rPr>
          <w:sz w:val="28"/>
          <w:szCs w:val="28"/>
        </w:rPr>
        <w:t>4) прийняття законопроекту Верховною Радою України;</w:t>
      </w:r>
    </w:p>
    <w:p w:rsidR="0036624B" w:rsidRPr="00933440" w:rsidRDefault="0036624B" w:rsidP="00094BA5">
      <w:pPr>
        <w:pStyle w:val="StyleZakonu"/>
        <w:spacing w:before="120" w:after="0" w:line="276" w:lineRule="auto"/>
        <w:ind w:right="-2" w:firstLine="720"/>
        <w:rPr>
          <w:sz w:val="28"/>
          <w:szCs w:val="28"/>
        </w:rPr>
      </w:pPr>
      <w:r w:rsidRPr="00933440">
        <w:rPr>
          <w:sz w:val="28"/>
          <w:szCs w:val="28"/>
        </w:rPr>
        <w:t>5) підписання Закону Президентом України;</w:t>
      </w:r>
    </w:p>
    <w:p w:rsidR="0036624B" w:rsidRPr="00933440" w:rsidRDefault="0036624B" w:rsidP="00094BA5">
      <w:pPr>
        <w:pStyle w:val="StyleZakonu"/>
        <w:spacing w:before="120" w:after="0" w:line="276" w:lineRule="auto"/>
        <w:ind w:right="-2" w:firstLine="720"/>
        <w:rPr>
          <w:sz w:val="28"/>
          <w:szCs w:val="28"/>
        </w:rPr>
      </w:pPr>
      <w:r w:rsidRPr="00933440">
        <w:rPr>
          <w:sz w:val="28"/>
          <w:szCs w:val="28"/>
        </w:rPr>
        <w:t>6) здійснення заходів з опублікування законопроекту.</w:t>
      </w:r>
    </w:p>
    <w:p w:rsidR="0036624B" w:rsidRPr="00933440" w:rsidRDefault="0036624B" w:rsidP="00094BA5">
      <w:pPr>
        <w:pStyle w:val="StyleZakonu"/>
        <w:spacing w:before="120" w:after="0" w:line="276" w:lineRule="auto"/>
        <w:ind w:right="-2" w:firstLine="720"/>
        <w:rPr>
          <w:color w:val="000000"/>
          <w:sz w:val="28"/>
          <w:szCs w:val="28"/>
          <w:lang w:val="uk" w:eastAsia="uk-UA"/>
        </w:rPr>
      </w:pPr>
      <w:r w:rsidRPr="00933440">
        <w:rPr>
          <w:sz w:val="28"/>
          <w:szCs w:val="28"/>
        </w:rPr>
        <w:t>Законопроектом пропонується</w:t>
      </w:r>
      <w:r w:rsidR="00A61197">
        <w:rPr>
          <w:sz w:val="28"/>
          <w:szCs w:val="28"/>
        </w:rPr>
        <w:t xml:space="preserve"> </w:t>
      </w:r>
      <w:r w:rsidR="00A61197" w:rsidRPr="00A61197">
        <w:rPr>
          <w:color w:val="000000"/>
          <w:sz w:val="28"/>
          <w:szCs w:val="28"/>
          <w:lang w:val="uk" w:eastAsia="uk-UA"/>
        </w:rPr>
        <w:t>запровадити обов’язкове застосування реєстраторів розрахункових операцій при продажу білетів державних лотерей.</w:t>
      </w:r>
    </w:p>
    <w:p w:rsidR="0036624B" w:rsidRPr="00933440" w:rsidRDefault="0036624B" w:rsidP="00094BA5">
      <w:pPr>
        <w:widowControl w:val="0"/>
        <w:spacing w:before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40">
        <w:rPr>
          <w:rFonts w:ascii="Times New Roman" w:hAnsi="Times New Roman" w:cs="Times New Roman"/>
          <w:b/>
          <w:sz w:val="28"/>
          <w:szCs w:val="28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A61197" w:rsidRDefault="0036624B" w:rsidP="00094BA5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Реалізація норм законопроекту не потребує додаткових видатків з бюджету</w:t>
      </w:r>
      <w:r w:rsidR="00A61197">
        <w:rPr>
          <w:rFonts w:ascii="Times New Roman" w:hAnsi="Times New Roman" w:cs="Times New Roman"/>
          <w:sz w:val="28"/>
          <w:szCs w:val="28"/>
        </w:rPr>
        <w:t>.</w:t>
      </w:r>
    </w:p>
    <w:p w:rsidR="0036624B" w:rsidRPr="00933440" w:rsidRDefault="00A61197" w:rsidP="00094BA5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Водночас, запровадження запропонованих законопроектом змін потребуватиме здійснення суб’єктами господарювання, які здійснюють продаж державних лотерей, </w:t>
      </w:r>
      <w:r w:rsidR="00094BA5">
        <w:rPr>
          <w:rFonts w:ascii="Times New Roman" w:hAnsi="Times New Roman" w:cs="Times New Roman"/>
          <w:sz w:val="28"/>
          <w:szCs w:val="28"/>
        </w:rPr>
        <w:t xml:space="preserve">додаткових </w:t>
      </w:r>
      <w:r>
        <w:rPr>
          <w:rFonts w:ascii="Times New Roman" w:hAnsi="Times New Roman" w:cs="Times New Roman"/>
          <w:sz w:val="28"/>
          <w:szCs w:val="28"/>
        </w:rPr>
        <w:t>витрат на придбання реєстраторів розрахункових операцій. Вартісна величина таких витрат залежатиме від вартості обраної моделі реєстратора розрахункових операцій та кількості пунктів реалізації державних лотерей.</w:t>
      </w:r>
    </w:p>
    <w:p w:rsidR="0036624B" w:rsidRPr="00933440" w:rsidRDefault="0036624B" w:rsidP="00094BA5">
      <w:pPr>
        <w:widowControl w:val="0"/>
        <w:spacing w:before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40">
        <w:rPr>
          <w:rFonts w:ascii="Times New Roman" w:hAnsi="Times New Roman" w:cs="Times New Roman"/>
          <w:b/>
          <w:sz w:val="28"/>
          <w:szCs w:val="28"/>
        </w:rPr>
        <w:t>VII. Обґрунтування запропонованого строку дії регуляторного акта</w:t>
      </w:r>
    </w:p>
    <w:p w:rsidR="0036624B" w:rsidRPr="00933440" w:rsidRDefault="0036624B" w:rsidP="00094BA5">
      <w:pPr>
        <w:pStyle w:val="1"/>
        <w:tabs>
          <w:tab w:val="left" w:pos="9921"/>
        </w:tabs>
        <w:spacing w:before="120" w:line="276" w:lineRule="auto"/>
        <w:ind w:firstLine="567"/>
        <w:jc w:val="both"/>
        <w:rPr>
          <w:sz w:val="28"/>
          <w:szCs w:val="28"/>
          <w:lang w:val="uk-UA"/>
        </w:rPr>
      </w:pPr>
      <w:r w:rsidRPr="00933440">
        <w:rPr>
          <w:sz w:val="28"/>
          <w:szCs w:val="28"/>
          <w:lang w:val="uk-UA"/>
        </w:rPr>
        <w:t>Строк дії регуляторного акту не обмежується у часі, що дасть змогу досягти цілей державного регулювання. Проект регуляторного акта набирає чинності з дня</w:t>
      </w:r>
      <w:r w:rsidR="00A61197">
        <w:rPr>
          <w:sz w:val="28"/>
          <w:szCs w:val="28"/>
          <w:lang w:val="uk-UA"/>
        </w:rPr>
        <w:t>, що настає за днем</w:t>
      </w:r>
      <w:r w:rsidRPr="00933440">
        <w:rPr>
          <w:sz w:val="28"/>
          <w:szCs w:val="28"/>
          <w:lang w:val="uk-UA"/>
        </w:rPr>
        <w:t xml:space="preserve"> його офіційного опублікування.  </w:t>
      </w:r>
    </w:p>
    <w:p w:rsidR="0036624B" w:rsidRPr="00933440" w:rsidRDefault="0036624B" w:rsidP="00094BA5">
      <w:pPr>
        <w:widowControl w:val="0"/>
        <w:spacing w:before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40">
        <w:rPr>
          <w:rFonts w:ascii="Times New Roman" w:hAnsi="Times New Roman" w:cs="Times New Roman"/>
          <w:b/>
          <w:sz w:val="28"/>
          <w:szCs w:val="28"/>
        </w:rPr>
        <w:t>VIII. Показники результативності регуляторного акта</w:t>
      </w:r>
    </w:p>
    <w:p w:rsidR="0036624B" w:rsidRPr="00933440" w:rsidRDefault="0036624B" w:rsidP="00094BA5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0">
        <w:rPr>
          <w:rFonts w:ascii="Times New Roman" w:hAnsi="Times New Roman" w:cs="Times New Roman"/>
          <w:sz w:val="28"/>
          <w:szCs w:val="28"/>
        </w:rPr>
        <w:t>Виходячи з цілей державного регулювання для відстеження результативності акта обрано такі показники:</w:t>
      </w:r>
    </w:p>
    <w:p w:rsidR="0036624B" w:rsidRPr="00933440" w:rsidRDefault="0036624B" w:rsidP="00094BA5">
      <w:pPr>
        <w:pStyle w:val="1"/>
        <w:tabs>
          <w:tab w:val="left" w:pos="9921"/>
        </w:tabs>
        <w:spacing w:before="120" w:line="276" w:lineRule="auto"/>
        <w:ind w:firstLine="709"/>
        <w:jc w:val="both"/>
        <w:rPr>
          <w:sz w:val="28"/>
          <w:szCs w:val="28"/>
          <w:lang w:val="uk-UA"/>
        </w:rPr>
      </w:pPr>
      <w:r w:rsidRPr="00933440">
        <w:rPr>
          <w:sz w:val="28"/>
          <w:szCs w:val="28"/>
          <w:lang w:val="uk-UA"/>
        </w:rPr>
        <w:t>1) кількість суб’єктів господарювання, на яких поширюватиметься дія акта.</w:t>
      </w:r>
    </w:p>
    <w:p w:rsidR="0036624B" w:rsidRDefault="0036624B" w:rsidP="00094BA5">
      <w:pPr>
        <w:pStyle w:val="Style4"/>
        <w:spacing w:before="120" w:line="276" w:lineRule="auto"/>
        <w:rPr>
          <w:sz w:val="28"/>
          <w:szCs w:val="28"/>
        </w:rPr>
      </w:pPr>
      <w:r w:rsidRPr="00933440">
        <w:rPr>
          <w:sz w:val="28"/>
          <w:szCs w:val="28"/>
        </w:rPr>
        <w:t>Дія регуляторного акту поширюватиметься на</w:t>
      </w:r>
      <w:r w:rsidRPr="00933440">
        <w:rPr>
          <w:b/>
          <w:sz w:val="28"/>
          <w:szCs w:val="28"/>
        </w:rPr>
        <w:t xml:space="preserve"> </w:t>
      </w:r>
      <w:r w:rsidRPr="00933440">
        <w:rPr>
          <w:rStyle w:val="FontStyle21"/>
          <w:sz w:val="28"/>
          <w:szCs w:val="28"/>
        </w:rPr>
        <w:t xml:space="preserve">суб’єктів господарювання, що здійснюють </w:t>
      </w:r>
      <w:r w:rsidR="00A61197">
        <w:rPr>
          <w:rStyle w:val="FontStyle21"/>
          <w:sz w:val="28"/>
          <w:szCs w:val="28"/>
        </w:rPr>
        <w:t>реалізацію державних лотерей</w:t>
      </w:r>
      <w:r w:rsidRPr="00933440">
        <w:rPr>
          <w:sz w:val="28"/>
          <w:szCs w:val="28"/>
        </w:rPr>
        <w:t>.</w:t>
      </w:r>
    </w:p>
    <w:p w:rsidR="0036624B" w:rsidRPr="00933440" w:rsidRDefault="0036624B" w:rsidP="00094BA5">
      <w:pPr>
        <w:pStyle w:val="1"/>
        <w:tabs>
          <w:tab w:val="left" w:pos="9921"/>
        </w:tabs>
        <w:spacing w:before="120" w:line="276" w:lineRule="auto"/>
        <w:ind w:firstLine="709"/>
        <w:jc w:val="both"/>
        <w:rPr>
          <w:sz w:val="28"/>
          <w:szCs w:val="28"/>
          <w:lang w:val="uk-UA"/>
        </w:rPr>
      </w:pPr>
      <w:r w:rsidRPr="00933440">
        <w:rPr>
          <w:sz w:val="28"/>
          <w:szCs w:val="28"/>
          <w:lang w:val="uk-UA"/>
        </w:rPr>
        <w:t>2) додаткові кошти і час, що витрачатимуться суб’єктами господарювання, при виконанні вимог акта.</w:t>
      </w:r>
    </w:p>
    <w:p w:rsidR="0036624B" w:rsidRPr="00933440" w:rsidRDefault="00094BA5" w:rsidP="00094BA5">
      <w:pPr>
        <w:pStyle w:val="1"/>
        <w:tabs>
          <w:tab w:val="left" w:pos="9921"/>
        </w:tabs>
        <w:spacing w:before="12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Реалізація заходів, передбачених законопроектом, </w:t>
      </w:r>
      <w:r w:rsidRPr="00094BA5">
        <w:rPr>
          <w:sz w:val="28"/>
          <w:szCs w:val="28"/>
          <w:lang w:val="uk-UA"/>
        </w:rPr>
        <w:t xml:space="preserve">потребуватиме здійснення суб’єктами господарювання, які здійснюють продаж державних лотерей, </w:t>
      </w:r>
      <w:r>
        <w:rPr>
          <w:sz w:val="28"/>
          <w:szCs w:val="28"/>
          <w:lang w:val="uk-UA"/>
        </w:rPr>
        <w:t xml:space="preserve">додаткових </w:t>
      </w:r>
      <w:r w:rsidRPr="00094BA5">
        <w:rPr>
          <w:sz w:val="28"/>
          <w:szCs w:val="28"/>
          <w:lang w:val="uk-UA"/>
        </w:rPr>
        <w:t>витрат на придбання реєстраторів розрахункових операцій. Вартісна величина таких витрат залежатиме від вартості обраної моделі реєстратора розрахункових операцій та кількості пунктів реалізації державних лотерей.</w:t>
      </w:r>
    </w:p>
    <w:p w:rsidR="0036624B" w:rsidRPr="00933440" w:rsidRDefault="0036624B" w:rsidP="00094BA5">
      <w:pPr>
        <w:pStyle w:val="1"/>
        <w:tabs>
          <w:tab w:val="left" w:pos="9921"/>
        </w:tabs>
        <w:spacing w:before="120" w:line="276" w:lineRule="auto"/>
        <w:ind w:firstLine="567"/>
        <w:jc w:val="both"/>
        <w:rPr>
          <w:sz w:val="28"/>
          <w:szCs w:val="28"/>
          <w:lang w:val="uk-UA"/>
        </w:rPr>
      </w:pPr>
      <w:r w:rsidRPr="00933440">
        <w:rPr>
          <w:sz w:val="28"/>
          <w:szCs w:val="28"/>
          <w:lang w:val="uk-UA"/>
        </w:rPr>
        <w:t>3) рівень поінформованості суб’єктів господарювання та/або фізичних осіб з основних положень акта.</w:t>
      </w:r>
    </w:p>
    <w:p w:rsidR="0036624B" w:rsidRPr="00933440" w:rsidRDefault="0036624B" w:rsidP="00094BA5">
      <w:pPr>
        <w:pStyle w:val="Style3"/>
        <w:tabs>
          <w:tab w:val="left" w:pos="1638"/>
        </w:tabs>
        <w:spacing w:before="120" w:line="276" w:lineRule="auto"/>
        <w:ind w:firstLine="709"/>
        <w:jc w:val="both"/>
        <w:rPr>
          <w:rStyle w:val="FontStyle21"/>
          <w:sz w:val="28"/>
          <w:szCs w:val="28"/>
        </w:rPr>
      </w:pPr>
      <w:r w:rsidRPr="00933440">
        <w:rPr>
          <w:sz w:val="28"/>
          <w:szCs w:val="28"/>
        </w:rPr>
        <w:t xml:space="preserve">Рівень поінформованості громадян та суб’єктів господарювання – </w:t>
      </w:r>
      <w:r w:rsidRPr="00933440">
        <w:rPr>
          <w:rStyle w:val="FontStyle21"/>
          <w:sz w:val="28"/>
          <w:szCs w:val="28"/>
        </w:rPr>
        <w:t>високий. Проект регуляторного акта розміщено на офіційному сайті Мінфіну (</w:t>
      </w:r>
      <w:hyperlink r:id="rId6" w:history="1">
        <w:r w:rsidRPr="00933440">
          <w:rPr>
            <w:rStyle w:val="ab"/>
            <w:sz w:val="28"/>
            <w:szCs w:val="28"/>
          </w:rPr>
          <w:t>www.minfin.gov.ua</w:t>
        </w:r>
      </w:hyperlink>
      <w:r w:rsidRPr="00933440">
        <w:rPr>
          <w:rStyle w:val="FontStyle21"/>
          <w:sz w:val="28"/>
          <w:szCs w:val="28"/>
        </w:rPr>
        <w:t>) та після прийняття, буде опублікований в офіційних джерелах.</w:t>
      </w:r>
    </w:p>
    <w:p w:rsidR="0036624B" w:rsidRPr="00933440" w:rsidRDefault="0036624B" w:rsidP="00094BA5">
      <w:pPr>
        <w:pStyle w:val="1"/>
        <w:tabs>
          <w:tab w:val="left" w:pos="9921"/>
        </w:tabs>
        <w:spacing w:before="120" w:line="276" w:lineRule="auto"/>
        <w:ind w:firstLine="567"/>
        <w:jc w:val="both"/>
        <w:rPr>
          <w:sz w:val="28"/>
          <w:szCs w:val="28"/>
          <w:lang w:val="uk-UA"/>
        </w:rPr>
      </w:pPr>
      <w:r w:rsidRPr="00933440">
        <w:rPr>
          <w:sz w:val="28"/>
          <w:szCs w:val="28"/>
          <w:lang w:val="uk-UA"/>
        </w:rPr>
        <w:t xml:space="preserve"> Також, результативність акта відстежуватиметься шляхом аналізу статистичних даних</w:t>
      </w:r>
      <w:r w:rsidR="00094BA5" w:rsidRPr="00933440">
        <w:rPr>
          <w:sz w:val="28"/>
          <w:szCs w:val="28"/>
          <w:lang w:eastAsia="uk-UA"/>
        </w:rPr>
        <w:t xml:space="preserve">, </w:t>
      </w:r>
      <w:proofErr w:type="spellStart"/>
      <w:r w:rsidR="00094BA5" w:rsidRPr="00933440">
        <w:rPr>
          <w:sz w:val="28"/>
          <w:szCs w:val="28"/>
          <w:lang w:eastAsia="uk-UA"/>
        </w:rPr>
        <w:t>отриманих</w:t>
      </w:r>
      <w:proofErr w:type="spellEnd"/>
      <w:r w:rsidR="00094BA5" w:rsidRPr="00933440">
        <w:rPr>
          <w:sz w:val="28"/>
          <w:szCs w:val="28"/>
          <w:lang w:eastAsia="uk-UA"/>
        </w:rPr>
        <w:t xml:space="preserve"> </w:t>
      </w:r>
      <w:proofErr w:type="spellStart"/>
      <w:r w:rsidR="00094BA5" w:rsidRPr="00933440">
        <w:rPr>
          <w:sz w:val="28"/>
          <w:szCs w:val="28"/>
          <w:lang w:eastAsia="uk-UA"/>
        </w:rPr>
        <w:t>від</w:t>
      </w:r>
      <w:proofErr w:type="spellEnd"/>
      <w:r w:rsidR="00094BA5" w:rsidRPr="00933440">
        <w:rPr>
          <w:sz w:val="28"/>
          <w:szCs w:val="28"/>
          <w:lang w:eastAsia="uk-UA"/>
        </w:rPr>
        <w:t xml:space="preserve"> </w:t>
      </w:r>
      <w:proofErr w:type="spellStart"/>
      <w:r w:rsidR="00094BA5" w:rsidRPr="00933440">
        <w:rPr>
          <w:sz w:val="28"/>
          <w:szCs w:val="28"/>
          <w:lang w:eastAsia="uk-UA"/>
        </w:rPr>
        <w:t>Державної</w:t>
      </w:r>
      <w:proofErr w:type="spellEnd"/>
      <w:r w:rsidR="00094BA5" w:rsidRPr="00933440">
        <w:rPr>
          <w:sz w:val="28"/>
          <w:szCs w:val="28"/>
          <w:lang w:eastAsia="uk-UA"/>
        </w:rPr>
        <w:t xml:space="preserve"> </w:t>
      </w:r>
      <w:proofErr w:type="spellStart"/>
      <w:r w:rsidR="00094BA5" w:rsidRPr="00933440">
        <w:rPr>
          <w:sz w:val="28"/>
          <w:szCs w:val="28"/>
          <w:lang w:eastAsia="uk-UA"/>
        </w:rPr>
        <w:t>фіскальної</w:t>
      </w:r>
      <w:proofErr w:type="spellEnd"/>
      <w:r w:rsidR="00094BA5" w:rsidRPr="00933440">
        <w:rPr>
          <w:sz w:val="28"/>
          <w:szCs w:val="28"/>
          <w:lang w:eastAsia="uk-UA"/>
        </w:rPr>
        <w:t xml:space="preserve"> </w:t>
      </w:r>
      <w:proofErr w:type="spellStart"/>
      <w:r w:rsidR="00094BA5" w:rsidRPr="00933440">
        <w:rPr>
          <w:sz w:val="28"/>
          <w:szCs w:val="28"/>
          <w:lang w:eastAsia="uk-UA"/>
        </w:rPr>
        <w:t>служби</w:t>
      </w:r>
      <w:proofErr w:type="spellEnd"/>
      <w:r w:rsidR="00094BA5">
        <w:rPr>
          <w:sz w:val="28"/>
          <w:szCs w:val="28"/>
          <w:lang w:val="uk-UA"/>
        </w:rPr>
        <w:t>.</w:t>
      </w:r>
    </w:p>
    <w:p w:rsidR="0036624B" w:rsidRPr="00933440" w:rsidRDefault="0036624B" w:rsidP="00094BA5">
      <w:pPr>
        <w:pStyle w:val="1"/>
        <w:tabs>
          <w:tab w:val="left" w:pos="9921"/>
        </w:tabs>
        <w:spacing w:before="120" w:line="276" w:lineRule="auto"/>
        <w:jc w:val="center"/>
        <w:rPr>
          <w:b/>
          <w:sz w:val="28"/>
          <w:szCs w:val="28"/>
        </w:rPr>
      </w:pPr>
      <w:r w:rsidRPr="00933440">
        <w:rPr>
          <w:b/>
          <w:sz w:val="28"/>
          <w:szCs w:val="28"/>
        </w:rPr>
        <w:t xml:space="preserve">IX. Заходи, за </w:t>
      </w:r>
      <w:proofErr w:type="spellStart"/>
      <w:r w:rsidRPr="00933440">
        <w:rPr>
          <w:b/>
          <w:sz w:val="28"/>
          <w:szCs w:val="28"/>
        </w:rPr>
        <w:t>допомогою</w:t>
      </w:r>
      <w:proofErr w:type="spellEnd"/>
      <w:r w:rsidRPr="00933440">
        <w:rPr>
          <w:b/>
          <w:sz w:val="28"/>
          <w:szCs w:val="28"/>
        </w:rPr>
        <w:t xml:space="preserve"> </w:t>
      </w:r>
      <w:proofErr w:type="spellStart"/>
      <w:r w:rsidRPr="00933440">
        <w:rPr>
          <w:b/>
          <w:sz w:val="28"/>
          <w:szCs w:val="28"/>
        </w:rPr>
        <w:t>яких</w:t>
      </w:r>
      <w:proofErr w:type="spellEnd"/>
      <w:r w:rsidRPr="00933440">
        <w:rPr>
          <w:b/>
          <w:sz w:val="28"/>
          <w:szCs w:val="28"/>
        </w:rPr>
        <w:t xml:space="preserve"> буде </w:t>
      </w:r>
      <w:proofErr w:type="spellStart"/>
      <w:r w:rsidRPr="00933440">
        <w:rPr>
          <w:b/>
          <w:sz w:val="28"/>
          <w:szCs w:val="28"/>
        </w:rPr>
        <w:t>здійснюватися</w:t>
      </w:r>
      <w:proofErr w:type="spellEnd"/>
      <w:r w:rsidRPr="00933440">
        <w:rPr>
          <w:b/>
          <w:sz w:val="28"/>
          <w:szCs w:val="28"/>
        </w:rPr>
        <w:t xml:space="preserve"> </w:t>
      </w:r>
      <w:proofErr w:type="spellStart"/>
      <w:r w:rsidRPr="00933440">
        <w:rPr>
          <w:b/>
          <w:sz w:val="28"/>
          <w:szCs w:val="28"/>
        </w:rPr>
        <w:t>відстеження</w:t>
      </w:r>
      <w:proofErr w:type="spellEnd"/>
      <w:r w:rsidRPr="00933440">
        <w:rPr>
          <w:b/>
          <w:sz w:val="28"/>
          <w:szCs w:val="28"/>
        </w:rPr>
        <w:t xml:space="preserve"> </w:t>
      </w:r>
      <w:proofErr w:type="spellStart"/>
      <w:r w:rsidRPr="00933440">
        <w:rPr>
          <w:b/>
          <w:sz w:val="28"/>
          <w:szCs w:val="28"/>
        </w:rPr>
        <w:t>результативності</w:t>
      </w:r>
      <w:proofErr w:type="spellEnd"/>
      <w:r w:rsidRPr="00933440">
        <w:rPr>
          <w:b/>
          <w:sz w:val="28"/>
          <w:szCs w:val="28"/>
        </w:rPr>
        <w:t xml:space="preserve"> регуляторного акта</w:t>
      </w:r>
    </w:p>
    <w:p w:rsidR="00933440" w:rsidRDefault="00933440" w:rsidP="00094BA5">
      <w:pPr>
        <w:widowControl w:val="0"/>
        <w:tabs>
          <w:tab w:val="left" w:pos="1638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6624B" w:rsidRPr="00933440" w:rsidRDefault="0036624B" w:rsidP="00094BA5">
      <w:pPr>
        <w:widowControl w:val="0"/>
        <w:tabs>
          <w:tab w:val="left" w:pos="163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33440">
        <w:rPr>
          <w:rFonts w:ascii="Times New Roman" w:hAnsi="Times New Roman" w:cs="Times New Roman"/>
          <w:sz w:val="28"/>
          <w:szCs w:val="28"/>
          <w:lang w:eastAsia="uk-UA"/>
        </w:rPr>
        <w:t>Базове відстеження результативності регуляторного акта буде здійснюватись протягом року після набрання ним чинності шляхом аналізу статистичних даних, отриманих від Державної фіскальної служби.</w:t>
      </w:r>
    </w:p>
    <w:p w:rsidR="0036624B" w:rsidRPr="00933440" w:rsidRDefault="0036624B" w:rsidP="00094BA5">
      <w:pPr>
        <w:widowControl w:val="0"/>
        <w:tabs>
          <w:tab w:val="left" w:pos="163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33440">
        <w:rPr>
          <w:rFonts w:ascii="Times New Roman" w:hAnsi="Times New Roman" w:cs="Times New Roman"/>
          <w:sz w:val="28"/>
          <w:szCs w:val="28"/>
          <w:lang w:eastAsia="uk-UA"/>
        </w:rPr>
        <w:t>Повторне відстеження результативності регуляторного акта буде здійснюватися не пізніше двох років з дня набрання чинності цим актом шляхом аналізу статистичних даних, отриманих від Державної фіскальної служби, в порівнянні з показниками результативності, які були отримані при базовому відстеженні.</w:t>
      </w:r>
    </w:p>
    <w:p w:rsidR="0036624B" w:rsidRPr="00933440" w:rsidRDefault="0036624B" w:rsidP="00094BA5">
      <w:pPr>
        <w:widowControl w:val="0"/>
        <w:tabs>
          <w:tab w:val="left" w:pos="163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33440">
        <w:rPr>
          <w:rFonts w:ascii="Times New Roman" w:hAnsi="Times New Roman" w:cs="Times New Roman"/>
          <w:sz w:val="28"/>
          <w:szCs w:val="28"/>
          <w:lang w:eastAsia="uk-UA"/>
        </w:rPr>
        <w:t>Періодичне відстеження  буде здійснюватися раз на три роки, починаючи з дня виконання заходів з повторного відстеження, шляхом аналізу статистичних даних, отриманих від Державної фіскальної служби, в порівнянні із значеннями аналогічних показників, встановлених під час попередніх відстежень.</w:t>
      </w:r>
    </w:p>
    <w:p w:rsidR="0036624B" w:rsidRPr="00A61197" w:rsidRDefault="0036624B" w:rsidP="00A61197">
      <w:pPr>
        <w:widowControl w:val="0"/>
        <w:tabs>
          <w:tab w:val="left" w:pos="16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sectPr w:rsidR="0036624B" w:rsidRPr="00A611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443"/>
    <w:multiLevelType w:val="hybridMultilevel"/>
    <w:tmpl w:val="7FBCE7EA"/>
    <w:lvl w:ilvl="0" w:tplc="266E9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C4583D"/>
    <w:multiLevelType w:val="hybridMultilevel"/>
    <w:tmpl w:val="79982114"/>
    <w:lvl w:ilvl="0" w:tplc="D1F668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C0"/>
    <w:rsid w:val="0000036D"/>
    <w:rsid w:val="00023D6D"/>
    <w:rsid w:val="00036FA3"/>
    <w:rsid w:val="000372E4"/>
    <w:rsid w:val="0004234F"/>
    <w:rsid w:val="00065D71"/>
    <w:rsid w:val="00080D8E"/>
    <w:rsid w:val="00087926"/>
    <w:rsid w:val="00094BA5"/>
    <w:rsid w:val="000B1E2D"/>
    <w:rsid w:val="000B7CA7"/>
    <w:rsid w:val="00125F8B"/>
    <w:rsid w:val="00147436"/>
    <w:rsid w:val="00147957"/>
    <w:rsid w:val="001A482A"/>
    <w:rsid w:val="00244046"/>
    <w:rsid w:val="0027382A"/>
    <w:rsid w:val="00290C73"/>
    <w:rsid w:val="0029759A"/>
    <w:rsid w:val="002A1EE2"/>
    <w:rsid w:val="00310CD7"/>
    <w:rsid w:val="0036624B"/>
    <w:rsid w:val="003A34DB"/>
    <w:rsid w:val="003E3CB6"/>
    <w:rsid w:val="003E7200"/>
    <w:rsid w:val="00454955"/>
    <w:rsid w:val="00457A5E"/>
    <w:rsid w:val="004829CC"/>
    <w:rsid w:val="00506285"/>
    <w:rsid w:val="005704B8"/>
    <w:rsid w:val="00586B95"/>
    <w:rsid w:val="005A10F3"/>
    <w:rsid w:val="005E655E"/>
    <w:rsid w:val="0067354E"/>
    <w:rsid w:val="007761E5"/>
    <w:rsid w:val="00796757"/>
    <w:rsid w:val="007F6CB6"/>
    <w:rsid w:val="0087515A"/>
    <w:rsid w:val="008D792D"/>
    <w:rsid w:val="008E5762"/>
    <w:rsid w:val="008F623F"/>
    <w:rsid w:val="00933440"/>
    <w:rsid w:val="00940A0A"/>
    <w:rsid w:val="009708E6"/>
    <w:rsid w:val="00973A82"/>
    <w:rsid w:val="00992AB8"/>
    <w:rsid w:val="00996EC0"/>
    <w:rsid w:val="009A2473"/>
    <w:rsid w:val="009F3630"/>
    <w:rsid w:val="009F44E2"/>
    <w:rsid w:val="009F7C3C"/>
    <w:rsid w:val="00A1376B"/>
    <w:rsid w:val="00A27D57"/>
    <w:rsid w:val="00A31A42"/>
    <w:rsid w:val="00A61197"/>
    <w:rsid w:val="00A773EA"/>
    <w:rsid w:val="00AB6237"/>
    <w:rsid w:val="00AD5CB0"/>
    <w:rsid w:val="00B50620"/>
    <w:rsid w:val="00B6221E"/>
    <w:rsid w:val="00B762F9"/>
    <w:rsid w:val="00B8109C"/>
    <w:rsid w:val="00B90E11"/>
    <w:rsid w:val="00BB60CB"/>
    <w:rsid w:val="00BD6D2A"/>
    <w:rsid w:val="00BE7D40"/>
    <w:rsid w:val="00C03D2A"/>
    <w:rsid w:val="00C256F6"/>
    <w:rsid w:val="00C53EC6"/>
    <w:rsid w:val="00CB401C"/>
    <w:rsid w:val="00CD3BA7"/>
    <w:rsid w:val="00D11327"/>
    <w:rsid w:val="00DA3317"/>
    <w:rsid w:val="00DC2B70"/>
    <w:rsid w:val="00E27A7E"/>
    <w:rsid w:val="00E6079D"/>
    <w:rsid w:val="00E809E0"/>
    <w:rsid w:val="00E9390B"/>
    <w:rsid w:val="00E9683D"/>
    <w:rsid w:val="00E97FE0"/>
    <w:rsid w:val="00EC0D85"/>
    <w:rsid w:val="00EC6125"/>
    <w:rsid w:val="00ED66D8"/>
    <w:rsid w:val="00EF3DB6"/>
    <w:rsid w:val="00F22894"/>
    <w:rsid w:val="00F255A4"/>
    <w:rsid w:val="00F51C8D"/>
    <w:rsid w:val="00FD7421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3"/>
  </w:style>
  <w:style w:type="paragraph" w:styleId="3">
    <w:name w:val="heading 3"/>
    <w:basedOn w:val="a"/>
    <w:next w:val="a"/>
    <w:link w:val="30"/>
    <w:qFormat/>
    <w:rsid w:val="003662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A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0E11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link w:val="StyleZakonu0"/>
    <w:rsid w:val="0036624B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3662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6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36624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3662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66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4">
    <w:name w:val="Style4"/>
    <w:basedOn w:val="a"/>
    <w:uiPriority w:val="99"/>
    <w:rsid w:val="0036624B"/>
    <w:pPr>
      <w:widowControl w:val="0"/>
      <w:autoSpaceDE w:val="0"/>
      <w:autoSpaceDN w:val="0"/>
      <w:adjustRightInd w:val="0"/>
      <w:spacing w:after="0" w:line="34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aliases w:val="Обычный (веб) Знак,Знак1 Знак,Знак1 Знак Знак,Знак1 Знак Знак Знак Знак Знак Знак Знак,Знак1,Обычный (веб) Знак2,Обычный (веб) Знак1 Знак,Обычный (веб) Знак Знак Знак,Знак1 Знак1 Знак Знак Знак Знак"/>
    <w:basedOn w:val="a"/>
    <w:link w:val="aa"/>
    <w:rsid w:val="0036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Звичайний (веб) Знак"/>
    <w:aliases w:val="Обычный (веб) Знак Знак,Знак1 Знак Знак1,Знак1 Знак Знак Знак,Знак1 Знак Знак Знак Знак Знак Знак Знак Знак,Знак1 Знак1,Обычный (веб) Знак2 Знак,Обычный (веб) Знак1 Знак Знак,Обычный (веб) Знак Знак Знак Знак"/>
    <w:link w:val="a9"/>
    <w:rsid w:val="003662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366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66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62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3"/>
  </w:style>
  <w:style w:type="paragraph" w:styleId="3">
    <w:name w:val="heading 3"/>
    <w:basedOn w:val="a"/>
    <w:next w:val="a"/>
    <w:link w:val="30"/>
    <w:qFormat/>
    <w:rsid w:val="003662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A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0E11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link w:val="StyleZakonu0"/>
    <w:rsid w:val="0036624B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3662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6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36624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3662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66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4">
    <w:name w:val="Style4"/>
    <w:basedOn w:val="a"/>
    <w:uiPriority w:val="99"/>
    <w:rsid w:val="0036624B"/>
    <w:pPr>
      <w:widowControl w:val="0"/>
      <w:autoSpaceDE w:val="0"/>
      <w:autoSpaceDN w:val="0"/>
      <w:adjustRightInd w:val="0"/>
      <w:spacing w:after="0" w:line="34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aliases w:val="Обычный (веб) Знак,Знак1 Знак,Знак1 Знак Знак,Знак1 Знак Знак Знак Знак Знак Знак Знак,Знак1,Обычный (веб) Знак2,Обычный (веб) Знак1 Знак,Обычный (веб) Знак Знак Знак,Знак1 Знак1 Знак Знак Знак Знак"/>
    <w:basedOn w:val="a"/>
    <w:link w:val="aa"/>
    <w:rsid w:val="0036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Звичайний (веб) Знак"/>
    <w:aliases w:val="Обычный (веб) Знак Знак,Знак1 Знак Знак1,Знак1 Знак Знак Знак,Знак1 Знак Знак Знак Знак Знак Знак Знак Знак,Знак1 Знак1,Обычный (веб) Знак2 Знак,Обычный (веб) Знак1 Знак Знак,Обычный (веб) Знак Знак Знак Знак"/>
    <w:link w:val="a9"/>
    <w:rsid w:val="003662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366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66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6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8696</Words>
  <Characters>4958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21</cp:revision>
  <cp:lastPrinted>2017-01-26T15:51:00Z</cp:lastPrinted>
  <dcterms:created xsi:type="dcterms:W3CDTF">2016-07-07T14:31:00Z</dcterms:created>
  <dcterms:modified xsi:type="dcterms:W3CDTF">2017-02-07T18:12:00Z</dcterms:modified>
</cp:coreProperties>
</file>