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F" w:rsidRPr="00A45649" w:rsidRDefault="00B91E6A" w:rsidP="00A45649">
      <w:pPr>
        <w:jc w:val="center"/>
        <w:rPr>
          <w:rStyle w:val="font171"/>
          <w:b/>
          <w:bCs/>
        </w:rPr>
      </w:pPr>
      <w:r w:rsidRPr="00A45649">
        <w:rPr>
          <w:rStyle w:val="font171"/>
          <w:b/>
          <w:bCs/>
        </w:rPr>
        <w:t>АНАЛІЗ РЕГУЛЯТОРНОГО ВПЛИВУ</w:t>
      </w:r>
    </w:p>
    <w:p w:rsidR="00A06E31" w:rsidRPr="00A45649" w:rsidRDefault="00BF09A2" w:rsidP="00A45649">
      <w:pPr>
        <w:jc w:val="center"/>
        <w:rPr>
          <w:b/>
          <w:sz w:val="28"/>
          <w:szCs w:val="28"/>
        </w:rPr>
      </w:pPr>
      <w:r w:rsidRPr="00A45649">
        <w:rPr>
          <w:rStyle w:val="font171"/>
          <w:b/>
        </w:rPr>
        <w:t>проекту</w:t>
      </w:r>
      <w:r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7A69" w:rsidRPr="00A45649">
        <w:rPr>
          <w:rFonts w:eastAsiaTheme="minorHAnsi"/>
          <w:b/>
          <w:sz w:val="28"/>
          <w:szCs w:val="28"/>
          <w:lang w:eastAsia="en-US"/>
        </w:rPr>
        <w:t xml:space="preserve">наказу Міністерства фінансів України </w:t>
      </w:r>
      <w:r w:rsidRPr="00A45649">
        <w:rPr>
          <w:b/>
          <w:sz w:val="28"/>
          <w:szCs w:val="28"/>
          <w:lang w:eastAsia="ru-RU"/>
        </w:rPr>
        <w:t>«</w:t>
      </w:r>
      <w:r w:rsidR="00A06E31" w:rsidRPr="00A45649">
        <w:rPr>
          <w:b/>
          <w:sz w:val="28"/>
          <w:szCs w:val="28"/>
          <w:lang w:eastAsia="ru-RU"/>
        </w:rPr>
        <w:t>Про затвердження Змін до Порядку заповнення та видачі митницею сертифіката з перевезення (походження) товару EUR.1 або EUR-МED</w:t>
      </w:r>
      <w:r w:rsidR="00A06E31" w:rsidRPr="00A45649">
        <w:rPr>
          <w:b/>
          <w:iCs/>
          <w:sz w:val="28"/>
          <w:szCs w:val="28"/>
        </w:rPr>
        <w:t>»</w:t>
      </w:r>
    </w:p>
    <w:p w:rsidR="00871221" w:rsidRPr="0070189F" w:rsidRDefault="00871221" w:rsidP="00A45649"/>
    <w:p w:rsidR="00B91E6A" w:rsidRDefault="00B91E6A" w:rsidP="00A45649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871221" w:rsidRDefault="00871221" w:rsidP="00A45649"/>
    <w:p w:rsidR="00AC60F9" w:rsidRPr="00A45649" w:rsidRDefault="00AC60F9" w:rsidP="00A45649">
      <w:pPr>
        <w:ind w:firstLine="567"/>
        <w:jc w:val="both"/>
        <w:rPr>
          <w:rStyle w:val="font171"/>
        </w:rPr>
      </w:pPr>
      <w:r w:rsidRPr="00A45649">
        <w:rPr>
          <w:rStyle w:val="font171"/>
        </w:rPr>
        <w:t>На сьогодні Поряд</w:t>
      </w:r>
      <w:r w:rsidR="0061026E" w:rsidRPr="00A45649">
        <w:rPr>
          <w:rStyle w:val="font171"/>
        </w:rPr>
        <w:t>к</w:t>
      </w:r>
      <w:r w:rsidRPr="00A45649">
        <w:rPr>
          <w:rStyle w:val="font171"/>
        </w:rPr>
        <w:t>ом</w:t>
      </w:r>
      <w:r w:rsidRPr="00A45649">
        <w:rPr>
          <w:sz w:val="28"/>
          <w:szCs w:val="28"/>
        </w:rPr>
        <w:t xml:space="preserve"> заповнення та видачі митницею сертифіката з перевезення (походження) товару</w:t>
      </w:r>
      <w:r w:rsidR="005352D4">
        <w:rPr>
          <w:sz w:val="28"/>
          <w:szCs w:val="28"/>
        </w:rPr>
        <w:t xml:space="preserve"> EUR.1 або EUR-MED, затвердженим</w:t>
      </w:r>
      <w:r w:rsidRPr="00A45649">
        <w:rPr>
          <w:sz w:val="28"/>
          <w:szCs w:val="28"/>
        </w:rPr>
        <w:t xml:space="preserve"> наказом Міністерства фінансів України від 02 березня 2021 року № 139</w:t>
      </w:r>
      <w:r w:rsidR="00DD5A44" w:rsidRPr="00A45649">
        <w:rPr>
          <w:sz w:val="28"/>
          <w:szCs w:val="28"/>
        </w:rPr>
        <w:t xml:space="preserve"> </w:t>
      </w:r>
      <w:r w:rsidR="005352D4">
        <w:rPr>
          <w:sz w:val="28"/>
          <w:szCs w:val="28"/>
        </w:rPr>
        <w:t xml:space="preserve">            </w:t>
      </w:r>
      <w:r w:rsidR="00DD5A44" w:rsidRPr="00A45649">
        <w:rPr>
          <w:sz w:val="28"/>
          <w:szCs w:val="28"/>
        </w:rPr>
        <w:t>(далі – Порядок)</w:t>
      </w:r>
      <w:r w:rsidR="005352D4">
        <w:rPr>
          <w:sz w:val="28"/>
          <w:szCs w:val="28"/>
        </w:rPr>
        <w:t>,</w:t>
      </w:r>
      <w:r w:rsidRPr="00A45649">
        <w:rPr>
          <w:sz w:val="28"/>
          <w:szCs w:val="28"/>
        </w:rPr>
        <w:t xml:space="preserve"> не</w:t>
      </w:r>
      <w:r w:rsidR="00DD5A44" w:rsidRPr="00A45649">
        <w:rPr>
          <w:sz w:val="28"/>
          <w:szCs w:val="28"/>
        </w:rPr>
        <w:t xml:space="preserve"> встановлено </w:t>
      </w:r>
      <w:r w:rsidR="005352D4">
        <w:rPr>
          <w:sz w:val="28"/>
          <w:szCs w:val="28"/>
        </w:rPr>
        <w:t>процедури</w:t>
      </w:r>
      <w:r w:rsidRPr="00A45649">
        <w:rPr>
          <w:sz w:val="28"/>
          <w:szCs w:val="28"/>
        </w:rPr>
        <w:t xml:space="preserve"> анулювання митницею</w:t>
      </w:r>
      <w:r w:rsidR="00F36C1F" w:rsidRPr="00A45649">
        <w:rPr>
          <w:sz w:val="28"/>
          <w:szCs w:val="28"/>
        </w:rPr>
        <w:t xml:space="preserve"> сертифіката з перевезення (походження) товару EUR.1 або EUR-MED</w:t>
      </w:r>
      <w:r w:rsidR="004A1D7F" w:rsidRPr="00A45649">
        <w:rPr>
          <w:sz w:val="28"/>
          <w:szCs w:val="28"/>
        </w:rPr>
        <w:t xml:space="preserve"> </w:t>
      </w:r>
      <w:r w:rsidR="003E54FF">
        <w:rPr>
          <w:sz w:val="28"/>
          <w:szCs w:val="28"/>
        </w:rPr>
        <w:t xml:space="preserve">                   </w:t>
      </w:r>
      <w:r w:rsidR="004A1D7F" w:rsidRPr="00A45649">
        <w:rPr>
          <w:sz w:val="28"/>
          <w:szCs w:val="28"/>
        </w:rPr>
        <w:t>(далі – сертифікат)</w:t>
      </w:r>
      <w:r w:rsidRPr="00A45649">
        <w:rPr>
          <w:sz w:val="28"/>
          <w:szCs w:val="28"/>
        </w:rPr>
        <w:t xml:space="preserve"> у разі встановлення фактів його видачі на підставі поданих експортером недостовірних документів (відомостей).</w:t>
      </w:r>
    </w:p>
    <w:p w:rsidR="00DD5A44" w:rsidRPr="00A45649" w:rsidRDefault="009D0793" w:rsidP="00A456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649">
        <w:rPr>
          <w:rFonts w:eastAsiaTheme="minorHAnsi"/>
          <w:sz w:val="28"/>
          <w:szCs w:val="28"/>
          <w:lang w:eastAsia="en-US"/>
        </w:rPr>
        <w:t>Натомість митницею</w:t>
      </w:r>
      <w:r w:rsidRPr="00A45649">
        <w:rPr>
          <w:rFonts w:eastAsiaTheme="minorHAnsi"/>
          <w:sz w:val="28"/>
          <w:szCs w:val="28"/>
          <w:lang w:val="ru-RU" w:eastAsia="en-US"/>
        </w:rPr>
        <w:t xml:space="preserve"> </w:t>
      </w:r>
      <w:r w:rsidR="005352D4">
        <w:rPr>
          <w:rFonts w:eastAsiaTheme="minorHAnsi"/>
          <w:sz w:val="28"/>
          <w:szCs w:val="28"/>
          <w:lang w:eastAsia="en-US"/>
        </w:rPr>
        <w:t>за результатами</w:t>
      </w:r>
      <w:r w:rsidRPr="00A45649">
        <w:rPr>
          <w:rFonts w:eastAsiaTheme="minorHAnsi"/>
          <w:sz w:val="28"/>
          <w:szCs w:val="28"/>
          <w:lang w:eastAsia="en-US"/>
        </w:rPr>
        <w:t xml:space="preserve">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на товари</w:t>
      </w:r>
      <w:r w:rsidRPr="00A4564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45649">
        <w:rPr>
          <w:rFonts w:eastAsiaTheme="minorHAnsi"/>
          <w:sz w:val="28"/>
          <w:szCs w:val="28"/>
          <w:lang w:eastAsia="en-US"/>
        </w:rPr>
        <w:t>українського походження, які оподатковуються вивізним митом за зниженими ставками відповідно до угод про вільну торгівлю з країнами ЄС та Великою Британією.</w:t>
      </w:r>
    </w:p>
    <w:p w:rsidR="009D0793" w:rsidRPr="00A45649" w:rsidRDefault="00DD5A44" w:rsidP="00A456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649">
        <w:rPr>
          <w:rFonts w:eastAsiaTheme="minorHAnsi"/>
          <w:sz w:val="28"/>
          <w:szCs w:val="28"/>
          <w:lang w:eastAsia="en-US"/>
        </w:rPr>
        <w:t xml:space="preserve">Крім того, Порядком не передбачено </w:t>
      </w:r>
      <w:r w:rsidR="004A1D7F" w:rsidRPr="00A45649">
        <w:rPr>
          <w:rFonts w:eastAsiaTheme="minorHAnsi"/>
          <w:sz w:val="28"/>
          <w:szCs w:val="28"/>
          <w:lang w:eastAsia="en-US"/>
        </w:rPr>
        <w:t xml:space="preserve">механізму </w:t>
      </w:r>
      <w:r w:rsidRPr="00A45649">
        <w:rPr>
          <w:rFonts w:eastAsiaTheme="minorHAnsi"/>
          <w:sz w:val="28"/>
          <w:szCs w:val="28"/>
          <w:lang w:eastAsia="en-US"/>
        </w:rPr>
        <w:t>подання експортером, який не є виробником товару, документів про преференційне походження товарів з України, на які законодавством України встановлено заходи тарифного та нетарифного регулювання.</w:t>
      </w:r>
      <w:r w:rsidR="009D0793" w:rsidRPr="00A45649">
        <w:rPr>
          <w:rFonts w:eastAsiaTheme="minorHAnsi"/>
          <w:sz w:val="28"/>
          <w:szCs w:val="28"/>
          <w:lang w:eastAsia="en-US"/>
        </w:rPr>
        <w:t xml:space="preserve"> </w:t>
      </w:r>
    </w:p>
    <w:p w:rsidR="006317BC" w:rsidRPr="00A45649" w:rsidRDefault="009D0793" w:rsidP="00A45649">
      <w:pPr>
        <w:ind w:firstLine="567"/>
        <w:jc w:val="both"/>
        <w:rPr>
          <w:sz w:val="28"/>
          <w:szCs w:val="28"/>
        </w:rPr>
      </w:pPr>
      <w:r w:rsidRPr="00A45649">
        <w:rPr>
          <w:rStyle w:val="font171"/>
        </w:rPr>
        <w:t xml:space="preserve">Такий механізм </w:t>
      </w:r>
      <w:r w:rsidR="006317BC" w:rsidRPr="00A45649">
        <w:rPr>
          <w:sz w:val="28"/>
          <w:szCs w:val="28"/>
        </w:rPr>
        <w:t>унеможливлює оформлення митними органами результатів верифікації для цілей вжиття контрольно-перевірочних заходів з донарахування вивізного мита</w:t>
      </w:r>
      <w:r w:rsidR="004A1D7F" w:rsidRPr="00A45649">
        <w:rPr>
          <w:sz w:val="28"/>
          <w:szCs w:val="28"/>
        </w:rPr>
        <w:t xml:space="preserve"> та перевірки при видачі сертифіката </w:t>
      </w:r>
      <w:r w:rsidR="004A1D7F" w:rsidRPr="00A45649">
        <w:rPr>
          <w:rFonts w:eastAsiaTheme="minorHAnsi"/>
          <w:sz w:val="28"/>
          <w:szCs w:val="28"/>
          <w:lang w:eastAsia="en-US"/>
        </w:rPr>
        <w:t>достовірності преференційного походження товарів з України</w:t>
      </w:r>
      <w:r w:rsidR="006317BC" w:rsidRPr="00A45649">
        <w:rPr>
          <w:sz w:val="28"/>
          <w:szCs w:val="28"/>
        </w:rPr>
        <w:t xml:space="preserve">. </w:t>
      </w:r>
    </w:p>
    <w:p w:rsidR="00195A8B" w:rsidRPr="005352D4" w:rsidRDefault="00B91E6A" w:rsidP="005352D4">
      <w:pPr>
        <w:ind w:firstLine="567"/>
        <w:jc w:val="both"/>
        <w:rPr>
          <w:sz w:val="28"/>
          <w:szCs w:val="28"/>
        </w:rPr>
      </w:pPr>
      <w:r w:rsidRPr="00A45649">
        <w:rPr>
          <w:rStyle w:val="font171"/>
        </w:rPr>
        <w:t xml:space="preserve">Метою </w:t>
      </w:r>
      <w:r w:rsidR="00E23F06" w:rsidRPr="00A45649">
        <w:rPr>
          <w:rStyle w:val="font171"/>
        </w:rPr>
        <w:t>роз</w:t>
      </w:r>
      <w:r w:rsidR="005352D4">
        <w:rPr>
          <w:rStyle w:val="font171"/>
        </w:rPr>
        <w:t xml:space="preserve">роблення </w:t>
      </w:r>
      <w:r w:rsidR="007A352A" w:rsidRPr="00A45649">
        <w:rPr>
          <w:rStyle w:val="font171"/>
        </w:rPr>
        <w:t>проекту наказу</w:t>
      </w:r>
      <w:r w:rsidR="005352D4" w:rsidRPr="005352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52D4" w:rsidRPr="005352D4">
        <w:rPr>
          <w:rFonts w:eastAsiaTheme="minorHAnsi"/>
          <w:sz w:val="28"/>
          <w:szCs w:val="28"/>
          <w:lang w:eastAsia="en-US"/>
        </w:rPr>
        <w:t xml:space="preserve">Міністерства фінансів України </w:t>
      </w:r>
      <w:r w:rsidR="005352D4" w:rsidRPr="005352D4">
        <w:rPr>
          <w:sz w:val="28"/>
          <w:szCs w:val="28"/>
          <w:lang w:eastAsia="ru-RU"/>
        </w:rPr>
        <w:t>«Про затвердження Змін до Порядку заповнення та видачі митницею сертифіката з перевезення (походження) товару EUR.1 або EUR-МED</w:t>
      </w:r>
      <w:r w:rsidR="005352D4" w:rsidRPr="005352D4">
        <w:rPr>
          <w:iCs/>
          <w:sz w:val="28"/>
          <w:szCs w:val="28"/>
        </w:rPr>
        <w:t>»</w:t>
      </w:r>
      <w:r w:rsidR="005352D4">
        <w:rPr>
          <w:rStyle w:val="font171"/>
        </w:rPr>
        <w:t xml:space="preserve"> </w:t>
      </w:r>
      <w:r w:rsidR="003E54FF">
        <w:rPr>
          <w:rStyle w:val="font171"/>
        </w:rPr>
        <w:t xml:space="preserve">                                       </w:t>
      </w:r>
      <w:r w:rsidR="005352D4">
        <w:rPr>
          <w:rStyle w:val="font171"/>
        </w:rPr>
        <w:t>(далі – проект наказу)</w:t>
      </w:r>
      <w:r w:rsidRPr="00A45649">
        <w:rPr>
          <w:rStyle w:val="font171"/>
        </w:rPr>
        <w:t xml:space="preserve"> є</w:t>
      </w:r>
      <w:r w:rsidR="00B676F1" w:rsidRPr="00A45649">
        <w:rPr>
          <w:rStyle w:val="font141"/>
          <w:sz w:val="28"/>
          <w:szCs w:val="28"/>
        </w:rPr>
        <w:t xml:space="preserve"> </w:t>
      </w:r>
      <w:r w:rsidR="00B676F1" w:rsidRPr="00A45649">
        <w:rPr>
          <w:sz w:val="28"/>
          <w:szCs w:val="28"/>
        </w:rPr>
        <w:t xml:space="preserve">встановлення процедури </w:t>
      </w:r>
      <w:r w:rsidR="004A1D7F" w:rsidRPr="00A45649">
        <w:rPr>
          <w:sz w:val="28"/>
          <w:szCs w:val="28"/>
        </w:rPr>
        <w:t xml:space="preserve">анулювання </w:t>
      </w:r>
      <w:r w:rsidR="00B676F1" w:rsidRPr="00A45649">
        <w:rPr>
          <w:sz w:val="28"/>
          <w:szCs w:val="28"/>
        </w:rPr>
        <w:t>сертифіката у разі встановлення фактів його видачі на підставі поданих експортером недостовірних документів (відомостей)</w:t>
      </w:r>
      <w:r w:rsidR="00DD5A44" w:rsidRPr="00A45649">
        <w:rPr>
          <w:sz w:val="28"/>
          <w:szCs w:val="28"/>
        </w:rPr>
        <w:t>, а також механізм</w:t>
      </w:r>
      <w:r w:rsidR="0044543A" w:rsidRPr="00A45649">
        <w:rPr>
          <w:sz w:val="28"/>
          <w:szCs w:val="28"/>
        </w:rPr>
        <w:t>у</w:t>
      </w:r>
      <w:r w:rsidR="00DD5A44" w:rsidRPr="00A45649">
        <w:rPr>
          <w:sz w:val="28"/>
          <w:szCs w:val="28"/>
        </w:rPr>
        <w:t xml:space="preserve"> </w:t>
      </w:r>
      <w:r w:rsidR="004A1D7F" w:rsidRPr="00A45649">
        <w:rPr>
          <w:rFonts w:eastAsiaTheme="minorHAnsi"/>
          <w:sz w:val="28"/>
          <w:szCs w:val="28"/>
          <w:lang w:eastAsia="en-US"/>
        </w:rPr>
        <w:t>документального підтвердження преференційного</w:t>
      </w:r>
      <w:r w:rsidR="00DD5A44" w:rsidRPr="00A45649">
        <w:rPr>
          <w:rFonts w:eastAsiaTheme="minorHAnsi"/>
          <w:sz w:val="28"/>
          <w:szCs w:val="28"/>
          <w:lang w:eastAsia="en-US"/>
        </w:rPr>
        <w:t xml:space="preserve"> походження товарів з України</w:t>
      </w:r>
      <w:r w:rsidR="0044543A" w:rsidRPr="00A45649">
        <w:rPr>
          <w:rFonts w:eastAsiaTheme="minorHAnsi"/>
          <w:sz w:val="28"/>
          <w:szCs w:val="28"/>
          <w:lang w:eastAsia="en-US"/>
        </w:rPr>
        <w:t xml:space="preserve"> при видачі </w:t>
      </w:r>
      <w:r w:rsidR="0044543A" w:rsidRPr="00A45649">
        <w:rPr>
          <w:sz w:val="28"/>
          <w:szCs w:val="28"/>
        </w:rPr>
        <w:t>сертифікатів у разі</w:t>
      </w:r>
      <w:r w:rsidR="004A1D7F" w:rsidRPr="00A45649">
        <w:rPr>
          <w:sz w:val="28"/>
          <w:szCs w:val="28"/>
        </w:rPr>
        <w:t>,</w:t>
      </w:r>
      <w:r w:rsidR="0044543A" w:rsidRPr="00A45649">
        <w:rPr>
          <w:sz w:val="28"/>
          <w:szCs w:val="28"/>
        </w:rPr>
        <w:t xml:space="preserve"> якщо експортер не є виробником товарів</w:t>
      </w:r>
      <w:r w:rsidR="00195A8B" w:rsidRPr="00A45649">
        <w:rPr>
          <w:rFonts w:eastAsiaTheme="minorHAnsi"/>
          <w:sz w:val="28"/>
          <w:szCs w:val="28"/>
          <w:lang w:eastAsia="en-US"/>
        </w:rPr>
        <w:t>.</w:t>
      </w:r>
    </w:p>
    <w:p w:rsidR="002B1D9E" w:rsidRDefault="002B1D9E" w:rsidP="00A45649">
      <w:pPr>
        <w:ind w:firstLine="567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B1D9E" w:rsidRPr="00691089" w:rsidTr="005A0374">
        <w:trPr>
          <w:tblHeader/>
          <w:jc w:val="center"/>
        </w:trPr>
        <w:tc>
          <w:tcPr>
            <w:tcW w:w="5672" w:type="dxa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Групи (підгрупи)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Ні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EB30EC" w:rsidRDefault="002B1D9E" w:rsidP="00A45649">
            <w:pPr>
              <w:rPr>
                <w:lang w:val="ru-RU"/>
              </w:rPr>
            </w:pPr>
            <w:r w:rsidRPr="00691089">
              <w:rPr>
                <w:rStyle w:val="font141"/>
                <w:sz w:val="24"/>
                <w:szCs w:val="24"/>
              </w:rPr>
              <w:t>у тому числі суб’єкти малого підприємництва</w:t>
            </w:r>
            <w:r w:rsidRPr="00EB30EC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</w:tbl>
    <w:p w:rsidR="002B1D9E" w:rsidRDefault="002B1D9E" w:rsidP="005352D4">
      <w:pPr>
        <w:ind w:firstLine="567"/>
        <w:jc w:val="both"/>
        <w:rPr>
          <w:rStyle w:val="font171"/>
        </w:rPr>
      </w:pPr>
      <w:r w:rsidRPr="00EB30EC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8264C0" w:rsidRDefault="008264C0" w:rsidP="005352D4">
      <w:pPr>
        <w:ind w:firstLine="567"/>
        <w:jc w:val="both"/>
        <w:rPr>
          <w:rStyle w:val="font171"/>
        </w:rPr>
      </w:pPr>
    </w:p>
    <w:p w:rsidR="00C12599" w:rsidRDefault="00B91E6A" w:rsidP="00A45649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Врегулювання зазначеного питання не може бути здійснено за допомогою: </w:t>
      </w:r>
    </w:p>
    <w:p w:rsidR="00B91E6A" w:rsidRDefault="00B91E6A" w:rsidP="00A45649">
      <w:pPr>
        <w:ind w:firstLine="567"/>
        <w:jc w:val="both"/>
      </w:pPr>
      <w:r>
        <w:rPr>
          <w:rStyle w:val="font171"/>
        </w:rPr>
        <w:lastRenderedPageBreak/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A45649">
      <w:pPr>
        <w:ind w:firstLine="567"/>
        <w:rPr>
          <w:rStyle w:val="font171"/>
        </w:rPr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A45649" w:rsidRDefault="00A45649" w:rsidP="00A45649">
      <w:pPr>
        <w:ind w:firstLine="567"/>
      </w:pPr>
    </w:p>
    <w:p w:rsidR="00B91E6A" w:rsidRDefault="00B91E6A" w:rsidP="00A45649">
      <w:pPr>
        <w:ind w:firstLine="567"/>
        <w:rPr>
          <w:rStyle w:val="font171"/>
          <w:b/>
          <w:bCs/>
        </w:rPr>
      </w:pPr>
      <w:bookmarkStart w:id="0" w:name="bookmark14"/>
      <w:bookmarkEnd w:id="0"/>
      <w:r>
        <w:rPr>
          <w:rStyle w:val="font171"/>
          <w:b/>
          <w:bCs/>
        </w:rPr>
        <w:t>II. Цілі державного регулювання</w:t>
      </w:r>
    </w:p>
    <w:p w:rsidR="00A45649" w:rsidRDefault="00A45649" w:rsidP="00A45649"/>
    <w:p w:rsidR="00027DF6" w:rsidRPr="00027DF6" w:rsidRDefault="00027DF6" w:rsidP="00A45649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>Цілями державного регулювання у цій сфері є</w:t>
      </w:r>
      <w:r w:rsidRPr="00027DF6">
        <w:rPr>
          <w:rStyle w:val="font171"/>
          <w:lang w:val="ru-RU"/>
        </w:rPr>
        <w:t>:</w:t>
      </w:r>
    </w:p>
    <w:p w:rsidR="00027DF6" w:rsidRPr="003E54FF" w:rsidRDefault="00027DF6" w:rsidP="00A45649">
      <w:pPr>
        <w:ind w:firstLine="567"/>
        <w:jc w:val="both"/>
        <w:rPr>
          <w:sz w:val="28"/>
          <w:szCs w:val="28"/>
        </w:rPr>
      </w:pPr>
      <w:r w:rsidRPr="003E54FF">
        <w:rPr>
          <w:sz w:val="28"/>
          <w:szCs w:val="28"/>
        </w:rPr>
        <w:t>встановлення процедури анулювання сертифіката у разі встановлення фактів його видачі на підставі поданих експортером недостовірних документів (відомостей);</w:t>
      </w:r>
    </w:p>
    <w:p w:rsidR="00A45649" w:rsidRPr="003E54FF" w:rsidRDefault="00027DF6" w:rsidP="00027DF6">
      <w:pPr>
        <w:ind w:firstLine="567"/>
        <w:rPr>
          <w:sz w:val="28"/>
          <w:szCs w:val="28"/>
        </w:rPr>
      </w:pPr>
      <w:r w:rsidRPr="003E54FF">
        <w:rPr>
          <w:sz w:val="28"/>
          <w:szCs w:val="28"/>
        </w:rPr>
        <w:t>визначення механізму документального підтвердження преференційного походження товарів з України при видачі сертифікатів у разі, якщо експортер не є виробником товарів;</w:t>
      </w:r>
    </w:p>
    <w:p w:rsidR="00027DF6" w:rsidRPr="003E54FF" w:rsidRDefault="00027DF6" w:rsidP="00027DF6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rFonts w:eastAsiaTheme="minorEastAsia"/>
          <w:sz w:val="28"/>
          <w:szCs w:val="28"/>
          <w:lang w:val="uk-UA" w:eastAsia="uk-UA"/>
        </w:rPr>
      </w:pPr>
      <w:r w:rsidRPr="003E54FF">
        <w:rPr>
          <w:rFonts w:eastAsiaTheme="minorEastAsia"/>
          <w:sz w:val="28"/>
          <w:szCs w:val="28"/>
          <w:lang w:val="uk-UA" w:eastAsia="uk-UA"/>
        </w:rPr>
        <w:t xml:space="preserve">можливість видачі сертифіката на реекспорт товарів походженням з країн, з якими Україною укладено угоди про вільну торгівлю за умови, що вони не підлягали будь-якій обробці або переробці в Україні або на заміну сертифіката, не прийнятого з технічних причин митними органами країни імпорту. </w:t>
      </w:r>
    </w:p>
    <w:p w:rsidR="00027DF6" w:rsidRDefault="00027DF6" w:rsidP="00F906CB">
      <w:pPr>
        <w:ind w:firstLine="567"/>
        <w:rPr>
          <w:rStyle w:val="font171"/>
          <w:b/>
          <w:bCs/>
        </w:rPr>
      </w:pPr>
    </w:p>
    <w:p w:rsidR="00B91E6A" w:rsidRDefault="00B91E6A" w:rsidP="00F906CB">
      <w:pPr>
        <w:ind w:firstLine="567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F906CB" w:rsidRDefault="00F906CB" w:rsidP="00F906CB">
      <w:pPr>
        <w:ind w:firstLine="567"/>
        <w:rPr>
          <w:rStyle w:val="font171"/>
          <w:bCs/>
        </w:rPr>
      </w:pPr>
    </w:p>
    <w:p w:rsidR="00441950" w:rsidRDefault="00441950" w:rsidP="00F906CB">
      <w:pPr>
        <w:ind w:firstLine="567"/>
        <w:rPr>
          <w:rStyle w:val="font171"/>
        </w:rPr>
      </w:pPr>
      <w:r w:rsidRPr="00817C30">
        <w:rPr>
          <w:rStyle w:val="font171"/>
          <w:bCs/>
        </w:rPr>
        <w:t xml:space="preserve">1. </w:t>
      </w:r>
      <w:r w:rsidR="001C0D1D">
        <w:rPr>
          <w:rStyle w:val="font171"/>
        </w:rPr>
        <w:t>Визначення альтернативних способів</w:t>
      </w:r>
    </w:p>
    <w:p w:rsidR="005352D4" w:rsidRDefault="005352D4" w:rsidP="00F906CB">
      <w:pPr>
        <w:ind w:firstLine="567"/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5352D4">
            <w:pPr>
              <w:jc w:val="both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Залишити наказ Міністерства фінансів України без змін</w:t>
            </w:r>
          </w:p>
        </w:tc>
      </w:tr>
      <w:tr w:rsidR="00441950" w:rsidRPr="00441950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6946" w:type="dxa"/>
            <w:vAlign w:val="center"/>
          </w:tcPr>
          <w:p w:rsidR="00441950" w:rsidRPr="00441950" w:rsidRDefault="008264C0" w:rsidP="005352D4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 xml:space="preserve">Прийняти </w:t>
            </w:r>
            <w:r w:rsidR="005352D4">
              <w:rPr>
                <w:rStyle w:val="font141"/>
                <w:sz w:val="24"/>
                <w:szCs w:val="24"/>
              </w:rPr>
              <w:t xml:space="preserve">проект </w:t>
            </w:r>
            <w:r>
              <w:rPr>
                <w:rStyle w:val="font141"/>
                <w:sz w:val="24"/>
                <w:szCs w:val="24"/>
              </w:rPr>
              <w:t>наказ</w:t>
            </w:r>
            <w:r w:rsidR="005352D4">
              <w:rPr>
                <w:rStyle w:val="font141"/>
                <w:sz w:val="24"/>
                <w:szCs w:val="24"/>
              </w:rPr>
              <w:t>у</w:t>
            </w:r>
            <w:r w:rsidR="00441950" w:rsidRPr="00691089">
              <w:rPr>
                <w:rStyle w:val="font141"/>
                <w:sz w:val="24"/>
                <w:szCs w:val="24"/>
              </w:rPr>
              <w:t xml:space="preserve"> Міністерства фінансів України «</w:t>
            </w:r>
            <w:r w:rsidR="00441950" w:rsidRPr="00441950">
              <w:rPr>
                <w:rStyle w:val="font141"/>
                <w:sz w:val="24"/>
                <w:szCs w:val="24"/>
              </w:rPr>
              <w:t>Про затвердження Змін до Порядку заповнення та видачі митницею сертифіката з перевезення (походження) товару EUR.1 або EUR-МED</w:t>
            </w:r>
            <w:r w:rsidR="00441950" w:rsidRPr="00691089">
              <w:rPr>
                <w:rStyle w:val="font141"/>
                <w:sz w:val="24"/>
                <w:szCs w:val="24"/>
              </w:rPr>
              <w:t>»</w:t>
            </w:r>
          </w:p>
        </w:tc>
      </w:tr>
    </w:tbl>
    <w:p w:rsidR="008264C0" w:rsidRPr="005352D4" w:rsidRDefault="008264C0" w:rsidP="005352D4">
      <w:pPr>
        <w:jc w:val="both"/>
        <w:rPr>
          <w:rFonts w:eastAsia="Calibri"/>
          <w:lang w:eastAsia="en-US"/>
        </w:rPr>
      </w:pPr>
      <w:r w:rsidRPr="008264C0">
        <w:rPr>
          <w:rFonts w:eastAsia="Calibri"/>
          <w:sz w:val="27"/>
          <w:szCs w:val="27"/>
          <w:lang w:eastAsia="en-US"/>
        </w:rPr>
        <w:t xml:space="preserve">⃰⃰⃰⃰⃰⃰ </w:t>
      </w:r>
      <w:r w:rsidR="005352D4">
        <w:rPr>
          <w:rFonts w:eastAsia="Calibri"/>
          <w:lang w:eastAsia="en-US"/>
        </w:rPr>
        <w:t>І</w:t>
      </w:r>
      <w:r w:rsidRPr="005352D4">
        <w:rPr>
          <w:rFonts w:eastAsia="Calibri"/>
          <w:lang w:eastAsia="en-US"/>
        </w:rPr>
        <w:t xml:space="preserve">нших альтернативних способів досягнення основної </w:t>
      </w:r>
      <w:r w:rsidR="005352D4">
        <w:rPr>
          <w:rFonts w:eastAsia="Calibri"/>
          <w:lang w:eastAsia="en-US"/>
        </w:rPr>
        <w:t xml:space="preserve">мети, ніж прийняття зазначеного </w:t>
      </w:r>
      <w:r w:rsidRPr="005352D4">
        <w:rPr>
          <w:rFonts w:eastAsia="Calibri"/>
          <w:lang w:eastAsia="en-US"/>
        </w:rPr>
        <w:t>регуляторного акта, не існує.</w:t>
      </w:r>
    </w:p>
    <w:p w:rsidR="00441950" w:rsidRPr="005352D4" w:rsidRDefault="00441950" w:rsidP="00A45649">
      <w:pPr>
        <w:rPr>
          <w:rStyle w:val="font171"/>
        </w:rPr>
      </w:pPr>
    </w:p>
    <w:p w:rsidR="00441950" w:rsidRDefault="00441950" w:rsidP="00F906CB">
      <w:pPr>
        <w:ind w:firstLine="567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441950" w:rsidRDefault="00441950" w:rsidP="00F906CB">
      <w:pPr>
        <w:ind w:firstLine="567"/>
        <w:rPr>
          <w:rStyle w:val="font171"/>
        </w:rPr>
      </w:pPr>
    </w:p>
    <w:p w:rsidR="00441950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2.1. </w:t>
      </w:r>
      <w:r w:rsidR="00441950" w:rsidRPr="00EB30EC">
        <w:rPr>
          <w:rStyle w:val="font171"/>
        </w:rPr>
        <w:t>Оцінка впливу на сферу інтересів держави</w:t>
      </w:r>
      <w:r>
        <w:rPr>
          <w:rStyle w:val="font171"/>
        </w:rPr>
        <w:t>.</w:t>
      </w:r>
    </w:p>
    <w:p w:rsidR="001C0D1D" w:rsidRPr="002F6265" w:rsidRDefault="001C0D1D" w:rsidP="00F906CB">
      <w:pPr>
        <w:ind w:firstLine="567"/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419"/>
        <w:gridCol w:w="4252"/>
        <w:gridCol w:w="2827"/>
      </w:tblGrid>
      <w:tr w:rsidR="00FF426E" w:rsidTr="00FD56D5">
        <w:trPr>
          <w:tblHeader/>
        </w:trPr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67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268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FF426E" w:rsidRPr="00FF426E" w:rsidTr="00FF426E"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679" w:type="dxa"/>
            <w:vAlign w:val="center"/>
          </w:tcPr>
          <w:p w:rsidR="00441950" w:rsidRPr="005352D4" w:rsidRDefault="005352D4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>Залишаючи чинне</w:t>
            </w:r>
            <w:r w:rsidR="00441950" w:rsidRPr="005352D4">
              <w:rPr>
                <w:rFonts w:eastAsia="Calibri"/>
                <w:lang w:eastAsia="en-US"/>
              </w:rPr>
              <w:t xml:space="preserve"> регулю</w:t>
            </w:r>
            <w:r>
              <w:rPr>
                <w:rFonts w:eastAsia="Calibri"/>
                <w:lang w:eastAsia="en-US"/>
              </w:rPr>
              <w:t>вання без змін, вигоди відсутні</w:t>
            </w:r>
          </w:p>
        </w:tc>
        <w:tc>
          <w:tcPr>
            <w:tcW w:w="2268" w:type="dxa"/>
            <w:vAlign w:val="center"/>
          </w:tcPr>
          <w:p w:rsidR="00AF04CA" w:rsidRPr="003E54FF" w:rsidRDefault="00FF426E" w:rsidP="00FF426E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1) Відсутність 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док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ументів, що підтверджують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 походження товарів з України у разі якщо 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експортер не є виробником товарів або 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сертифікат не прийнято з технічних причин митними органами </w:t>
            </w:r>
            <w:r w:rsidR="00AF04CA" w:rsidRPr="003E54FF">
              <w:rPr>
                <w:rStyle w:val="font141"/>
                <w:sz w:val="24"/>
                <w:szCs w:val="24"/>
                <w:lang w:val="uk-UA" w:eastAsia="uk-UA"/>
              </w:rPr>
              <w:lastRenderedPageBreak/>
              <w:t>країни імпорту</w:t>
            </w: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.</w:t>
            </w:r>
          </w:p>
          <w:p w:rsidR="00FF426E" w:rsidRPr="003E54FF" w:rsidRDefault="00FF426E" w:rsidP="00FF426E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>2) Неможливість пільгового режиму оподаткування на умовах вільної торгівлі на реекспорт товарів походженням з країн, з якими Україною укладено угоди про вільну торгівлю;</w:t>
            </w:r>
          </w:p>
          <w:p w:rsidR="00441950" w:rsidRPr="00FF426E" w:rsidRDefault="00FF426E" w:rsidP="00FF426E">
            <w:pPr>
              <w:ind w:firstLine="319"/>
              <w:jc w:val="both"/>
              <w:rPr>
                <w:rStyle w:val="font141"/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="003E54FF">
              <w:rPr>
                <w:rStyle w:val="font141"/>
                <w:sz w:val="24"/>
                <w:szCs w:val="24"/>
              </w:rPr>
              <w:t xml:space="preserve">Негативний вплив на </w:t>
            </w:r>
            <w:r w:rsidRPr="003E54FF">
              <w:rPr>
                <w:rStyle w:val="font141"/>
                <w:sz w:val="24"/>
                <w:szCs w:val="24"/>
              </w:rPr>
              <w:t>конкурентоспроможність товарів українського походження на зовнішніх ринках.</w:t>
            </w:r>
          </w:p>
        </w:tc>
      </w:tr>
      <w:tr w:rsidR="00FF426E" w:rsidRPr="00FF426E" w:rsidTr="00FF426E">
        <w:tc>
          <w:tcPr>
            <w:tcW w:w="255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679" w:type="dxa"/>
            <w:vAlign w:val="center"/>
          </w:tcPr>
          <w:p w:rsidR="00C53FFF" w:rsidRPr="005352D4" w:rsidRDefault="00441950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 xml:space="preserve">Вигоди високі, оскільки прийняття нового регуляторного акта надасть 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можливість </w:t>
            </w:r>
            <w:r w:rsidR="00C53FFF" w:rsidRPr="005352D4">
              <w:t>митним органам</w:t>
            </w:r>
            <w:r w:rsidR="00C53FFF" w:rsidRPr="005352D4">
              <w:rPr>
                <w:lang w:val="ru-RU"/>
              </w:rPr>
              <w:t>:</w:t>
            </w:r>
            <w:r w:rsidR="00C53FFF" w:rsidRPr="005352D4">
              <w:t xml:space="preserve"> </w:t>
            </w:r>
          </w:p>
          <w:p w:rsidR="00C53FFF" w:rsidRPr="005352D4" w:rsidRDefault="00C53FFF" w:rsidP="00F906CB">
            <w:pPr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5352D4">
              <w:rPr>
                <w:rStyle w:val="font141"/>
                <w:sz w:val="24"/>
                <w:szCs w:val="24"/>
              </w:rPr>
              <w:t>анулювати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</w:t>
            </w:r>
            <w:r w:rsidRPr="005352D4">
              <w:rPr>
                <w:rStyle w:val="font141"/>
                <w:sz w:val="24"/>
                <w:szCs w:val="24"/>
              </w:rPr>
              <w:t>сертифікат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у разі встановлення фактів його видачі на підставі поданих експортером недостовірних документів (відомостей)</w:t>
            </w:r>
            <w:r w:rsidRPr="005352D4">
              <w:rPr>
                <w:rStyle w:val="font141"/>
                <w:sz w:val="24"/>
                <w:szCs w:val="24"/>
                <w:lang w:val="ru-RU"/>
              </w:rPr>
              <w:t>;</w:t>
            </w:r>
          </w:p>
          <w:p w:rsidR="00441950" w:rsidRPr="005352D4" w:rsidRDefault="00C53FFF" w:rsidP="00F906CB">
            <w:pPr>
              <w:jc w:val="both"/>
            </w:pPr>
            <w:r w:rsidRPr="005352D4">
              <w:rPr>
                <w:rStyle w:val="font141"/>
                <w:sz w:val="24"/>
                <w:szCs w:val="24"/>
              </w:rPr>
              <w:t>забезпечити контроль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за достовірністю </w:t>
            </w:r>
            <w:r w:rsidR="00675645" w:rsidRPr="005352D4">
              <w:rPr>
                <w:rStyle w:val="font141"/>
                <w:sz w:val="24"/>
                <w:szCs w:val="24"/>
              </w:rPr>
              <w:t xml:space="preserve">декларування </w:t>
            </w:r>
            <w:r w:rsidR="00A553BA" w:rsidRPr="005352D4">
              <w:rPr>
                <w:rStyle w:val="font141"/>
                <w:sz w:val="24"/>
                <w:szCs w:val="24"/>
              </w:rPr>
              <w:t>пре</w:t>
            </w:r>
            <w:r w:rsidR="00675645" w:rsidRPr="005352D4">
              <w:rPr>
                <w:rStyle w:val="font141"/>
                <w:sz w:val="24"/>
                <w:szCs w:val="24"/>
              </w:rPr>
              <w:t>ференційного</w:t>
            </w:r>
            <w:r w:rsidRPr="005352D4">
              <w:rPr>
                <w:rStyle w:val="font141"/>
                <w:sz w:val="24"/>
                <w:szCs w:val="24"/>
              </w:rPr>
              <w:t xml:space="preserve"> походження товарів з України,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на які законодавством України встановлено заходи тариф</w:t>
            </w:r>
            <w:r w:rsidR="005352D4">
              <w:rPr>
                <w:rStyle w:val="font141"/>
                <w:sz w:val="24"/>
                <w:szCs w:val="24"/>
              </w:rPr>
              <w:t>ного та нетарифного регулювання</w:t>
            </w:r>
          </w:p>
        </w:tc>
        <w:tc>
          <w:tcPr>
            <w:tcW w:w="2268" w:type="dxa"/>
            <w:vAlign w:val="center"/>
          </w:tcPr>
          <w:p w:rsidR="00441950" w:rsidRPr="00FF426E" w:rsidRDefault="00441950" w:rsidP="005352D4">
            <w:pPr>
              <w:jc w:val="center"/>
              <w:rPr>
                <w:rStyle w:val="font141"/>
                <w:rFonts w:eastAsia="Times New Roman"/>
                <w:sz w:val="24"/>
                <w:szCs w:val="24"/>
              </w:rPr>
            </w:pPr>
            <w:r w:rsidRPr="00FF426E">
              <w:rPr>
                <w:rStyle w:val="font141"/>
                <w:rFonts w:eastAsia="Times New Roman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Default="00441950" w:rsidP="00F906CB">
      <w:pPr>
        <w:ind w:firstLine="567"/>
        <w:rPr>
          <w:rFonts w:eastAsia="Times New Roman"/>
          <w:vanish/>
        </w:rPr>
      </w:pPr>
    </w:p>
    <w:p w:rsidR="00441950" w:rsidRPr="00F906CB" w:rsidRDefault="001C0D1D" w:rsidP="00F906CB">
      <w:pPr>
        <w:ind w:firstLine="567"/>
        <w:jc w:val="both"/>
        <w:rPr>
          <w:rFonts w:eastAsia="Times New Roman"/>
          <w:vanish/>
          <w:sz w:val="28"/>
          <w:szCs w:val="28"/>
        </w:rPr>
      </w:pPr>
      <w:r w:rsidRPr="00F906CB">
        <w:rPr>
          <w:rFonts w:eastAsia="Times New Roman"/>
          <w:vanish/>
          <w:sz w:val="28"/>
          <w:szCs w:val="28"/>
        </w:rPr>
        <w:t xml:space="preserve">2.2. </w:t>
      </w:r>
      <w:r w:rsidR="00441950" w:rsidRPr="00F906CB">
        <w:rPr>
          <w:rFonts w:eastAsia="Times New Roman"/>
          <w:vanish/>
          <w:sz w:val="28"/>
          <w:szCs w:val="28"/>
        </w:rPr>
        <w:t>Проект наказу не поширюється на сферу інтересів громадян.</w:t>
      </w:r>
    </w:p>
    <w:p w:rsidR="00A562AC" w:rsidRDefault="00A562AC" w:rsidP="00A45649">
      <w:pPr>
        <w:rPr>
          <w:rStyle w:val="font171"/>
        </w:rPr>
      </w:pPr>
    </w:p>
    <w:p w:rsidR="00441950" w:rsidRPr="008C05FC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2.3. </w:t>
      </w:r>
      <w:r w:rsidR="00441950">
        <w:rPr>
          <w:rStyle w:val="font171"/>
        </w:rPr>
        <w:t>Оцінка впливу на сферу інтересів суб’єктів господарювання</w:t>
      </w:r>
      <w:r>
        <w:rPr>
          <w:rStyle w:val="font171"/>
        </w:rPr>
        <w:t>.</w:t>
      </w:r>
    </w:p>
    <w:p w:rsidR="00F906CB" w:rsidRDefault="001C0D1D" w:rsidP="005352D4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За даними інформаційних систем Держмитслужби</w:t>
      </w:r>
      <w:r w:rsidR="005352D4">
        <w:rPr>
          <w:rStyle w:val="font171"/>
        </w:rPr>
        <w:t>,</w:t>
      </w:r>
      <w:r w:rsidRPr="00F906CB">
        <w:rPr>
          <w:rStyle w:val="font171"/>
        </w:rPr>
        <w:t xml:space="preserve"> </w:t>
      </w:r>
      <w:r w:rsidR="00D75EF8" w:rsidRPr="00F906CB">
        <w:rPr>
          <w:rStyle w:val="font171"/>
        </w:rPr>
        <w:t xml:space="preserve">протягом </w:t>
      </w:r>
      <w:r w:rsidR="005352D4">
        <w:rPr>
          <w:rStyle w:val="font171"/>
        </w:rPr>
        <w:t xml:space="preserve">                      </w:t>
      </w:r>
      <w:r w:rsidR="00D75EF8" w:rsidRPr="00F906CB">
        <w:rPr>
          <w:rStyle w:val="font171"/>
        </w:rPr>
        <w:t>2022</w:t>
      </w:r>
      <w:r w:rsidR="005352D4">
        <w:rPr>
          <w:rStyle w:val="font171"/>
        </w:rPr>
        <w:t xml:space="preserve"> – </w:t>
      </w:r>
      <w:r w:rsidR="00D75EF8" w:rsidRPr="00F906CB">
        <w:rPr>
          <w:rStyle w:val="font171"/>
        </w:rPr>
        <w:t>2023 років</w:t>
      </w:r>
      <w:r w:rsidR="00D75EF8" w:rsidRPr="00F906CB">
        <w:rPr>
          <w:rFonts w:eastAsia="Times New Roman"/>
          <w:sz w:val="28"/>
          <w:szCs w:val="28"/>
          <w:lang w:eastAsia="ru-RU"/>
        </w:rPr>
        <w:t xml:space="preserve"> станом на 01.03.2023 </w:t>
      </w:r>
      <w:r w:rsidR="00411838" w:rsidRPr="00F906CB">
        <w:rPr>
          <w:rFonts w:eastAsia="Times New Roman"/>
          <w:sz w:val="28"/>
          <w:szCs w:val="28"/>
          <w:lang w:eastAsia="ru-RU"/>
        </w:rPr>
        <w:t>експортні операції</w:t>
      </w:r>
      <w:r w:rsidR="00F906CB">
        <w:rPr>
          <w:rFonts w:eastAsia="Times New Roman"/>
          <w:sz w:val="28"/>
          <w:szCs w:val="28"/>
          <w:lang w:eastAsia="ru-RU"/>
        </w:rPr>
        <w:t xml:space="preserve"> здійснено</w:t>
      </w:r>
      <w:r w:rsidR="00411838" w:rsidRPr="00F906CB">
        <w:rPr>
          <w:rFonts w:eastAsia="Times New Roman"/>
          <w:sz w:val="28"/>
          <w:szCs w:val="28"/>
          <w:lang w:eastAsia="ru-RU"/>
        </w:rPr>
        <w:t xml:space="preserve"> </w:t>
      </w:r>
      <w:r w:rsidR="00411838" w:rsidRPr="00F906CB">
        <w:rPr>
          <w:rStyle w:val="font171"/>
        </w:rPr>
        <w:t>23</w:t>
      </w:r>
      <w:r w:rsidR="00D75EF8" w:rsidRPr="00F906CB">
        <w:rPr>
          <w:rStyle w:val="font171"/>
        </w:rPr>
        <w:t xml:space="preserve"> </w:t>
      </w:r>
      <w:r w:rsidR="00411838" w:rsidRPr="00F906CB">
        <w:rPr>
          <w:rStyle w:val="font171"/>
        </w:rPr>
        <w:t>153</w:t>
      </w:r>
      <w:r w:rsidR="00D75EF8" w:rsidRPr="00F906CB">
        <w:rPr>
          <w:rStyle w:val="font171"/>
        </w:rPr>
        <w:t xml:space="preserve"> суб’єкт</w:t>
      </w:r>
      <w:r w:rsidR="00F906CB">
        <w:rPr>
          <w:rStyle w:val="font171"/>
        </w:rPr>
        <w:t>ами</w:t>
      </w:r>
      <w:r w:rsidR="00D75EF8" w:rsidRPr="00F906CB">
        <w:rPr>
          <w:rStyle w:val="font171"/>
        </w:rPr>
        <w:t xml:space="preserve"> господарювання</w:t>
      </w:r>
      <w:r w:rsidRPr="00F906CB">
        <w:rPr>
          <w:rStyle w:val="font171"/>
        </w:rPr>
        <w:t>.</w:t>
      </w:r>
    </w:p>
    <w:p w:rsidR="00F0162A" w:rsidRDefault="00F0162A" w:rsidP="00F906CB">
      <w:pPr>
        <w:jc w:val="both"/>
        <w:rPr>
          <w:rStyle w:val="font171"/>
          <w:rFonts w:eastAsia="Times New Roman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384"/>
        <w:gridCol w:w="1568"/>
        <w:gridCol w:w="1493"/>
        <w:gridCol w:w="1225"/>
      </w:tblGrid>
      <w:tr w:rsidR="001C0D1D" w:rsidRPr="00300D46" w:rsidTr="00985801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38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1225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1C0D1D" w:rsidRPr="00300D46" w:rsidTr="00985801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1384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1423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4803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16718</w:t>
            </w:r>
          </w:p>
        </w:tc>
        <w:tc>
          <w:tcPr>
            <w:tcW w:w="1225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23153</w:t>
            </w:r>
          </w:p>
        </w:tc>
      </w:tr>
      <w:tr w:rsidR="001C0D1D" w:rsidRPr="00300D46" w:rsidTr="00985801">
        <w:tc>
          <w:tcPr>
            <w:tcW w:w="2268" w:type="dxa"/>
          </w:tcPr>
          <w:p w:rsidR="001C0D1D" w:rsidRPr="005352D4" w:rsidRDefault="005352D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Питома </w:t>
            </w:r>
            <w:r w:rsidR="001C0D1D" w:rsidRPr="005352D4">
              <w:rPr>
                <w:rFonts w:eastAsia="Times New Roman"/>
                <w:lang w:eastAsia="ru-RU"/>
              </w:rPr>
              <w:t>вага  групи у загальній кількості, відсотків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 відсоток</w:t>
            </w:r>
          </w:p>
        </w:tc>
        <w:tc>
          <w:tcPr>
            <w:tcW w:w="138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6 відсотків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21 відсоток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72 відсотки</w:t>
            </w:r>
          </w:p>
        </w:tc>
        <w:tc>
          <w:tcPr>
            <w:tcW w:w="1225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val="en-US" w:eastAsia="ru-RU"/>
              </w:rPr>
            </w:pPr>
            <w:r w:rsidRPr="005352D4">
              <w:rPr>
                <w:rFonts w:eastAsia="Times New Roman"/>
                <w:lang w:val="en-US" w:eastAsia="ru-RU"/>
              </w:rPr>
              <w:t>X</w:t>
            </w:r>
          </w:p>
        </w:tc>
      </w:tr>
    </w:tbl>
    <w:p w:rsidR="00441950" w:rsidRDefault="00441950" w:rsidP="00A45649">
      <w:pPr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1"/>
        <w:gridCol w:w="4957"/>
        <w:gridCol w:w="1990"/>
      </w:tblGrid>
      <w:tr w:rsidR="00441950" w:rsidTr="00FD56D5">
        <w:trPr>
          <w:tblHeader/>
        </w:trPr>
        <w:tc>
          <w:tcPr>
            <w:tcW w:w="2551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957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1990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441950" w:rsidTr="00FD56D5">
        <w:tc>
          <w:tcPr>
            <w:tcW w:w="2551" w:type="dxa"/>
            <w:vAlign w:val="center"/>
          </w:tcPr>
          <w:p w:rsidR="00441950" w:rsidRPr="00985801" w:rsidRDefault="00441950" w:rsidP="00F906CB">
            <w:pPr>
              <w:jc w:val="center"/>
              <w:rPr>
                <w:lang w:val="en-US"/>
              </w:rPr>
            </w:pPr>
            <w:r w:rsidRPr="00985801">
              <w:rPr>
                <w:rStyle w:val="font141"/>
                <w:sz w:val="24"/>
                <w:szCs w:val="24"/>
              </w:rPr>
              <w:t xml:space="preserve">Альтернатива </w:t>
            </w:r>
            <w:r w:rsidRPr="00985801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4957" w:type="dxa"/>
            <w:vAlign w:val="center"/>
          </w:tcPr>
          <w:p w:rsidR="00441950" w:rsidRPr="00985801" w:rsidRDefault="00441950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чинного наказу без змін </w:t>
            </w:r>
            <w:r w:rsidRPr="00985801">
              <w:rPr>
                <w:rStyle w:val="font141"/>
                <w:sz w:val="24"/>
                <w:szCs w:val="24"/>
              </w:rPr>
              <w:lastRenderedPageBreak/>
              <w:t>вигоди відсутні, оскільки проблема залишається невирішеною</w:t>
            </w:r>
          </w:p>
        </w:tc>
        <w:tc>
          <w:tcPr>
            <w:tcW w:w="1990" w:type="dxa"/>
            <w:vAlign w:val="center"/>
          </w:tcPr>
          <w:p w:rsidR="005A0374" w:rsidRPr="003E54FF" w:rsidRDefault="00644F00" w:rsidP="00644F00">
            <w:pPr>
              <w:ind w:firstLine="322"/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3E54FF">
              <w:rPr>
                <w:rStyle w:val="font141"/>
                <w:sz w:val="24"/>
                <w:szCs w:val="24"/>
              </w:rPr>
              <w:lastRenderedPageBreak/>
              <w:t xml:space="preserve">1) </w:t>
            </w:r>
            <w:r w:rsidR="00EB5657" w:rsidRPr="003E54FF">
              <w:rPr>
                <w:rStyle w:val="font141"/>
                <w:sz w:val="24"/>
                <w:szCs w:val="24"/>
              </w:rPr>
              <w:t xml:space="preserve">Витрати </w:t>
            </w:r>
            <w:r w:rsidR="005A0374" w:rsidRPr="003E54FF">
              <w:rPr>
                <w:rStyle w:val="font141"/>
                <w:sz w:val="24"/>
                <w:szCs w:val="24"/>
              </w:rPr>
              <w:lastRenderedPageBreak/>
              <w:t>фінансові</w:t>
            </w:r>
            <w:r w:rsidR="005A0374"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="005A0374" w:rsidRPr="003E54FF">
              <w:rPr>
                <w:rStyle w:val="font141"/>
                <w:sz w:val="24"/>
                <w:szCs w:val="24"/>
              </w:rPr>
              <w:t>на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="00EB5657" w:rsidRPr="003E54FF">
              <w:rPr>
                <w:rStyle w:val="font141"/>
                <w:sz w:val="24"/>
                <w:szCs w:val="24"/>
              </w:rPr>
              <w:t>сплату митних платежів при імпорті в країнах призначення у зв’язку документів, що підтверджують походження товарів з України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>.</w:t>
            </w:r>
          </w:p>
          <w:p w:rsidR="00441950" w:rsidRPr="00644F00" w:rsidRDefault="00644F00" w:rsidP="00644F00">
            <w:pPr>
              <w:ind w:firstLine="322"/>
              <w:jc w:val="both"/>
              <w:rPr>
                <w:color w:val="548DD4" w:themeColor="text2" w:themeTint="99"/>
              </w:rPr>
            </w:pP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2) </w:t>
            </w:r>
            <w:r w:rsidRPr="003E54FF">
              <w:rPr>
                <w:rStyle w:val="font141"/>
                <w:sz w:val="24"/>
                <w:szCs w:val="24"/>
              </w:rPr>
              <w:t xml:space="preserve">Часові затрати на оформлення товарів без документального </w:t>
            </w:r>
            <w:proofErr w:type="gramStart"/>
            <w:r w:rsidRPr="003E54FF">
              <w:rPr>
                <w:rStyle w:val="font141"/>
                <w:sz w:val="24"/>
                <w:szCs w:val="24"/>
              </w:rPr>
              <w:t>п</w:t>
            </w:r>
            <w:proofErr w:type="gramEnd"/>
            <w:r w:rsidRPr="003E54FF">
              <w:rPr>
                <w:rStyle w:val="font141"/>
                <w:sz w:val="24"/>
                <w:szCs w:val="24"/>
              </w:rPr>
              <w:t xml:space="preserve">ідтвердження походження товарів з України. </w:t>
            </w:r>
          </w:p>
        </w:tc>
      </w:tr>
      <w:tr w:rsidR="00441950" w:rsidTr="00FD56D5">
        <w:tc>
          <w:tcPr>
            <w:tcW w:w="2551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957" w:type="dxa"/>
            <w:vAlign w:val="center"/>
          </w:tcPr>
          <w:p w:rsidR="001C0D1D" w:rsidRPr="00985801" w:rsidRDefault="00441950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t>Реалізація норм проекту наказу забезпечить</w:t>
            </w:r>
            <w:r w:rsidR="00DD5931" w:rsidRPr="00985801">
              <w:rPr>
                <w:lang w:val="ru-RU"/>
              </w:rPr>
              <w:t>:</w:t>
            </w:r>
            <w:r w:rsidR="00DD5931"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DD5931" w:rsidRPr="00985801" w:rsidRDefault="00DD5931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достовірність декларування преференційного походження товару з України шляхом перевірки при видачі сертифіката документів про преференційне походження товарів з України</w:t>
            </w:r>
            <w:r w:rsidRPr="00985801">
              <w:rPr>
                <w:rStyle w:val="font141"/>
                <w:sz w:val="24"/>
                <w:szCs w:val="24"/>
                <w:lang w:val="ru-RU"/>
              </w:rPr>
              <w:t>;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441950" w:rsidRPr="00985801" w:rsidRDefault="00DD5931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оформлення митними органами результатів верифікації шляхом анулювання сертифіката для цілей вжиття контрольно-перевірочних заходів</w:t>
            </w:r>
            <w:r w:rsidR="00985801">
              <w:rPr>
                <w:rStyle w:val="font141"/>
                <w:sz w:val="24"/>
                <w:szCs w:val="24"/>
              </w:rPr>
              <w:t xml:space="preserve"> з донарахування вивізного мита</w:t>
            </w:r>
          </w:p>
        </w:tc>
        <w:tc>
          <w:tcPr>
            <w:tcW w:w="1990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FD56D5" w:rsidRDefault="00FD56D5" w:rsidP="00F906CB">
      <w:pPr>
        <w:ind w:firstLine="567"/>
        <w:jc w:val="center"/>
        <w:rPr>
          <w:rStyle w:val="font171"/>
          <w:b/>
          <w:bCs/>
          <w:lang w:val="en-US"/>
        </w:rPr>
      </w:pPr>
    </w:p>
    <w:p w:rsidR="00441950" w:rsidRDefault="00441950" w:rsidP="00F906CB">
      <w:pPr>
        <w:ind w:firstLine="567"/>
        <w:jc w:val="center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441950" w:rsidRDefault="00441950" w:rsidP="00F906CB">
      <w:pPr>
        <w:ind w:firstLine="567"/>
        <w:jc w:val="center"/>
        <w:rPr>
          <w:rStyle w:val="font171"/>
          <w:b/>
          <w:bCs/>
          <w:lang w:val="en-US"/>
        </w:rPr>
      </w:pPr>
      <w:r>
        <w:rPr>
          <w:rStyle w:val="font171"/>
          <w:b/>
          <w:bCs/>
        </w:rPr>
        <w:t>досягнення цілей</w:t>
      </w:r>
    </w:p>
    <w:p w:rsidR="00FD56D5" w:rsidRPr="00FD56D5" w:rsidRDefault="00FD56D5" w:rsidP="00F906CB">
      <w:pPr>
        <w:ind w:firstLine="567"/>
        <w:jc w:val="center"/>
        <w:rPr>
          <w:rStyle w:val="font171"/>
          <w:b/>
          <w:bCs/>
          <w:lang w:val="en-US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544"/>
      </w:tblGrid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 xml:space="preserve">Коментарі щодо присвоєння відповідного </w:t>
            </w:r>
            <w:proofErr w:type="spellStart"/>
            <w:r w:rsidRPr="00F906CB">
              <w:rPr>
                <w:rStyle w:val="font141"/>
                <w:b/>
                <w:sz w:val="24"/>
                <w:szCs w:val="24"/>
              </w:rPr>
              <w:t>бала</w:t>
            </w:r>
            <w:proofErr w:type="spellEnd"/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</w:p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Проблема продовжує існувати</w:t>
            </w:r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FD56D5" w:rsidRPr="00EE34A6" w:rsidRDefault="00FD56D5" w:rsidP="00A45649">
      <w:pPr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299"/>
        <w:gridCol w:w="2827"/>
        <w:gridCol w:w="2104"/>
      </w:tblGrid>
      <w:tr w:rsidR="00441950" w:rsidRPr="00985801" w:rsidTr="003E54FF">
        <w:trPr>
          <w:tblHeader/>
        </w:trPr>
        <w:tc>
          <w:tcPr>
            <w:tcW w:w="2268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Рейтинг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2299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104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</w:t>
            </w:r>
            <w:r w:rsidRPr="00985801">
              <w:rPr>
                <w:rStyle w:val="font141"/>
                <w:sz w:val="24"/>
                <w:szCs w:val="24"/>
              </w:rPr>
              <w:lastRenderedPageBreak/>
              <w:t xml:space="preserve">чинного регулювання без змін вигоди відсутні, оскільки проблема залишається </w:t>
            </w:r>
            <w:r w:rsidR="00985801" w:rsidRPr="00985801">
              <w:rPr>
                <w:rStyle w:val="font141"/>
                <w:sz w:val="24"/>
                <w:szCs w:val="24"/>
              </w:rPr>
              <w:t>невирішеною</w:t>
            </w:r>
          </w:p>
        </w:tc>
        <w:tc>
          <w:tcPr>
            <w:tcW w:w="2827" w:type="dxa"/>
            <w:vAlign w:val="center"/>
          </w:tcPr>
          <w:p w:rsidR="003E54FF" w:rsidRPr="003E54FF" w:rsidRDefault="003E54FF" w:rsidP="003E54FF">
            <w:pPr>
              <w:ind w:firstLine="310"/>
              <w:jc w:val="both"/>
              <w:rPr>
                <w:rStyle w:val="font141"/>
                <w:sz w:val="24"/>
                <w:szCs w:val="24"/>
              </w:rPr>
            </w:pPr>
            <w:r w:rsidRPr="003E54FF">
              <w:rPr>
                <w:rStyle w:val="font141"/>
                <w:sz w:val="24"/>
                <w:szCs w:val="24"/>
              </w:rPr>
              <w:lastRenderedPageBreak/>
              <w:t xml:space="preserve">Залишення чинним </w:t>
            </w:r>
            <w:r w:rsidRPr="003E54FF">
              <w:rPr>
                <w:rStyle w:val="font141"/>
                <w:sz w:val="24"/>
                <w:szCs w:val="24"/>
              </w:rPr>
              <w:lastRenderedPageBreak/>
              <w:t>Порядку буде мати такі негативні наслідки:</w:t>
            </w:r>
          </w:p>
          <w:p w:rsidR="003E54FF" w:rsidRPr="003E54FF" w:rsidRDefault="003E54FF" w:rsidP="003E54FF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>1) Відсутність  документів, що підтверджують походження товарів з України у разі якщо експортер не є виробником товарів або сертифікат не прийнято з технічних причин митними органами країни імпорту.</w:t>
            </w:r>
          </w:p>
          <w:p w:rsidR="003E54FF" w:rsidRPr="00EE34A6" w:rsidRDefault="003E54FF" w:rsidP="003E54FF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>2) Неможливість пільгового режиму оподаткування на умовах вільної торгівлі на реекспорт товарів походженням з країн, з якими Україною укл</w:t>
            </w:r>
            <w:r w:rsidR="00EE34A6">
              <w:rPr>
                <w:rStyle w:val="font141"/>
                <w:rFonts w:eastAsia="Times New Roman"/>
                <w:sz w:val="24"/>
                <w:szCs w:val="24"/>
              </w:rPr>
              <w:t>адено угоди про вільну торгівлю</w:t>
            </w:r>
            <w:r w:rsidR="00EE34A6" w:rsidRPr="00EE34A6">
              <w:rPr>
                <w:rStyle w:val="font141"/>
                <w:rFonts w:eastAsia="Times New Roman"/>
                <w:sz w:val="24"/>
                <w:szCs w:val="24"/>
              </w:rPr>
              <w:t>.</w:t>
            </w:r>
          </w:p>
          <w:p w:rsidR="00441950" w:rsidRPr="00985801" w:rsidRDefault="003E54FF" w:rsidP="003E54FF">
            <w:pPr>
              <w:jc w:val="both"/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Pr="003E54FF">
              <w:rPr>
                <w:rStyle w:val="font141"/>
                <w:sz w:val="24"/>
                <w:szCs w:val="24"/>
              </w:rPr>
              <w:t>Негативний вплив на конкурентоспроможність товарів українського походження на зовнішніх ринках.</w:t>
            </w:r>
          </w:p>
        </w:tc>
        <w:tc>
          <w:tcPr>
            <w:tcW w:w="2104" w:type="dxa"/>
            <w:vAlign w:val="center"/>
          </w:tcPr>
          <w:p w:rsidR="00441950" w:rsidRPr="00FF426E" w:rsidRDefault="006B3BE6" w:rsidP="00FF426E">
            <w:pPr>
              <w:ind w:firstLine="319"/>
              <w:jc w:val="both"/>
              <w:rPr>
                <w:rFonts w:eastAsia="Times New Roman"/>
                <w:color w:val="548DD4" w:themeColor="text2" w:themeTint="99"/>
              </w:rPr>
            </w:pPr>
            <w:r>
              <w:rPr>
                <w:rStyle w:val="font141"/>
                <w:sz w:val="24"/>
                <w:szCs w:val="24"/>
              </w:rPr>
              <w:lastRenderedPageBreak/>
              <w:t xml:space="preserve">Є гіршою </w:t>
            </w:r>
            <w:r>
              <w:rPr>
                <w:rStyle w:val="font141"/>
                <w:sz w:val="24"/>
                <w:szCs w:val="24"/>
              </w:rPr>
              <w:lastRenderedPageBreak/>
              <w:t>серед запропонованих альтернатив, оскільки не дає змоги досягнути поставлених цілей державного регулювання оптимальним способом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Прийняття проекту акта удосконалить правове регулювання процедури</w:t>
            </w:r>
            <w:r w:rsidRPr="00985801">
              <w:t xml:space="preserve"> анулювання сертифіката у разі встановлення фактів його видачі на підставі поданих експортером недостовірних документів (відомостей)</w:t>
            </w:r>
            <w:r w:rsidRPr="00985801">
              <w:rPr>
                <w:rStyle w:val="font141"/>
                <w:sz w:val="24"/>
                <w:szCs w:val="24"/>
              </w:rPr>
              <w:t xml:space="preserve">, а також забезпечить достовірність декларування експортерами, які не є виробниками, при експорті преференційного </w:t>
            </w:r>
            <w:r w:rsidRPr="00985801">
              <w:rPr>
                <w:rStyle w:val="font141"/>
                <w:sz w:val="24"/>
                <w:szCs w:val="24"/>
              </w:rPr>
              <w:lastRenderedPageBreak/>
              <w:t>походження товарів з України, на які законодавством встановлено заходи тарифного та нетарифного регу</w:t>
            </w:r>
            <w:r w:rsidR="00985801">
              <w:rPr>
                <w:rStyle w:val="font141"/>
                <w:sz w:val="24"/>
                <w:szCs w:val="24"/>
              </w:rPr>
              <w:t>лювання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3E54FF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>Витрати відсутні</w:t>
            </w:r>
          </w:p>
        </w:tc>
        <w:tc>
          <w:tcPr>
            <w:tcW w:w="2104" w:type="dxa"/>
          </w:tcPr>
          <w:p w:rsidR="00441950" w:rsidRPr="00985801" w:rsidRDefault="00441950" w:rsidP="00985801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найбільш 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441950" w:rsidRDefault="00441950" w:rsidP="00A45649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478"/>
        <w:gridCol w:w="2640"/>
      </w:tblGrid>
      <w:tr w:rsidR="00441950" w:rsidRPr="00F906CB" w:rsidTr="00E90F0B">
        <w:tc>
          <w:tcPr>
            <w:tcW w:w="238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Рейтинг</w:t>
            </w:r>
          </w:p>
        </w:tc>
        <w:tc>
          <w:tcPr>
            <w:tcW w:w="4478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64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478" w:type="dxa"/>
          </w:tcPr>
          <w:p w:rsidR="00441950" w:rsidRPr="00503C9F" w:rsidRDefault="00985801" w:rsidP="005367B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 разі обрання а</w:t>
            </w:r>
            <w:r w:rsidR="00441950" w:rsidRPr="00503C9F">
              <w:rPr>
                <w:rFonts w:eastAsia="Times New Roman"/>
              </w:rPr>
              <w:t xml:space="preserve">льтернативи 1 експортери </w:t>
            </w:r>
            <w:r w:rsidR="00503C9F">
              <w:rPr>
                <w:rFonts w:eastAsia="Times New Roman"/>
              </w:rPr>
              <w:t xml:space="preserve">не зможуть документально підтвердити статус </w:t>
            </w:r>
            <w:r w:rsidR="009F05AB">
              <w:rPr>
                <w:rFonts w:eastAsia="Times New Roman"/>
              </w:rPr>
              <w:t xml:space="preserve">преференційного походження </w:t>
            </w:r>
            <w:r w:rsidR="00503C9F">
              <w:rPr>
                <w:rFonts w:eastAsia="Times New Roman"/>
              </w:rPr>
              <w:t xml:space="preserve">товарів українського походження та </w:t>
            </w:r>
            <w:r w:rsidR="00441950" w:rsidRPr="00503C9F">
              <w:rPr>
                <w:rFonts w:eastAsia="Times New Roman"/>
              </w:rPr>
              <w:t xml:space="preserve">будуть позбавлені допуску </w:t>
            </w:r>
            <w:r w:rsidR="009F05AB">
              <w:rPr>
                <w:rFonts w:eastAsia="Times New Roman"/>
              </w:rPr>
              <w:t xml:space="preserve">їх </w:t>
            </w:r>
            <w:r w:rsidR="00441950" w:rsidRPr="00503C9F">
              <w:rPr>
                <w:rFonts w:eastAsia="Times New Roman"/>
              </w:rPr>
              <w:t>на зовнішні ринки із застосуванням пільгового режиму оподаткув</w:t>
            </w:r>
            <w:r>
              <w:rPr>
                <w:rFonts w:eastAsia="Times New Roman"/>
              </w:rPr>
              <w:t>ання на умовах вільної торгівлі</w:t>
            </w:r>
          </w:p>
        </w:tc>
        <w:tc>
          <w:tcPr>
            <w:tcW w:w="2640" w:type="dxa"/>
          </w:tcPr>
          <w:p w:rsidR="00441950" w:rsidRPr="00F906CB" w:rsidRDefault="00441950" w:rsidP="00985801">
            <w:pPr>
              <w:jc w:val="center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Відсутні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478" w:type="dxa"/>
          </w:tcPr>
          <w:p w:rsidR="00952CDF" w:rsidRPr="00503C9F" w:rsidRDefault="00441950" w:rsidP="005367B0">
            <w:pPr>
              <w:jc w:val="both"/>
              <w:rPr>
                <w:rFonts w:eastAsia="Times New Roman"/>
              </w:rPr>
            </w:pPr>
            <w:r w:rsidRPr="00503C9F">
              <w:rPr>
                <w:rFonts w:eastAsia="Times New Roman"/>
              </w:rPr>
              <w:t xml:space="preserve">Альтернатива 2 </w:t>
            </w:r>
            <w:r w:rsidR="00952CDF" w:rsidRPr="00503C9F">
              <w:rPr>
                <w:rFonts w:eastAsia="Times New Roman"/>
              </w:rPr>
              <w:t>сприятиме дотриманню експортерами вимог, встановлених законодавством щодо</w:t>
            </w:r>
            <w:r w:rsidR="009F05AB">
              <w:rPr>
                <w:rFonts w:eastAsia="Times New Roman"/>
              </w:rPr>
              <w:t xml:space="preserve"> документального</w:t>
            </w:r>
            <w:r w:rsidR="00952CDF" w:rsidRPr="00503C9F">
              <w:rPr>
                <w:rFonts w:eastAsia="Times New Roman"/>
              </w:rPr>
              <w:t xml:space="preserve"> </w:t>
            </w:r>
            <w:r w:rsidR="00952CDF" w:rsidRPr="00F906CB">
              <w:rPr>
                <w:rFonts w:eastAsia="Times New Roman"/>
              </w:rPr>
              <w:t>підтвердження</w:t>
            </w:r>
            <w:r w:rsidR="009F05AB">
              <w:rPr>
                <w:rFonts w:eastAsia="Times New Roman"/>
              </w:rPr>
              <w:t xml:space="preserve"> українського походження товарів</w:t>
            </w:r>
            <w:r w:rsidR="00952CDF" w:rsidRPr="00F906CB">
              <w:rPr>
                <w:rFonts w:eastAsia="Times New Roman"/>
              </w:rPr>
              <w:t xml:space="preserve"> </w:t>
            </w:r>
            <w:r w:rsidR="009F05AB">
              <w:rPr>
                <w:rFonts w:eastAsia="Times New Roman"/>
              </w:rPr>
              <w:t>для цілей отримання на них сертифіката</w:t>
            </w:r>
            <w:r w:rsidR="00145120">
              <w:rPr>
                <w:rFonts w:eastAsia="Times New Roman"/>
              </w:rPr>
              <w:t>, підтримці</w:t>
            </w:r>
            <w:r w:rsidR="000D0A92">
              <w:rPr>
                <w:rFonts w:eastAsia="Times New Roman"/>
              </w:rPr>
              <w:t xml:space="preserve"> товарів</w:t>
            </w:r>
            <w:r w:rsidR="00C53FFF" w:rsidRPr="00503C9F">
              <w:rPr>
                <w:rFonts w:eastAsia="Times New Roman"/>
              </w:rPr>
              <w:t xml:space="preserve"> </w:t>
            </w:r>
            <w:r w:rsidR="00952CDF" w:rsidRPr="00503C9F">
              <w:rPr>
                <w:rFonts w:eastAsia="Times New Roman"/>
              </w:rPr>
              <w:t>н</w:t>
            </w:r>
            <w:r w:rsidR="00145120">
              <w:rPr>
                <w:rFonts w:eastAsia="Times New Roman"/>
              </w:rPr>
              <w:t>а зовнішніх ринках та підвищенню</w:t>
            </w:r>
            <w:r w:rsidR="00952CDF" w:rsidRPr="00503C9F">
              <w:rPr>
                <w:rFonts w:eastAsia="Times New Roman"/>
              </w:rPr>
              <w:t xml:space="preserve"> рівня конкурентоспр</w:t>
            </w:r>
            <w:r w:rsidR="00145120">
              <w:rPr>
                <w:rFonts w:eastAsia="Times New Roman"/>
              </w:rPr>
              <w:t>оможності вітчизняної продукції</w:t>
            </w:r>
          </w:p>
        </w:tc>
        <w:tc>
          <w:tcPr>
            <w:tcW w:w="2640" w:type="dxa"/>
          </w:tcPr>
          <w:p w:rsidR="00441950" w:rsidRPr="00F906CB" w:rsidRDefault="00441950" w:rsidP="005367B0">
            <w:pPr>
              <w:jc w:val="both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Ризики зовнішніх чинників на дію зап</w:t>
            </w:r>
            <w:r w:rsidR="00145120">
              <w:rPr>
                <w:rFonts w:eastAsia="Times New Roman"/>
              </w:rPr>
              <w:t>ропонованого регуляторного акта</w:t>
            </w:r>
            <w:r w:rsidRPr="00F906CB">
              <w:rPr>
                <w:rFonts w:eastAsia="Times New Roman"/>
              </w:rPr>
              <w:t xml:space="preserve"> відсутні</w:t>
            </w:r>
          </w:p>
        </w:tc>
      </w:tr>
    </w:tbl>
    <w:p w:rsidR="005367B0" w:rsidRDefault="005367B0" w:rsidP="00A45649">
      <w:pPr>
        <w:rPr>
          <w:rStyle w:val="font171"/>
          <w:b/>
          <w:bCs/>
        </w:rPr>
      </w:pPr>
    </w:p>
    <w:p w:rsidR="00B91E6A" w:rsidRDefault="00B91E6A" w:rsidP="005367B0">
      <w:pPr>
        <w:ind w:firstLine="567"/>
        <w:jc w:val="both"/>
      </w:pPr>
      <w:r>
        <w:rPr>
          <w:rStyle w:val="font171"/>
          <w:b/>
          <w:bCs/>
        </w:rPr>
        <w:t>V. Механізми та заходи, які забезпечать розв’язання визначеної проблеми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 Механізм дії регуляторного акта.</w:t>
      </w:r>
    </w:p>
    <w:p w:rsidR="00A92969" w:rsidRPr="00F906CB" w:rsidRDefault="00B91E6A" w:rsidP="00F906C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06CB">
        <w:rPr>
          <w:rStyle w:val="font171"/>
        </w:rPr>
        <w:t>Основним механізмом, що забезпечить розв’язання визначено</w:t>
      </w:r>
      <w:r w:rsidR="00A92969" w:rsidRPr="00F906CB">
        <w:rPr>
          <w:rStyle w:val="font171"/>
        </w:rPr>
        <w:t xml:space="preserve">ї проблеми, є прийняття </w:t>
      </w:r>
      <w:r w:rsidR="000412AC" w:rsidRPr="00F906CB">
        <w:rPr>
          <w:rStyle w:val="font171"/>
        </w:rPr>
        <w:t xml:space="preserve">проекту </w:t>
      </w:r>
      <w:r w:rsidR="000412AC" w:rsidRPr="00F906CB">
        <w:rPr>
          <w:rStyle w:val="font141"/>
          <w:sz w:val="28"/>
          <w:szCs w:val="28"/>
        </w:rPr>
        <w:t>наказу Міністерства фінансів України «Про затвердження Змін до Порядку заповнення та видачі митницею сертифіката з перевезення (походження) товару EUR.1 або EUR-МED»</w:t>
      </w:r>
      <w:r w:rsidR="00A92969" w:rsidRPr="00F906CB">
        <w:rPr>
          <w:rFonts w:eastAsia="Times New Roman"/>
          <w:sz w:val="28"/>
          <w:szCs w:val="28"/>
          <w:lang w:eastAsia="ru-RU"/>
        </w:rPr>
        <w:t>.</w:t>
      </w:r>
    </w:p>
    <w:p w:rsidR="00B91E6A" w:rsidRPr="00F906CB" w:rsidRDefault="000412AC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Реалізація положень наказу</w:t>
      </w:r>
      <w:r w:rsidR="00710A92" w:rsidRPr="00F906CB">
        <w:rPr>
          <w:rStyle w:val="font171"/>
        </w:rPr>
        <w:t xml:space="preserve"> </w:t>
      </w:r>
      <w:r w:rsidR="00B91E6A" w:rsidRPr="00F906CB">
        <w:rPr>
          <w:rStyle w:val="font171"/>
        </w:rPr>
        <w:t>сприятиме удосконаленню</w:t>
      </w:r>
      <w:r w:rsidR="00A92969" w:rsidRPr="00F906CB">
        <w:rPr>
          <w:rStyle w:val="font141"/>
          <w:sz w:val="28"/>
          <w:szCs w:val="28"/>
        </w:rPr>
        <w:t xml:space="preserve"> </w:t>
      </w:r>
      <w:r w:rsidR="00A92969" w:rsidRPr="00F906CB">
        <w:rPr>
          <w:rStyle w:val="font171"/>
        </w:rPr>
        <w:t xml:space="preserve">порядку </w:t>
      </w:r>
      <w:r w:rsidRPr="00F906CB">
        <w:rPr>
          <w:sz w:val="28"/>
          <w:szCs w:val="28"/>
        </w:rPr>
        <w:t>заповнення та видачі митницею сертифіката з перевезення (походження) товару EUR.1 або EUR-MED</w:t>
      </w:r>
      <w:r w:rsidR="00B91E6A" w:rsidRPr="00F906CB">
        <w:rPr>
          <w:rStyle w:val="font171"/>
        </w:rPr>
        <w:t>.</w:t>
      </w:r>
    </w:p>
    <w:p w:rsidR="00503C9F" w:rsidRDefault="00503C9F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2. Організаційні заходи впровадження регуляторного заходу в дію.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lastRenderedPageBreak/>
        <w:t>Для в</w:t>
      </w:r>
      <w:r w:rsidR="00710A92" w:rsidRPr="00F906CB">
        <w:rPr>
          <w:rStyle w:val="font171"/>
        </w:rPr>
        <w:t>провадження цього проект</w:t>
      </w:r>
      <w:r w:rsidR="000412AC" w:rsidRPr="00F906CB">
        <w:rPr>
          <w:rStyle w:val="font171"/>
        </w:rPr>
        <w:t>у наказу</w:t>
      </w:r>
      <w:r w:rsidRPr="00F906CB">
        <w:rPr>
          <w:rStyle w:val="font171"/>
        </w:rPr>
        <w:t xml:space="preserve">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Можлива шкода у разі недосягнення мети регуляторного акта не прогнозується.</w:t>
      </w:r>
    </w:p>
    <w:p w:rsidR="00843EDA" w:rsidRPr="006B3BE6" w:rsidRDefault="00843EDA" w:rsidP="00843EDA">
      <w:pPr>
        <w:ind w:firstLine="567"/>
        <w:jc w:val="both"/>
        <w:rPr>
          <w:rStyle w:val="font171"/>
          <w:lang w:val="ru-RU"/>
        </w:rPr>
      </w:pPr>
      <w:r w:rsidRPr="006B3BE6">
        <w:rPr>
          <w:rStyle w:val="font171"/>
        </w:rPr>
        <w:t>Заходи, які необхідно здійснити суб’єктам господарювання</w:t>
      </w:r>
      <w:r w:rsidRPr="006B3BE6">
        <w:rPr>
          <w:rStyle w:val="font171"/>
          <w:lang w:val="ru-RU"/>
        </w:rPr>
        <w:t xml:space="preserve">: </w:t>
      </w:r>
      <w:r w:rsidRPr="006B3BE6">
        <w:rPr>
          <w:rStyle w:val="font171"/>
        </w:rPr>
        <w:t xml:space="preserve">ознайомитися з новим регулюванням (пошук та опрацювання регуляторного акта в мережі Інтернет). </w:t>
      </w:r>
    </w:p>
    <w:p w:rsidR="00F906CB" w:rsidRPr="006B3BE6" w:rsidRDefault="00F906CB" w:rsidP="00F906CB">
      <w:pPr>
        <w:ind w:firstLine="567"/>
        <w:jc w:val="both"/>
        <w:rPr>
          <w:rStyle w:val="font171"/>
        </w:rPr>
      </w:pPr>
    </w:p>
    <w:p w:rsidR="00B91E6A" w:rsidRPr="00145120" w:rsidRDefault="00B91E6A" w:rsidP="00145120">
      <w:pPr>
        <w:ind w:firstLine="567"/>
        <w:jc w:val="both"/>
        <w:rPr>
          <w:rStyle w:val="font171"/>
          <w:sz w:val="24"/>
          <w:szCs w:val="24"/>
        </w:rPr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45120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F906CB" w:rsidRDefault="00F906CB" w:rsidP="00F906CB">
      <w:pPr>
        <w:ind w:firstLine="567"/>
        <w:jc w:val="both"/>
      </w:pPr>
    </w:p>
    <w:p w:rsidR="00D053EC" w:rsidRDefault="00D053EC" w:rsidP="00D053EC">
      <w:pPr>
        <w:ind w:firstLine="567"/>
        <w:jc w:val="both"/>
        <w:rPr>
          <w:rStyle w:val="font171"/>
        </w:rPr>
      </w:pPr>
      <w:r>
        <w:rPr>
          <w:rStyle w:val="font171"/>
        </w:rPr>
        <w:t>Реалізація проекту наказу не передбачає додаткових фінансових витрат органами виконавчої влади та відповідно додаткових видатків бюджету.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bookmarkStart w:id="1" w:name="_GoBack"/>
      <w:bookmarkEnd w:id="1"/>
      <w:r w:rsidRPr="006B3BE6">
        <w:rPr>
          <w:rStyle w:val="font171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Виконання вимог регуляторного акта буде забезпечено існуючими у структурі митних органів підрозділами і буде здійснено в межах кошторисних витрат на утримання митних органів та асигнувань, передбачених на відповідний бюджетний рік для органів виконавчої влади.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Розрахунок витрат, які будуть виникати внаслідок дії регуляторного акта, одного суб’єкта господарювання великого та середнього підприємництва наведено у додатку 1.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 xml:space="preserve">Оскільки питома вага </w:t>
      </w:r>
      <w:r w:rsidR="00D053EC">
        <w:rPr>
          <w:rStyle w:val="font171"/>
        </w:rPr>
        <w:t>суб’єктів малого підприємництва</w:t>
      </w:r>
      <w:r w:rsidRPr="006B3BE6">
        <w:rPr>
          <w:rStyle w:val="font171"/>
        </w:rPr>
        <w:t xml:space="preserve"> (малих та мікропідприємств разом) у загальній кількості суб’єктів господарювання, на яких поширюється регулювання, перевищує 10 відсотків, здійснено розрахунок витрат на запровадження державного регулювання для суб’єктів малого підприємництва (Тест малого підприємництва наведено у додатку 2).</w:t>
      </w:r>
    </w:p>
    <w:p w:rsidR="00FD56D5" w:rsidRPr="00EE34A6" w:rsidRDefault="00FD56D5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</w:pPr>
      <w:r>
        <w:rPr>
          <w:rStyle w:val="font171"/>
          <w:b/>
          <w:bCs/>
        </w:rPr>
        <w:t>VII. Обгрунтування запропонованого строку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FD56D5" w:rsidRPr="00EE34A6" w:rsidRDefault="00FD56D5" w:rsidP="00F906CB">
      <w:pPr>
        <w:jc w:val="both"/>
        <w:rPr>
          <w:lang w:val="ru-RU"/>
        </w:rPr>
      </w:pPr>
    </w:p>
    <w:p w:rsidR="00B91E6A" w:rsidRDefault="00B91E6A" w:rsidP="00F906CB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</w:p>
    <w:p w:rsidR="00FD56D5" w:rsidRPr="00EE34A6" w:rsidRDefault="00FD56D5" w:rsidP="00F906CB">
      <w:pPr>
        <w:ind w:firstLine="567"/>
        <w:jc w:val="both"/>
        <w:rPr>
          <w:rStyle w:val="font171"/>
          <w:lang w:val="ru-RU"/>
        </w:rPr>
      </w:pP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lastRenderedPageBreak/>
        <w:t>2. Дія акта поширюється на суб’єктів господарювання, які здійснюють експортні операції.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3. У зв’язку з прийняттям проекту акта держава та суб’єкти господарювання не витрачатимуть додаткових коштів та часу на реалізацію його норм.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 xml:space="preserve">4. Рівень поінформованості суб’єктів господарювання щодо основних положень регуляторного акта – високий, оскільки проект акта </w:t>
      </w:r>
      <w:r w:rsidR="00F906CB" w:rsidRPr="00F906CB">
        <w:rPr>
          <w:rStyle w:val="font171"/>
        </w:rPr>
        <w:t xml:space="preserve">                         </w:t>
      </w:r>
      <w:r w:rsidRPr="00F906CB">
        <w:rPr>
          <w:rStyle w:val="font171"/>
        </w:rPr>
        <w:t xml:space="preserve">оприлюднено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 (</w:t>
      </w:r>
      <w:r w:rsidRPr="00F906CB">
        <w:rPr>
          <w:rStyle w:val="font171"/>
          <w:lang w:val="en-US"/>
        </w:rPr>
        <w:t>http</w:t>
      </w:r>
      <w:r w:rsidRPr="00F906CB">
        <w:rPr>
          <w:rStyle w:val="font171"/>
        </w:rPr>
        <w:t>:/</w:t>
      </w:r>
      <w:r w:rsidRPr="00F906CB">
        <w:rPr>
          <w:rStyle w:val="font171"/>
          <w:lang w:val="en-US"/>
        </w:rPr>
        <w:t>www</w:t>
      </w:r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minfin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gov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ua</w:t>
      </w:r>
      <w:proofErr w:type="spellEnd"/>
      <w:r w:rsidRPr="00F906CB">
        <w:rPr>
          <w:rStyle w:val="font171"/>
        </w:rPr>
        <w:t>) з метою отримання зауважень та пропозицій до нього.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5. Кількість виданих митними органами сертифікатів.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6. Кількість анульованих</w:t>
      </w:r>
      <w:r w:rsidR="00C53FFF" w:rsidRPr="00F906CB">
        <w:rPr>
          <w:rStyle w:val="font171"/>
        </w:rPr>
        <w:t xml:space="preserve"> митними органами</w:t>
      </w:r>
      <w:r w:rsidRPr="00F906CB">
        <w:rPr>
          <w:rStyle w:val="font171"/>
        </w:rPr>
        <w:t xml:space="preserve"> сертифікатів.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7. Кількість експортних митних декларацій, оформлених</w:t>
      </w:r>
      <w:r w:rsidRPr="00F906CB">
        <w:rPr>
          <w:sz w:val="28"/>
          <w:szCs w:val="28"/>
        </w:rPr>
        <w:t xml:space="preserve"> із сертифікатом.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Числові значення показників 5 – 7 буде визначено під час розробки базового звіту про відстеження результативності регуляторного акта.</w:t>
      </w:r>
    </w:p>
    <w:p w:rsidR="00134EA6" w:rsidRDefault="00134EA6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bookmarkStart w:id="2" w:name="bookmark16"/>
      <w:bookmarkEnd w:id="2"/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Pr="00595B32">
        <w:rPr>
          <w:rStyle w:val="font171"/>
        </w:rPr>
        <w:t>цього</w:t>
      </w:r>
      <w:r>
        <w:rPr>
          <w:rStyle w:val="font171"/>
          <w:lang w:val="ru-RU"/>
        </w:rPr>
        <w:t xml:space="preserve"> регуляторного акта. 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D75EF8" w:rsidRPr="00EE34A6" w:rsidRDefault="00D75EF8" w:rsidP="00F906CB">
      <w:pPr>
        <w:jc w:val="both"/>
        <w:rPr>
          <w:rStyle w:val="font171"/>
          <w:b/>
          <w:lang w:val="ru-RU"/>
        </w:rPr>
      </w:pPr>
    </w:p>
    <w:p w:rsidR="00FD56D5" w:rsidRPr="00EE34A6" w:rsidRDefault="00FD56D5" w:rsidP="00F906CB">
      <w:pPr>
        <w:jc w:val="both"/>
        <w:rPr>
          <w:rStyle w:val="font171"/>
          <w:b/>
          <w:lang w:val="ru-RU"/>
        </w:rPr>
      </w:pPr>
    </w:p>
    <w:p w:rsidR="00DD5931" w:rsidRDefault="00DD5931" w:rsidP="00A45649">
      <w:pPr>
        <w:rPr>
          <w:rStyle w:val="font171"/>
          <w:b/>
        </w:rPr>
      </w:pPr>
      <w:r w:rsidRPr="00D75EF8">
        <w:rPr>
          <w:rStyle w:val="font171"/>
          <w:b/>
        </w:rPr>
        <w:t xml:space="preserve">В. о. Голови                                          </w:t>
      </w:r>
      <w:r w:rsidR="00D75EF8">
        <w:rPr>
          <w:rStyle w:val="font171"/>
          <w:b/>
        </w:rPr>
        <w:t xml:space="preserve">                             </w:t>
      </w:r>
      <w:r w:rsidRPr="00D75EF8">
        <w:rPr>
          <w:rStyle w:val="font171"/>
          <w:b/>
        </w:rPr>
        <w:t xml:space="preserve">      Сергій ЗВЯГІНЦЕВ</w:t>
      </w:r>
    </w:p>
    <w:sectPr w:rsidR="00DD5931" w:rsidSect="005352D4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63" w:rsidRDefault="00043263" w:rsidP="00C12599">
      <w:r>
        <w:separator/>
      </w:r>
    </w:p>
  </w:endnote>
  <w:endnote w:type="continuationSeparator" w:id="0">
    <w:p w:rsidR="00043263" w:rsidRDefault="00043263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63" w:rsidRDefault="00043263" w:rsidP="00C12599">
      <w:r>
        <w:separator/>
      </w:r>
    </w:p>
  </w:footnote>
  <w:footnote w:type="continuationSeparator" w:id="0">
    <w:p w:rsidR="00043263" w:rsidRDefault="00043263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3E5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EC" w:rsidRPr="00D053EC">
          <w:rPr>
            <w:noProof/>
            <w:lang w:val="ru-RU"/>
          </w:rPr>
          <w:t>8</w:t>
        </w:r>
        <w:r>
          <w:fldChar w:fldCharType="end"/>
        </w:r>
      </w:p>
    </w:sdtContent>
  </w:sdt>
  <w:p w:rsidR="003E54FF" w:rsidRDefault="003E54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A"/>
    <w:rsid w:val="000237A0"/>
    <w:rsid w:val="00027DF6"/>
    <w:rsid w:val="000412AC"/>
    <w:rsid w:val="00043263"/>
    <w:rsid w:val="0007041B"/>
    <w:rsid w:val="000756D5"/>
    <w:rsid w:val="000856CE"/>
    <w:rsid w:val="000B5306"/>
    <w:rsid w:val="000C0C9D"/>
    <w:rsid w:val="000D0A92"/>
    <w:rsid w:val="000E2DB1"/>
    <w:rsid w:val="00134EA6"/>
    <w:rsid w:val="00145120"/>
    <w:rsid w:val="00155FF3"/>
    <w:rsid w:val="00187405"/>
    <w:rsid w:val="00195A8B"/>
    <w:rsid w:val="001A000F"/>
    <w:rsid w:val="001A3668"/>
    <w:rsid w:val="001B3C1E"/>
    <w:rsid w:val="001C0D1D"/>
    <w:rsid w:val="002B1D9E"/>
    <w:rsid w:val="002E17F8"/>
    <w:rsid w:val="003E54FF"/>
    <w:rsid w:val="003F457D"/>
    <w:rsid w:val="00400684"/>
    <w:rsid w:val="00400AD4"/>
    <w:rsid w:val="00411838"/>
    <w:rsid w:val="00430304"/>
    <w:rsid w:val="00441950"/>
    <w:rsid w:val="0044543A"/>
    <w:rsid w:val="00494E87"/>
    <w:rsid w:val="004A1D7F"/>
    <w:rsid w:val="004A49E8"/>
    <w:rsid w:val="004B60B0"/>
    <w:rsid w:val="00503C9F"/>
    <w:rsid w:val="005352D4"/>
    <w:rsid w:val="005367B0"/>
    <w:rsid w:val="00564758"/>
    <w:rsid w:val="005A0374"/>
    <w:rsid w:val="005B2E53"/>
    <w:rsid w:val="0061026E"/>
    <w:rsid w:val="00612D04"/>
    <w:rsid w:val="006317BC"/>
    <w:rsid w:val="0064234F"/>
    <w:rsid w:val="00644F00"/>
    <w:rsid w:val="00657A69"/>
    <w:rsid w:val="00675645"/>
    <w:rsid w:val="006B0623"/>
    <w:rsid w:val="006B3BE6"/>
    <w:rsid w:val="0070189F"/>
    <w:rsid w:val="00710A92"/>
    <w:rsid w:val="00757A2C"/>
    <w:rsid w:val="007A352A"/>
    <w:rsid w:val="00823235"/>
    <w:rsid w:val="008264C0"/>
    <w:rsid w:val="00830C28"/>
    <w:rsid w:val="00843EDA"/>
    <w:rsid w:val="00866B00"/>
    <w:rsid w:val="00871221"/>
    <w:rsid w:val="00872F4F"/>
    <w:rsid w:val="008A3105"/>
    <w:rsid w:val="008C1EE9"/>
    <w:rsid w:val="008D4F2B"/>
    <w:rsid w:val="00907E5E"/>
    <w:rsid w:val="00952CDF"/>
    <w:rsid w:val="00982943"/>
    <w:rsid w:val="00985801"/>
    <w:rsid w:val="009D0793"/>
    <w:rsid w:val="009D73BE"/>
    <w:rsid w:val="009F05AB"/>
    <w:rsid w:val="00A06E31"/>
    <w:rsid w:val="00A418D5"/>
    <w:rsid w:val="00A45649"/>
    <w:rsid w:val="00A553BA"/>
    <w:rsid w:val="00A562AC"/>
    <w:rsid w:val="00A92969"/>
    <w:rsid w:val="00AC60F9"/>
    <w:rsid w:val="00AF04CA"/>
    <w:rsid w:val="00B676F1"/>
    <w:rsid w:val="00B91E6A"/>
    <w:rsid w:val="00BC416E"/>
    <w:rsid w:val="00BE6CB1"/>
    <w:rsid w:val="00BF09A2"/>
    <w:rsid w:val="00C12599"/>
    <w:rsid w:val="00C217F9"/>
    <w:rsid w:val="00C53FFF"/>
    <w:rsid w:val="00CB0021"/>
    <w:rsid w:val="00D053EC"/>
    <w:rsid w:val="00D078F4"/>
    <w:rsid w:val="00D605D0"/>
    <w:rsid w:val="00D75EF8"/>
    <w:rsid w:val="00DD5931"/>
    <w:rsid w:val="00DD5A44"/>
    <w:rsid w:val="00E00BCF"/>
    <w:rsid w:val="00E174F6"/>
    <w:rsid w:val="00E22F1D"/>
    <w:rsid w:val="00E23F06"/>
    <w:rsid w:val="00E90F0B"/>
    <w:rsid w:val="00EA4B0F"/>
    <w:rsid w:val="00EA6430"/>
    <w:rsid w:val="00EB5657"/>
    <w:rsid w:val="00EB75E9"/>
    <w:rsid w:val="00EE1BE7"/>
    <w:rsid w:val="00EE34A6"/>
    <w:rsid w:val="00F0162A"/>
    <w:rsid w:val="00F268B4"/>
    <w:rsid w:val="00F35BBD"/>
    <w:rsid w:val="00F36C1F"/>
    <w:rsid w:val="00F906CB"/>
    <w:rsid w:val="00FB2A96"/>
    <w:rsid w:val="00FB6020"/>
    <w:rsid w:val="00FD56D5"/>
    <w:rsid w:val="00FE6C0C"/>
    <w:rsid w:val="00FE78F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9171</Words>
  <Characters>5228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3</cp:revision>
  <cp:lastPrinted>2023-04-11T12:02:00Z</cp:lastPrinted>
  <dcterms:created xsi:type="dcterms:W3CDTF">2023-04-11T13:15:00Z</dcterms:created>
  <dcterms:modified xsi:type="dcterms:W3CDTF">2023-04-11T13:19:00Z</dcterms:modified>
</cp:coreProperties>
</file>