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АНАЛІЗ РЕГУЛЯТОРНОГО ВПЛИВУ</w:t>
      </w:r>
    </w:p>
    <w:p w:rsidR="00553DBB" w:rsidRPr="00FF2D9A" w:rsidRDefault="00553DBB" w:rsidP="00553DBB">
      <w:pPr>
        <w:widowControl w:val="0"/>
        <w:jc w:val="center"/>
        <w:rPr>
          <w:b/>
          <w:bCs/>
          <w:sz w:val="28"/>
          <w:szCs w:val="28"/>
          <w:lang w:val="uk-UA"/>
        </w:rPr>
      </w:pPr>
      <w:r w:rsidRPr="00FF2D9A">
        <w:rPr>
          <w:b/>
          <w:bCs/>
          <w:sz w:val="28"/>
          <w:szCs w:val="28"/>
          <w:lang w:val="uk-UA"/>
        </w:rPr>
        <w:t xml:space="preserve">проекту наказу Міністерства фінансів України </w:t>
      </w:r>
    </w:p>
    <w:p w:rsidR="00553DBB" w:rsidRPr="00FF2D9A" w:rsidRDefault="00553DBB" w:rsidP="00553DBB">
      <w:pPr>
        <w:widowControl w:val="0"/>
        <w:jc w:val="center"/>
        <w:rPr>
          <w:b/>
          <w:bCs/>
          <w:sz w:val="28"/>
          <w:szCs w:val="28"/>
          <w:lang w:val="uk-UA"/>
        </w:rPr>
      </w:pPr>
      <w:r w:rsidRPr="00FF2D9A">
        <w:rPr>
          <w:b/>
          <w:bCs/>
          <w:sz w:val="28"/>
          <w:szCs w:val="28"/>
          <w:lang w:val="uk-UA"/>
        </w:rPr>
        <w:t>«</w:t>
      </w:r>
      <w:r w:rsidRPr="009913C8">
        <w:rPr>
          <w:b/>
          <w:bCs/>
          <w:sz w:val="28"/>
          <w:szCs w:val="28"/>
          <w:lang w:val="uk-UA"/>
        </w:rPr>
        <w:t>Про затвердження Змін до форми Повідомлення про участь у міжнародній групі компаній та Порядку його складання</w:t>
      </w:r>
      <w:r w:rsidRPr="00FF2D9A">
        <w:rPr>
          <w:b/>
          <w:bCs/>
          <w:sz w:val="28"/>
          <w:szCs w:val="28"/>
          <w:lang w:val="uk-UA"/>
        </w:rPr>
        <w:t>»</w:t>
      </w:r>
    </w:p>
    <w:p w:rsidR="00553DBB" w:rsidRPr="00FF2D9A" w:rsidRDefault="00553DBB" w:rsidP="00553DBB">
      <w:pPr>
        <w:pStyle w:val="3"/>
        <w:widowControl w:val="0"/>
        <w:spacing w:before="0" w:beforeAutospacing="0" w:after="0" w:afterAutospacing="0"/>
        <w:jc w:val="center"/>
        <w:rPr>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I. Визначення проблеми</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Відповідно до вимог підпункту 39.4.2 пункту 39.4 статті 39 Кодексу платники податків, які у звітному році здійснювали контрольовані операції, зобов’язані подавати до 1 жовтня року, що настає за звітним повідомлення про участь у міжнародній групі компаній (далі – Повідомлення).</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Наказом Міністерства фінансів України «Про затвердження форми та Порядку складання Повідомлення про участь у міжнародній групі компаній» від 31 грудня 2020 року № 839 (далі – наказ № 839) затверджені форма та порядок складання зазначеного Повідомлення.</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Положеннями наказу № 839 визначається, що Повідомлення подається платниками податків – резидентами України (або уповноваженим суб’єктом) до Державної податкової служби України в електронній формі із дотриманням вимог Законів України «Про електронні документи та електронний документообіг», «Про електронні довірчі послуги» та Порядку обміну електронними документами з контролюючими органами, затвердженого наказом Міністерства фінансів України від 6 червня 2017 року № 557, зареєстрованого у Міністерстві юстиції України 3 серпня 2017 року за № 959/30827.</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Алгоритм заповнення Повідомлення передбачає зазначення платниками податків відповідних технічних кодів у графах 10 та 15 залежно від звітного учасника міжнародної групи компаній в Україні та статусу подання Звіту у розрізі країн міжнародної групи компанії (далі – Звіт) міжнародною групою компаній  (далі – МГК). Застосування кодів дозволяє спростити заповнення Повідомлення та відповідає підходу, який передбачений ОЕСР для складання Звіту для цілей обміну інформацією.</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 xml:space="preserve">Разом із тим, чинна редакція наказу № 839 не містить окремого коду для подання Повідомлення відповідно до вимог Кодексу тими </w:t>
      </w:r>
      <w:bookmarkStart w:id="0" w:name="_Hlk76571403"/>
      <w:bookmarkStart w:id="1" w:name="OLE_LINK98"/>
      <w:r w:rsidRPr="00FF2D9A">
        <w:rPr>
          <w:sz w:val="28"/>
          <w:szCs w:val="28"/>
          <w:lang w:val="uk-UA"/>
        </w:rPr>
        <w:t>платниками, які не є материнською компанією або учасником, уповноваженим на подання Звіту в Україні</w:t>
      </w:r>
      <w:bookmarkEnd w:id="0"/>
      <w:bookmarkEnd w:id="1"/>
      <w:r w:rsidRPr="00FF2D9A">
        <w:rPr>
          <w:sz w:val="28"/>
          <w:szCs w:val="28"/>
          <w:lang w:val="uk-UA"/>
        </w:rPr>
        <w:t>.</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Проект наказу Міністерства фінансів України «</w:t>
      </w:r>
      <w:r w:rsidRPr="009913C8">
        <w:rPr>
          <w:sz w:val="28"/>
          <w:szCs w:val="28"/>
          <w:lang w:val="uk-UA"/>
        </w:rPr>
        <w:t>Про затвердження Змін до форми Повідомлення про участь у міжнародній групі компаній та Порядку його складання</w:t>
      </w:r>
      <w:r w:rsidRPr="00FF2D9A">
        <w:rPr>
          <w:sz w:val="28"/>
          <w:szCs w:val="28"/>
          <w:lang w:val="uk-UA"/>
        </w:rPr>
        <w:t xml:space="preserve">» (далі – проект наказу) розроблено відповідно до підпункту 39.4.2.2 підпункту 39.4.2 пункту 39.4 статті 39 Кодексу, підпункту 5 пункту 4 Положення про Міністерство фінансів України, затвердженого постановою Кабінету Міністрів України від 20 серпня 2014 року № 375. </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Положеннями Проекту наказу пропонується передбачити додатковий код «CBC709» для зазначення у графі 10 Повідомлення платниками, які не є материнською компанією або учасником, уповноваженим на подання Звіту в Україні.</w:t>
      </w: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Також  проектом наказу пропонується врахувати низку інших технічних уточнень щодо:</w:t>
      </w:r>
    </w:p>
    <w:p w:rsidR="00553DBB" w:rsidRPr="00FF2D9A" w:rsidRDefault="00553DBB" w:rsidP="00553DBB">
      <w:pPr>
        <w:widowControl w:val="0"/>
        <w:numPr>
          <w:ilvl w:val="0"/>
          <w:numId w:val="2"/>
        </w:numPr>
        <w:jc w:val="both"/>
        <w:rPr>
          <w:sz w:val="28"/>
          <w:szCs w:val="28"/>
          <w:lang w:val="uk-UA"/>
        </w:rPr>
      </w:pPr>
      <w:r w:rsidRPr="00FF2D9A">
        <w:rPr>
          <w:sz w:val="28"/>
          <w:szCs w:val="28"/>
          <w:lang w:val="uk-UA"/>
        </w:rPr>
        <w:t xml:space="preserve">форматів даних, необхідних для виконання норми Кодексу щодо подання Повідомлення платниками податків до контролюючого органу засобами </w:t>
      </w:r>
      <w:r w:rsidRPr="00FF2D9A">
        <w:rPr>
          <w:sz w:val="28"/>
          <w:szCs w:val="28"/>
          <w:lang w:val="uk-UA"/>
        </w:rPr>
        <w:lastRenderedPageBreak/>
        <w:t>електронного кабінету в електронній формі із дотриманням вимог Законів України «Про електронні документи та електронний документообіг», «Про електронні довірчі послуги» та Порядку обміну електронними документами з контролюючими органами, затвердженого наказом Міністерства фінансів України від 06 червня 2017 року № 557, зареєстрованого у Міністерстві юстиції України 03 серпня 2017 року за № 959/30827 (у редакції наказу Міністерства фінансів України від 01 червня 2020 року № 261);</w:t>
      </w:r>
    </w:p>
    <w:p w:rsidR="00553DBB" w:rsidRPr="00FF2D9A" w:rsidRDefault="00553DBB" w:rsidP="00553DBB">
      <w:pPr>
        <w:widowControl w:val="0"/>
        <w:numPr>
          <w:ilvl w:val="0"/>
          <w:numId w:val="2"/>
        </w:numPr>
        <w:jc w:val="both"/>
        <w:rPr>
          <w:sz w:val="28"/>
          <w:szCs w:val="28"/>
          <w:lang w:val="uk-UA"/>
        </w:rPr>
      </w:pPr>
      <w:r w:rsidRPr="00FF2D9A">
        <w:rPr>
          <w:sz w:val="28"/>
          <w:szCs w:val="28"/>
          <w:lang w:val="uk-UA"/>
        </w:rPr>
        <w:t>заповнення відповідних граф повідомлення, для яких наказом № 839  передбачене застосування Державних класифікаторів, у тих випадках, коли класифікатори не містять необхідних кодів.</w:t>
      </w:r>
    </w:p>
    <w:p w:rsidR="00553DBB" w:rsidRPr="00FF2D9A" w:rsidRDefault="00553DBB" w:rsidP="00553DBB">
      <w:pPr>
        <w:widowControl w:val="0"/>
        <w:ind w:left="1007"/>
        <w:jc w:val="both"/>
        <w:rPr>
          <w:sz w:val="28"/>
          <w:szCs w:val="28"/>
          <w:lang w:val="uk-UA"/>
        </w:rPr>
      </w:pPr>
    </w:p>
    <w:p w:rsidR="00553DBB" w:rsidRPr="00FF2D9A" w:rsidRDefault="00553DBB" w:rsidP="00553DBB">
      <w:pPr>
        <w:widowControl w:val="0"/>
        <w:tabs>
          <w:tab w:val="num" w:pos="0"/>
        </w:tabs>
        <w:ind w:firstLine="567"/>
        <w:jc w:val="both"/>
        <w:rPr>
          <w:sz w:val="28"/>
          <w:szCs w:val="28"/>
          <w:lang w:val="uk-UA"/>
        </w:rPr>
      </w:pPr>
      <w:r w:rsidRPr="00FF2D9A">
        <w:rPr>
          <w:sz w:val="28"/>
          <w:szCs w:val="28"/>
          <w:lang w:val="uk-UA"/>
        </w:rPr>
        <w:t>Основні групи (підгрупи), на які впливає проблема:</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60"/>
        <w:gridCol w:w="3360"/>
      </w:tblGrid>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Групи (підгрупи)</w:t>
            </w: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Так</w:t>
            </w: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Ні</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Громадяни</w:t>
            </w:r>
          </w:p>
        </w:tc>
        <w:tc>
          <w:tcPr>
            <w:tcW w:w="3360"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Держава</w:t>
            </w:r>
          </w:p>
        </w:tc>
        <w:tc>
          <w:tcPr>
            <w:tcW w:w="3360"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w:t>
            </w:r>
          </w:p>
        </w:tc>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 </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Суб’єкти господарювання</w:t>
            </w:r>
          </w:p>
        </w:tc>
        <w:tc>
          <w:tcPr>
            <w:tcW w:w="3360"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w:t>
            </w:r>
          </w:p>
        </w:tc>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 </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 xml:space="preserve">У тому числі </w:t>
            </w:r>
            <w:bookmarkStart w:id="2" w:name="OLE_LINK100"/>
            <w:bookmarkStart w:id="3" w:name="OLE_LINK101"/>
            <w:r w:rsidRPr="00FF2D9A">
              <w:rPr>
                <w:lang w:val="uk-UA"/>
              </w:rPr>
              <w:t>суб’єкти малого підприємництва</w:t>
            </w:r>
            <w:bookmarkEnd w:id="2"/>
            <w:bookmarkEnd w:id="3"/>
          </w:p>
        </w:tc>
        <w:tc>
          <w:tcPr>
            <w:tcW w:w="3360"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w:t>
            </w:r>
          </w:p>
        </w:tc>
      </w:tr>
    </w:tbl>
    <w:p w:rsidR="00553DBB" w:rsidRPr="00FF2D9A" w:rsidRDefault="00553DBB" w:rsidP="00553DBB">
      <w:pPr>
        <w:widowControl w:val="0"/>
        <w:tabs>
          <w:tab w:val="num" w:pos="0"/>
        </w:tabs>
        <w:ind w:firstLine="567"/>
        <w:jc w:val="both"/>
        <w:rPr>
          <w:sz w:val="28"/>
          <w:szCs w:val="28"/>
          <w:lang w:val="uk-UA"/>
        </w:rPr>
      </w:pPr>
      <w:bookmarkStart w:id="4" w:name="_Hlk56059167"/>
      <w:r w:rsidRPr="00FF2D9A">
        <w:rPr>
          <w:sz w:val="28"/>
          <w:szCs w:val="28"/>
          <w:lang w:val="uk-UA"/>
        </w:rPr>
        <w:t xml:space="preserve">Врегулювання питань, пов’язаних із відсутністю у чинній редакції наказу № 839 зазначених технічних уточнень, не може бути здійснено за допомогою ринкових механізмів чи діючих регуляторних актів. Необхідність </w:t>
      </w:r>
      <w:r w:rsidRPr="00FF2D9A">
        <w:rPr>
          <w:iCs/>
          <w:sz w:val="28"/>
          <w:szCs w:val="28"/>
          <w:lang w:val="uk-UA"/>
        </w:rPr>
        <w:t>внесення змін до</w:t>
      </w:r>
      <w:r w:rsidRPr="00FF2D9A">
        <w:rPr>
          <w:sz w:val="28"/>
          <w:szCs w:val="28"/>
          <w:lang w:val="uk-UA" w:eastAsia="uk-UA"/>
        </w:rPr>
        <w:t xml:space="preserve"> Порядку складання Повідомлення постала</w:t>
      </w:r>
      <w:r w:rsidRPr="00FF2D9A">
        <w:rPr>
          <w:sz w:val="28"/>
          <w:szCs w:val="28"/>
          <w:lang w:val="uk-UA"/>
        </w:rPr>
        <w:t xml:space="preserve"> в процесі розробки електронної форми звітності та алгоритмів перевірки і контролю поданих Повідомлень Державною податковою службою. Зазначені зміни запропоновані за результатами обговорення алгоритму заповнення Повідомлення із платниками податків та експертами Експертної ради при Міністерстві фінансів з питань підготовки узагальнюючих податкових консультацій.</w:t>
      </w:r>
    </w:p>
    <w:p w:rsidR="00553DBB" w:rsidRPr="00FF2D9A" w:rsidRDefault="00553DBB" w:rsidP="00553DBB">
      <w:pPr>
        <w:widowControl w:val="0"/>
        <w:tabs>
          <w:tab w:val="num" w:pos="0"/>
        </w:tabs>
        <w:ind w:firstLine="567"/>
        <w:jc w:val="both"/>
        <w:rPr>
          <w:sz w:val="28"/>
          <w:szCs w:val="28"/>
          <w:lang w:val="uk-UA"/>
        </w:rPr>
      </w:pPr>
    </w:p>
    <w:bookmarkEnd w:id="4"/>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II. Цілі державного регулювання</w:t>
      </w:r>
    </w:p>
    <w:p w:rsidR="00553DBB" w:rsidRPr="00FF2D9A" w:rsidRDefault="00553DBB" w:rsidP="00553DBB">
      <w:pPr>
        <w:widowControl w:val="0"/>
        <w:ind w:firstLine="567"/>
        <w:jc w:val="both"/>
        <w:rPr>
          <w:b/>
          <w:sz w:val="28"/>
          <w:szCs w:val="28"/>
          <w:lang w:val="uk-UA" w:eastAsia="uk-UA"/>
        </w:rPr>
      </w:pPr>
      <w:r w:rsidRPr="00FF2D9A">
        <w:rPr>
          <w:sz w:val="28"/>
          <w:szCs w:val="28"/>
          <w:lang w:val="uk-UA"/>
        </w:rPr>
        <w:t xml:space="preserve">Метою підготовки проекту наказу </w:t>
      </w:r>
      <w:bookmarkStart w:id="5" w:name="_Hlk76584836"/>
      <w:bookmarkStart w:id="6" w:name="OLE_LINK111"/>
      <w:r w:rsidRPr="00FF2D9A">
        <w:rPr>
          <w:sz w:val="28"/>
          <w:szCs w:val="28"/>
          <w:lang w:val="uk-UA"/>
        </w:rPr>
        <w:t xml:space="preserve">є </w:t>
      </w:r>
      <w:bookmarkStart w:id="7" w:name="_Hlk51234856"/>
      <w:bookmarkStart w:id="8" w:name="OLE_LINK20"/>
      <w:bookmarkStart w:id="9" w:name="_Hlk76585150"/>
      <w:bookmarkStart w:id="10" w:name="OLE_LINK113"/>
      <w:r w:rsidRPr="00FF2D9A">
        <w:rPr>
          <w:sz w:val="28"/>
          <w:szCs w:val="28"/>
          <w:lang w:val="uk-UA" w:eastAsia="uk-UA"/>
        </w:rPr>
        <w:t>врегулювання технічних аспектів запровадження електронної форми Повідомлення</w:t>
      </w:r>
      <w:bookmarkEnd w:id="9"/>
      <w:bookmarkEnd w:id="10"/>
      <w:r w:rsidRPr="00FF2D9A">
        <w:rPr>
          <w:sz w:val="28"/>
          <w:szCs w:val="28"/>
          <w:lang w:val="uk-UA" w:eastAsia="uk-UA"/>
        </w:rPr>
        <w:t xml:space="preserve">, затвердженої наказом № 839, </w:t>
      </w:r>
      <w:bookmarkEnd w:id="5"/>
      <w:bookmarkEnd w:id="6"/>
      <w:r w:rsidRPr="00FF2D9A">
        <w:rPr>
          <w:sz w:val="28"/>
          <w:szCs w:val="28"/>
          <w:lang w:val="uk-UA" w:eastAsia="uk-UA"/>
        </w:rPr>
        <w:t xml:space="preserve">відповідно до </w:t>
      </w:r>
      <w:bookmarkEnd w:id="7"/>
      <w:bookmarkEnd w:id="8"/>
      <w:r w:rsidRPr="00FF2D9A">
        <w:rPr>
          <w:sz w:val="28"/>
          <w:szCs w:val="28"/>
          <w:lang w:val="uk-UA"/>
        </w:rPr>
        <w:t xml:space="preserve">підпункту </w:t>
      </w:r>
      <w:r w:rsidRPr="00FF2D9A">
        <w:rPr>
          <w:sz w:val="28"/>
          <w:szCs w:val="28"/>
          <w:lang w:val="uk-UA" w:eastAsia="uk-UA"/>
        </w:rPr>
        <w:t xml:space="preserve">39.4.2.2 підпункту 39.4.2 </w:t>
      </w:r>
      <w:r w:rsidRPr="00FF2D9A">
        <w:rPr>
          <w:sz w:val="28"/>
          <w:szCs w:val="28"/>
          <w:lang w:val="uk-UA"/>
        </w:rPr>
        <w:t xml:space="preserve">пункту 39.4 статті 39 Кодексу. </w:t>
      </w:r>
    </w:p>
    <w:p w:rsidR="00553DBB" w:rsidRPr="00FF2D9A" w:rsidRDefault="00553DBB" w:rsidP="00553DBB">
      <w:pPr>
        <w:pStyle w:val="3"/>
        <w:widowControl w:val="0"/>
        <w:spacing w:before="0" w:beforeAutospacing="0" w:after="0" w:afterAutospacing="0"/>
        <w:jc w:val="center"/>
        <w:rPr>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III. Визначення та оцінка альтернативних способів досягнення цілей</w:t>
      </w:r>
    </w:p>
    <w:p w:rsidR="00553DBB" w:rsidRPr="00FF2D9A" w:rsidRDefault="00553DBB" w:rsidP="00553DBB">
      <w:pPr>
        <w:pStyle w:val="a3"/>
        <w:widowControl w:val="0"/>
        <w:numPr>
          <w:ilvl w:val="0"/>
          <w:numId w:val="1"/>
        </w:numPr>
        <w:spacing w:before="0" w:beforeAutospacing="0" w:after="0" w:afterAutospacing="0"/>
        <w:jc w:val="both"/>
        <w:rPr>
          <w:sz w:val="28"/>
          <w:szCs w:val="28"/>
          <w:lang w:val="uk-UA"/>
        </w:rPr>
      </w:pPr>
      <w:r w:rsidRPr="00FF2D9A">
        <w:rPr>
          <w:sz w:val="28"/>
          <w:szCs w:val="28"/>
          <w:lang w:val="uk-UA"/>
        </w:rPr>
        <w:t>Альтернативні способи досягнення цілей державного регулювання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813"/>
      </w:tblGrid>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Вид альтернативи</w:t>
            </w:r>
          </w:p>
        </w:tc>
        <w:tc>
          <w:tcPr>
            <w:tcW w:w="6813"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Опис альтернативи</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ind w:right="-68"/>
              <w:rPr>
                <w:lang w:val="uk-UA"/>
              </w:rPr>
            </w:pPr>
            <w:r w:rsidRPr="00FF2D9A">
              <w:rPr>
                <w:lang w:val="uk-UA"/>
              </w:rPr>
              <w:t>Альтернатива 1</w:t>
            </w:r>
          </w:p>
        </w:tc>
        <w:tc>
          <w:tcPr>
            <w:tcW w:w="6813" w:type="dxa"/>
            <w:shd w:val="clear" w:color="auto" w:fill="auto"/>
          </w:tcPr>
          <w:p w:rsidR="00553DBB" w:rsidRPr="00FF2D9A" w:rsidRDefault="00553DBB" w:rsidP="00883297">
            <w:pPr>
              <w:widowControl w:val="0"/>
              <w:ind w:firstLine="400"/>
              <w:jc w:val="both"/>
              <w:rPr>
                <w:lang w:val="uk-UA"/>
              </w:rPr>
            </w:pPr>
            <w:r w:rsidRPr="00FF2D9A">
              <w:rPr>
                <w:lang w:val="uk-UA"/>
              </w:rPr>
              <w:t xml:space="preserve">Затвердити зміни до наказу № 839. </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ind w:right="-67"/>
              <w:rPr>
                <w:lang w:val="uk-UA"/>
              </w:rPr>
            </w:pPr>
            <w:r w:rsidRPr="00FF2D9A">
              <w:rPr>
                <w:lang w:val="uk-UA"/>
              </w:rPr>
              <w:t>Альтернатива 2</w:t>
            </w:r>
          </w:p>
        </w:tc>
        <w:tc>
          <w:tcPr>
            <w:tcW w:w="6813" w:type="dxa"/>
            <w:shd w:val="clear" w:color="auto" w:fill="auto"/>
          </w:tcPr>
          <w:p w:rsidR="00553DBB" w:rsidRPr="00FF2D9A" w:rsidRDefault="00553DBB" w:rsidP="00883297">
            <w:pPr>
              <w:widowControl w:val="0"/>
              <w:ind w:firstLine="290"/>
              <w:jc w:val="both"/>
              <w:rPr>
                <w:lang w:val="uk-UA"/>
              </w:rPr>
            </w:pPr>
            <w:r w:rsidRPr="00FF2D9A">
              <w:rPr>
                <w:lang w:val="uk-UA"/>
              </w:rPr>
              <w:t xml:space="preserve">Залишити без змін та, відповідно, не вносити зміни до наказу № 839. </w:t>
            </w:r>
          </w:p>
        </w:tc>
      </w:tr>
    </w:tbl>
    <w:p w:rsidR="00553DBB" w:rsidRPr="00FF2D9A" w:rsidRDefault="00553DBB" w:rsidP="00553DBB">
      <w:pPr>
        <w:pStyle w:val="a3"/>
        <w:widowControl w:val="0"/>
        <w:spacing w:before="0" w:beforeAutospacing="0" w:after="0" w:afterAutospacing="0"/>
        <w:jc w:val="both"/>
        <w:rPr>
          <w:sz w:val="28"/>
          <w:szCs w:val="28"/>
          <w:lang w:val="uk-UA"/>
        </w:rPr>
      </w:pPr>
    </w:p>
    <w:p w:rsidR="00553DBB" w:rsidRPr="00FF2D9A" w:rsidRDefault="00553DBB" w:rsidP="00553DBB">
      <w:pPr>
        <w:pStyle w:val="a3"/>
        <w:widowControl w:val="0"/>
        <w:numPr>
          <w:ilvl w:val="0"/>
          <w:numId w:val="1"/>
        </w:numPr>
        <w:spacing w:before="0" w:beforeAutospacing="0" w:after="0" w:afterAutospacing="0"/>
        <w:jc w:val="both"/>
        <w:rPr>
          <w:sz w:val="28"/>
          <w:szCs w:val="28"/>
          <w:lang w:val="uk-UA"/>
        </w:rPr>
      </w:pPr>
      <w:r w:rsidRPr="00FF2D9A">
        <w:rPr>
          <w:sz w:val="28"/>
          <w:szCs w:val="28"/>
          <w:lang w:val="uk-UA"/>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99"/>
        <w:gridCol w:w="3285"/>
      </w:tblGrid>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Вид альтернативи</w:t>
            </w: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Вигоди</w:t>
            </w: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Витрати</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1</w:t>
            </w:r>
          </w:p>
        </w:tc>
        <w:tc>
          <w:tcPr>
            <w:tcW w:w="3360" w:type="dxa"/>
            <w:shd w:val="clear" w:color="auto" w:fill="auto"/>
          </w:tcPr>
          <w:p w:rsidR="00553DBB" w:rsidRPr="00FF2D9A" w:rsidRDefault="00553DBB" w:rsidP="00883297">
            <w:pPr>
              <w:pStyle w:val="a8"/>
              <w:spacing w:after="0"/>
              <w:ind w:left="0" w:firstLine="223"/>
              <w:jc w:val="both"/>
            </w:pPr>
            <w:r w:rsidRPr="00FF2D9A">
              <w:t xml:space="preserve">Запроваджується низка технічних уточнень які дозволяють забезпечити подання платниками податків та прийняття податковими органами Повідомлення в </w:t>
            </w:r>
            <w:r w:rsidRPr="00FF2D9A">
              <w:lastRenderedPageBreak/>
              <w:t xml:space="preserve">межах та у спосіб, передбачені </w:t>
            </w:r>
            <w:r w:rsidRPr="00FF2D9A">
              <w:rPr>
                <w:lang w:val="ru-RU"/>
              </w:rPr>
              <w:t>н</w:t>
            </w:r>
            <w:r w:rsidRPr="00FF2D9A">
              <w:t>аказом № 839 відповідно до Кодексу.</w:t>
            </w:r>
          </w:p>
        </w:tc>
        <w:tc>
          <w:tcPr>
            <w:tcW w:w="3360" w:type="dxa"/>
            <w:shd w:val="clear" w:color="auto" w:fill="auto"/>
          </w:tcPr>
          <w:p w:rsidR="00553DBB" w:rsidRPr="00FF2D9A" w:rsidRDefault="00553DBB" w:rsidP="00883297">
            <w:pPr>
              <w:widowControl w:val="0"/>
              <w:ind w:firstLine="301"/>
              <w:jc w:val="both"/>
              <w:rPr>
                <w:lang w:val="uk-UA"/>
              </w:rPr>
            </w:pPr>
            <w:r w:rsidRPr="00FF2D9A">
              <w:rPr>
                <w:lang w:val="uk-UA"/>
              </w:rPr>
              <w:lastRenderedPageBreak/>
              <w:t xml:space="preserve">Відсутні. </w:t>
            </w:r>
          </w:p>
          <w:p w:rsidR="00553DBB" w:rsidRPr="00FF2D9A" w:rsidRDefault="00553DBB" w:rsidP="00883297">
            <w:pPr>
              <w:widowControl w:val="0"/>
              <w:ind w:firstLine="301"/>
              <w:jc w:val="both"/>
              <w:rPr>
                <w:lang w:val="uk-UA"/>
              </w:rPr>
            </w:pPr>
            <w:r w:rsidRPr="00FF2D9A">
              <w:rPr>
                <w:lang w:val="uk-UA"/>
              </w:rPr>
              <w:t>Викона</w:t>
            </w:r>
            <w:r>
              <w:rPr>
                <w:lang w:val="uk-UA"/>
              </w:rPr>
              <w:t>з</w:t>
            </w:r>
            <w:bookmarkStart w:id="11" w:name="_GoBack"/>
            <w:bookmarkEnd w:id="11"/>
            <w:r w:rsidRPr="00FF2D9A">
              <w:rPr>
                <w:lang w:val="uk-UA"/>
              </w:rPr>
              <w:t>ння вимог проекту наказу забезпечується в межах кошторисних витрат на утримання контролюючих органів.</w:t>
            </w:r>
          </w:p>
        </w:tc>
      </w:tr>
      <w:tr w:rsidR="00553DBB" w:rsidRPr="00FF2D9A" w:rsidTr="00883297">
        <w:tc>
          <w:tcPr>
            <w:tcW w:w="3360" w:type="dxa"/>
            <w:shd w:val="clear" w:color="auto" w:fill="auto"/>
          </w:tcPr>
          <w:p w:rsidR="00553DBB" w:rsidRPr="00FF2D9A" w:rsidRDefault="00553DBB" w:rsidP="00883297">
            <w:pPr>
              <w:pStyle w:val="a3"/>
              <w:widowControl w:val="0"/>
              <w:spacing w:before="0" w:beforeAutospacing="0" w:after="0" w:afterAutospacing="0"/>
              <w:rPr>
                <w:lang w:val="uk-UA"/>
              </w:rPr>
            </w:pPr>
            <w:bookmarkStart w:id="12" w:name="_Hlk76583833"/>
            <w:r w:rsidRPr="00FF2D9A">
              <w:rPr>
                <w:lang w:val="uk-UA"/>
              </w:rPr>
              <w:t>Альтернатива 2</w:t>
            </w:r>
          </w:p>
        </w:tc>
        <w:tc>
          <w:tcPr>
            <w:tcW w:w="3360"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Відсутні</w:t>
            </w:r>
          </w:p>
        </w:tc>
        <w:tc>
          <w:tcPr>
            <w:tcW w:w="3360" w:type="dxa"/>
            <w:shd w:val="clear" w:color="auto" w:fill="auto"/>
          </w:tcPr>
          <w:p w:rsidR="00553DBB" w:rsidRPr="00FF2D9A" w:rsidRDefault="00553DBB" w:rsidP="00883297">
            <w:pPr>
              <w:pStyle w:val="a3"/>
              <w:spacing w:before="0" w:beforeAutospacing="0" w:after="0" w:afterAutospacing="0"/>
              <w:ind w:firstLine="301"/>
              <w:jc w:val="both"/>
              <w:rPr>
                <w:lang w:val="uk-UA"/>
              </w:rPr>
            </w:pPr>
            <w:r w:rsidRPr="00FF2D9A">
              <w:rPr>
                <w:lang w:val="uk-UA"/>
              </w:rPr>
              <w:t xml:space="preserve">1) практичне виконання вимог наказу </w:t>
            </w:r>
            <w:r w:rsidRPr="00FF2D9A">
              <w:t xml:space="preserve">№ 839 </w:t>
            </w:r>
            <w:r w:rsidRPr="00FF2D9A">
              <w:rPr>
                <w:lang w:val="uk-UA"/>
              </w:rPr>
              <w:t xml:space="preserve"> платниками податків ускладнюється та потребуватиме додаткових роз’яснень контролюючих органів щодо технічних аспектів заповнення Повідомлення;</w:t>
            </w:r>
          </w:p>
          <w:p w:rsidR="00553DBB" w:rsidRPr="00FF2D9A" w:rsidRDefault="00553DBB" w:rsidP="00883297">
            <w:pPr>
              <w:pStyle w:val="a3"/>
              <w:spacing w:before="0" w:beforeAutospacing="0" w:after="0" w:afterAutospacing="0"/>
              <w:ind w:firstLine="301"/>
              <w:jc w:val="both"/>
              <w:rPr>
                <w:lang w:val="uk-UA"/>
              </w:rPr>
            </w:pPr>
            <w:r w:rsidRPr="00FF2D9A">
              <w:rPr>
                <w:lang w:val="uk-UA"/>
              </w:rPr>
              <w:t>2) можливе виникнення спорів між контролюючими органами та платниками податку щодо виконання обов’язків платників податку з питань складання та подання Повідомлення та притягнення їх до відповідальності за подання недостовірної інформації у Повідомленні (пункт 120.5 статті 120 Кодексу).</w:t>
            </w:r>
          </w:p>
        </w:tc>
      </w:tr>
      <w:bookmarkEnd w:id="12"/>
    </w:tbl>
    <w:p w:rsidR="00553DBB" w:rsidRPr="00FF2D9A" w:rsidRDefault="00553DBB" w:rsidP="00553DBB">
      <w:pPr>
        <w:pStyle w:val="a3"/>
        <w:widowControl w:val="0"/>
        <w:spacing w:before="0" w:beforeAutospacing="0" w:after="0" w:afterAutospacing="0"/>
        <w:jc w:val="both"/>
        <w:rPr>
          <w:sz w:val="18"/>
          <w:szCs w:val="28"/>
          <w:lang w:val="uk-UA"/>
        </w:rPr>
      </w:pPr>
    </w:p>
    <w:p w:rsidR="00553DBB" w:rsidRPr="00FF2D9A" w:rsidRDefault="00553DBB" w:rsidP="00553DBB">
      <w:pPr>
        <w:pStyle w:val="a3"/>
        <w:widowControl w:val="0"/>
        <w:spacing w:before="0" w:beforeAutospacing="0" w:after="0" w:afterAutospacing="0"/>
        <w:ind w:firstLine="567"/>
        <w:jc w:val="both"/>
        <w:rPr>
          <w:sz w:val="28"/>
          <w:szCs w:val="28"/>
          <w:lang w:val="uk-UA"/>
        </w:rPr>
      </w:pPr>
      <w:r w:rsidRPr="00FF2D9A">
        <w:rPr>
          <w:sz w:val="28"/>
          <w:szCs w:val="28"/>
          <w:lang w:val="uk-UA"/>
        </w:rPr>
        <w:t>3. Проект наказу не розповсюджується на сферу інтересів громадян.</w:t>
      </w:r>
    </w:p>
    <w:p w:rsidR="00553DBB" w:rsidRPr="00FF2D9A" w:rsidRDefault="00553DBB" w:rsidP="00553DBB">
      <w:pPr>
        <w:pStyle w:val="a3"/>
        <w:widowControl w:val="0"/>
        <w:spacing w:before="0" w:beforeAutospacing="0" w:after="0" w:afterAutospacing="0"/>
        <w:ind w:firstLine="567"/>
        <w:jc w:val="both"/>
        <w:rPr>
          <w:sz w:val="28"/>
          <w:szCs w:val="28"/>
          <w:lang w:val="uk-UA"/>
        </w:rPr>
      </w:pPr>
      <w:r w:rsidRPr="00FF2D9A">
        <w:rPr>
          <w:sz w:val="28"/>
          <w:szCs w:val="28"/>
          <w:lang w:val="uk-UA"/>
        </w:rPr>
        <w:t>4. Оцінка впливу на сферу інтересів суб’єктів господарювання</w:t>
      </w:r>
    </w:p>
    <w:p w:rsidR="00553DBB" w:rsidRPr="00553DBB" w:rsidRDefault="00553DBB" w:rsidP="00553DBB">
      <w:pPr>
        <w:widowControl w:val="0"/>
        <w:autoSpaceDE w:val="0"/>
        <w:autoSpaceDN w:val="0"/>
        <w:adjustRightInd w:val="0"/>
        <w:ind w:firstLine="567"/>
        <w:jc w:val="both"/>
        <w:rPr>
          <w:sz w:val="1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1134"/>
        <w:gridCol w:w="1134"/>
        <w:gridCol w:w="1134"/>
        <w:gridCol w:w="1183"/>
      </w:tblGrid>
      <w:tr w:rsidR="00553DBB" w:rsidRPr="00FF2D9A" w:rsidTr="00883297">
        <w:trPr>
          <w:jc w:val="center"/>
        </w:trPr>
        <w:tc>
          <w:tcPr>
            <w:tcW w:w="4361" w:type="dxa"/>
            <w:shd w:val="clear" w:color="auto" w:fill="auto"/>
          </w:tcPr>
          <w:p w:rsidR="00553DBB" w:rsidRPr="00FF2D9A" w:rsidRDefault="00553DBB" w:rsidP="00883297">
            <w:pPr>
              <w:widowControl w:val="0"/>
              <w:jc w:val="center"/>
              <w:rPr>
                <w:lang w:val="uk-UA"/>
              </w:rPr>
            </w:pPr>
            <w:r w:rsidRPr="00FF2D9A">
              <w:rPr>
                <w:lang w:val="uk-UA"/>
              </w:rPr>
              <w:t>Показник</w:t>
            </w:r>
          </w:p>
        </w:tc>
        <w:tc>
          <w:tcPr>
            <w:tcW w:w="1134" w:type="dxa"/>
            <w:shd w:val="clear" w:color="auto" w:fill="auto"/>
          </w:tcPr>
          <w:p w:rsidR="00553DBB" w:rsidRPr="00FF2D9A" w:rsidRDefault="00553DBB" w:rsidP="00883297">
            <w:pPr>
              <w:widowControl w:val="0"/>
              <w:jc w:val="center"/>
              <w:rPr>
                <w:lang w:val="uk-UA"/>
              </w:rPr>
            </w:pPr>
            <w:r w:rsidRPr="00FF2D9A">
              <w:rPr>
                <w:lang w:val="uk-UA"/>
              </w:rPr>
              <w:t>Великі</w:t>
            </w:r>
          </w:p>
        </w:tc>
        <w:tc>
          <w:tcPr>
            <w:tcW w:w="1134" w:type="dxa"/>
            <w:shd w:val="clear" w:color="auto" w:fill="auto"/>
          </w:tcPr>
          <w:p w:rsidR="00553DBB" w:rsidRPr="00FF2D9A" w:rsidRDefault="00553DBB" w:rsidP="00883297">
            <w:pPr>
              <w:widowControl w:val="0"/>
              <w:jc w:val="center"/>
              <w:rPr>
                <w:lang w:val="uk-UA"/>
              </w:rPr>
            </w:pPr>
            <w:r w:rsidRPr="00FF2D9A">
              <w:rPr>
                <w:lang w:val="uk-UA"/>
              </w:rPr>
              <w:t>Середні</w:t>
            </w:r>
          </w:p>
        </w:tc>
        <w:tc>
          <w:tcPr>
            <w:tcW w:w="1134" w:type="dxa"/>
            <w:shd w:val="clear" w:color="auto" w:fill="auto"/>
          </w:tcPr>
          <w:p w:rsidR="00553DBB" w:rsidRPr="00FF2D9A" w:rsidRDefault="00553DBB" w:rsidP="00883297">
            <w:pPr>
              <w:widowControl w:val="0"/>
              <w:jc w:val="center"/>
              <w:rPr>
                <w:lang w:val="uk-UA"/>
              </w:rPr>
            </w:pPr>
            <w:r w:rsidRPr="00FF2D9A">
              <w:rPr>
                <w:lang w:val="uk-UA"/>
              </w:rPr>
              <w:t>Малі</w:t>
            </w:r>
          </w:p>
        </w:tc>
        <w:tc>
          <w:tcPr>
            <w:tcW w:w="1134" w:type="dxa"/>
            <w:shd w:val="clear" w:color="auto" w:fill="auto"/>
          </w:tcPr>
          <w:p w:rsidR="00553DBB" w:rsidRPr="00FF2D9A" w:rsidRDefault="00553DBB" w:rsidP="00883297">
            <w:pPr>
              <w:widowControl w:val="0"/>
              <w:jc w:val="center"/>
              <w:rPr>
                <w:lang w:val="uk-UA"/>
              </w:rPr>
            </w:pPr>
            <w:r w:rsidRPr="00FF2D9A">
              <w:rPr>
                <w:lang w:val="uk-UA"/>
              </w:rPr>
              <w:t>Мікро</w:t>
            </w:r>
          </w:p>
        </w:tc>
        <w:tc>
          <w:tcPr>
            <w:tcW w:w="1183" w:type="dxa"/>
            <w:shd w:val="clear" w:color="auto" w:fill="auto"/>
          </w:tcPr>
          <w:p w:rsidR="00553DBB" w:rsidRPr="00FF2D9A" w:rsidRDefault="00553DBB" w:rsidP="00883297">
            <w:pPr>
              <w:widowControl w:val="0"/>
              <w:jc w:val="center"/>
              <w:rPr>
                <w:lang w:val="uk-UA"/>
              </w:rPr>
            </w:pPr>
            <w:r w:rsidRPr="00FF2D9A">
              <w:rPr>
                <w:lang w:val="uk-UA"/>
              </w:rPr>
              <w:t>Разом</w:t>
            </w:r>
          </w:p>
        </w:tc>
      </w:tr>
      <w:tr w:rsidR="00553DBB" w:rsidRPr="00FF2D9A" w:rsidTr="00883297">
        <w:trPr>
          <w:jc w:val="center"/>
        </w:trPr>
        <w:tc>
          <w:tcPr>
            <w:tcW w:w="4361" w:type="dxa"/>
            <w:shd w:val="clear" w:color="auto" w:fill="auto"/>
          </w:tcPr>
          <w:p w:rsidR="00553DBB" w:rsidRPr="00FF2D9A" w:rsidRDefault="00553DBB" w:rsidP="00883297">
            <w:pPr>
              <w:widowControl w:val="0"/>
              <w:rPr>
                <w:lang w:val="uk-UA"/>
              </w:rPr>
            </w:pPr>
            <w:r w:rsidRPr="00FF2D9A">
              <w:rPr>
                <w:lang w:val="uk-UA"/>
              </w:rPr>
              <w:t>Кількість платників податків, що підпадають під дію регулювання, одиниць</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83" w:type="dxa"/>
            <w:shd w:val="clear" w:color="auto" w:fill="auto"/>
            <w:vAlign w:val="center"/>
          </w:tcPr>
          <w:p w:rsidR="00553DBB" w:rsidRPr="00FF2D9A" w:rsidRDefault="00553DBB" w:rsidP="00883297">
            <w:pPr>
              <w:widowControl w:val="0"/>
              <w:jc w:val="center"/>
              <w:rPr>
                <w:lang w:val="uk-UA"/>
              </w:rPr>
            </w:pPr>
            <w:r w:rsidRPr="00FF2D9A">
              <w:rPr>
                <w:lang w:val="uk-UA"/>
              </w:rPr>
              <w:t>До 2 320</w:t>
            </w:r>
          </w:p>
        </w:tc>
      </w:tr>
      <w:tr w:rsidR="00553DBB" w:rsidRPr="00FF2D9A" w:rsidTr="00883297">
        <w:trPr>
          <w:jc w:val="center"/>
        </w:trPr>
        <w:tc>
          <w:tcPr>
            <w:tcW w:w="4361" w:type="dxa"/>
            <w:shd w:val="clear" w:color="auto" w:fill="auto"/>
          </w:tcPr>
          <w:p w:rsidR="00553DBB" w:rsidRPr="00FF2D9A" w:rsidRDefault="00553DBB" w:rsidP="00883297">
            <w:pPr>
              <w:widowControl w:val="0"/>
              <w:rPr>
                <w:lang w:val="uk-UA"/>
              </w:rPr>
            </w:pPr>
            <w:r w:rsidRPr="00FF2D9A">
              <w:rPr>
                <w:lang w:val="uk-UA"/>
              </w:rPr>
              <w:t>Питома вага групи у загальній кількості, відсотків</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34" w:type="dxa"/>
            <w:shd w:val="clear" w:color="auto" w:fill="auto"/>
            <w:vAlign w:val="center"/>
          </w:tcPr>
          <w:p w:rsidR="00553DBB" w:rsidRPr="00FF2D9A" w:rsidRDefault="00553DBB" w:rsidP="00883297">
            <w:pPr>
              <w:widowControl w:val="0"/>
              <w:jc w:val="center"/>
              <w:rPr>
                <w:lang w:val="uk-UA"/>
              </w:rPr>
            </w:pPr>
            <w:r w:rsidRPr="00FF2D9A">
              <w:rPr>
                <w:lang w:val="uk-UA"/>
              </w:rPr>
              <w:t>-</w:t>
            </w:r>
          </w:p>
        </w:tc>
        <w:tc>
          <w:tcPr>
            <w:tcW w:w="1183" w:type="dxa"/>
            <w:shd w:val="clear" w:color="auto" w:fill="auto"/>
            <w:vAlign w:val="center"/>
          </w:tcPr>
          <w:p w:rsidR="00553DBB" w:rsidRPr="00FF2D9A" w:rsidRDefault="00553DBB" w:rsidP="00883297">
            <w:pPr>
              <w:widowControl w:val="0"/>
              <w:jc w:val="center"/>
              <w:rPr>
                <w:lang w:val="uk-UA"/>
              </w:rPr>
            </w:pPr>
            <w:r w:rsidRPr="00FF2D9A">
              <w:rPr>
                <w:lang w:val="uk-UA"/>
              </w:rPr>
              <w:t>Х</w:t>
            </w:r>
          </w:p>
        </w:tc>
      </w:tr>
    </w:tbl>
    <w:p w:rsidR="00553DBB" w:rsidRPr="00FF2D9A" w:rsidRDefault="00553DBB" w:rsidP="00553DBB">
      <w:pPr>
        <w:widowControl w:val="0"/>
        <w:autoSpaceDE w:val="0"/>
        <w:autoSpaceDN w:val="0"/>
        <w:adjustRightInd w:val="0"/>
        <w:ind w:firstLine="567"/>
        <w:jc w:val="both"/>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2"/>
        <w:gridCol w:w="3828"/>
      </w:tblGrid>
      <w:tr w:rsidR="00553DBB" w:rsidRPr="00FF2D9A" w:rsidTr="00883297">
        <w:tc>
          <w:tcPr>
            <w:tcW w:w="1951"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Вид альтернативи</w:t>
            </w:r>
          </w:p>
        </w:tc>
        <w:tc>
          <w:tcPr>
            <w:tcW w:w="4252"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Вигоди</w:t>
            </w:r>
          </w:p>
        </w:tc>
        <w:tc>
          <w:tcPr>
            <w:tcW w:w="3828"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Витрати</w:t>
            </w:r>
          </w:p>
        </w:tc>
      </w:tr>
      <w:tr w:rsidR="00553DBB" w:rsidRPr="00FF2D9A" w:rsidTr="00883297">
        <w:tc>
          <w:tcPr>
            <w:tcW w:w="1951"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1</w:t>
            </w:r>
          </w:p>
        </w:tc>
        <w:tc>
          <w:tcPr>
            <w:tcW w:w="4252" w:type="dxa"/>
            <w:shd w:val="clear" w:color="auto" w:fill="auto"/>
          </w:tcPr>
          <w:p w:rsidR="00553DBB" w:rsidRPr="00FF2D9A" w:rsidRDefault="00553DBB" w:rsidP="00883297">
            <w:pPr>
              <w:ind w:firstLine="252"/>
              <w:jc w:val="both"/>
              <w:rPr>
                <w:lang w:val="uk-UA"/>
              </w:rPr>
            </w:pPr>
            <w:r w:rsidRPr="00FF2D9A">
              <w:t xml:space="preserve">Запроваджується низка технічних уточнень, які дозволяють </w:t>
            </w:r>
            <w:bookmarkStart w:id="13" w:name="_Hlk76584628"/>
            <w:bookmarkStart w:id="14" w:name="OLE_LINK109"/>
            <w:r w:rsidRPr="00FF2D9A">
              <w:t>забезпечити подання платниками податків та прийняття податковими органами Повідомлення в межах та у спосіб, що передбачені наказом № 839 відповідно до Кодексу.</w:t>
            </w:r>
            <w:bookmarkEnd w:id="13"/>
            <w:bookmarkEnd w:id="14"/>
          </w:p>
        </w:tc>
        <w:tc>
          <w:tcPr>
            <w:tcW w:w="3828" w:type="dxa"/>
            <w:shd w:val="clear" w:color="auto" w:fill="auto"/>
          </w:tcPr>
          <w:p w:rsidR="00553DBB" w:rsidRPr="00FF2D9A" w:rsidRDefault="00553DBB" w:rsidP="00883297">
            <w:pPr>
              <w:widowControl w:val="0"/>
              <w:ind w:firstLine="295"/>
              <w:jc w:val="both"/>
              <w:rPr>
                <w:lang w:val="uk-UA"/>
              </w:rPr>
            </w:pPr>
            <w:r w:rsidRPr="00FF2D9A">
              <w:rPr>
                <w:lang w:val="uk-UA"/>
              </w:rPr>
              <w:t>Відсутні. Виконання вимог проекту наказу забезпечується в межах кошторисних витрат на утримання контролюючих органів.</w:t>
            </w:r>
          </w:p>
        </w:tc>
      </w:tr>
      <w:tr w:rsidR="00553DBB" w:rsidRPr="00FF2D9A" w:rsidTr="00883297">
        <w:tc>
          <w:tcPr>
            <w:tcW w:w="1951"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2</w:t>
            </w:r>
          </w:p>
        </w:tc>
        <w:tc>
          <w:tcPr>
            <w:tcW w:w="4252" w:type="dxa"/>
            <w:shd w:val="clear" w:color="auto" w:fill="auto"/>
          </w:tcPr>
          <w:p w:rsidR="00553DBB" w:rsidRPr="00FF2D9A" w:rsidRDefault="00553DBB" w:rsidP="00883297">
            <w:pPr>
              <w:widowControl w:val="0"/>
              <w:ind w:firstLine="193"/>
              <w:jc w:val="both"/>
              <w:rPr>
                <w:lang w:val="uk-UA"/>
              </w:rPr>
            </w:pPr>
            <w:r w:rsidRPr="00FF2D9A">
              <w:rPr>
                <w:lang w:val="uk-UA"/>
              </w:rPr>
              <w:t>Відсутні</w:t>
            </w:r>
          </w:p>
        </w:tc>
        <w:tc>
          <w:tcPr>
            <w:tcW w:w="3828" w:type="dxa"/>
            <w:shd w:val="clear" w:color="auto" w:fill="auto"/>
          </w:tcPr>
          <w:p w:rsidR="00553DBB" w:rsidRPr="00FF2D9A" w:rsidRDefault="00553DBB" w:rsidP="00883297">
            <w:pPr>
              <w:pStyle w:val="a3"/>
              <w:spacing w:before="0" w:beforeAutospacing="0" w:after="0" w:afterAutospacing="0"/>
              <w:ind w:firstLine="301"/>
              <w:jc w:val="both"/>
              <w:rPr>
                <w:lang w:val="uk-UA"/>
              </w:rPr>
            </w:pPr>
            <w:r w:rsidRPr="00FF2D9A">
              <w:rPr>
                <w:lang w:val="uk-UA"/>
              </w:rPr>
              <w:t xml:space="preserve">1) практичне виконання вимог наказу </w:t>
            </w:r>
            <w:r w:rsidRPr="00FF2D9A">
              <w:t>№ 839</w:t>
            </w:r>
            <w:r w:rsidRPr="00FF2D9A">
              <w:rPr>
                <w:lang w:val="uk-UA"/>
              </w:rPr>
              <w:t xml:space="preserve"> платниками податків ускладнюється та потребуватиме додаткових роз’яснень контролюючих органів щодо технічних аспектів заповнення Повідомлення;</w:t>
            </w:r>
          </w:p>
          <w:p w:rsidR="00553DBB" w:rsidRPr="00FF2D9A" w:rsidRDefault="00553DBB" w:rsidP="00883297">
            <w:pPr>
              <w:pStyle w:val="a3"/>
              <w:widowControl w:val="0"/>
              <w:spacing w:before="0" w:beforeAutospacing="0" w:after="0" w:afterAutospacing="0"/>
              <w:ind w:firstLine="302"/>
              <w:jc w:val="both"/>
              <w:rPr>
                <w:lang w:val="uk-UA"/>
              </w:rPr>
            </w:pPr>
            <w:r w:rsidRPr="00FF2D9A">
              <w:rPr>
                <w:lang w:val="uk-UA"/>
              </w:rPr>
              <w:t xml:space="preserve">2) можливе </w:t>
            </w:r>
            <w:bookmarkStart w:id="15" w:name="_Hlk76584107"/>
            <w:bookmarkStart w:id="16" w:name="OLE_LINK107"/>
            <w:r w:rsidRPr="00FF2D9A">
              <w:rPr>
                <w:lang w:val="uk-UA"/>
              </w:rPr>
              <w:t xml:space="preserve">виникнення спорів між контролюючими органами та платниками податку щодо </w:t>
            </w:r>
            <w:r w:rsidRPr="00FF2D9A">
              <w:rPr>
                <w:lang w:val="uk-UA"/>
              </w:rPr>
              <w:lastRenderedPageBreak/>
              <w:t>виконання обов’язків платників податку з питань складання та подання Повідомлення та притягнення їх до відповідальності за подання недостовірної інформації у Повідомленні (пункт 120.5 статті 120 Кодексу).</w:t>
            </w:r>
            <w:bookmarkEnd w:id="15"/>
            <w:bookmarkEnd w:id="16"/>
          </w:p>
        </w:tc>
      </w:tr>
    </w:tbl>
    <w:p w:rsidR="00553DBB" w:rsidRPr="00553DBB" w:rsidRDefault="00553DBB" w:rsidP="00553DBB">
      <w:pPr>
        <w:rPr>
          <w:vanish/>
          <w:lang w:val="uk-U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62"/>
      </w:tblGrid>
      <w:tr w:rsidR="00553DBB" w:rsidRPr="00FF2D9A" w:rsidTr="00883297">
        <w:tc>
          <w:tcPr>
            <w:tcW w:w="2518"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Сумарні витрати за альтернативами</w:t>
            </w:r>
          </w:p>
        </w:tc>
        <w:tc>
          <w:tcPr>
            <w:tcW w:w="7562"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Сума витрат, гривень</w:t>
            </w:r>
          </w:p>
        </w:tc>
      </w:tr>
      <w:tr w:rsidR="00553DBB" w:rsidRPr="00FF2D9A" w:rsidTr="00883297">
        <w:tc>
          <w:tcPr>
            <w:tcW w:w="2518" w:type="dxa"/>
            <w:shd w:val="clear" w:color="auto" w:fill="auto"/>
          </w:tcPr>
          <w:p w:rsidR="00553DBB" w:rsidRPr="00FF2D9A" w:rsidRDefault="00553DBB" w:rsidP="00883297">
            <w:pPr>
              <w:pStyle w:val="a3"/>
              <w:widowControl w:val="0"/>
              <w:spacing w:before="0" w:beforeAutospacing="0" w:after="0" w:afterAutospacing="0"/>
              <w:jc w:val="both"/>
              <w:rPr>
                <w:lang w:val="uk-UA"/>
              </w:rPr>
            </w:pPr>
            <w:r w:rsidRPr="00FF2D9A">
              <w:rPr>
                <w:lang w:val="uk-UA"/>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7562" w:type="dxa"/>
            <w:shd w:val="clear" w:color="auto" w:fill="auto"/>
          </w:tcPr>
          <w:p w:rsidR="00553DBB" w:rsidRPr="00FF2D9A" w:rsidRDefault="00553DBB" w:rsidP="00883297">
            <w:pPr>
              <w:widowControl w:val="0"/>
              <w:ind w:firstLine="295"/>
              <w:jc w:val="both"/>
              <w:rPr>
                <w:lang w:val="uk-UA"/>
              </w:rPr>
            </w:pPr>
            <w:r w:rsidRPr="00FF2D9A">
              <w:rPr>
                <w:lang w:val="uk-UA"/>
              </w:rPr>
              <w:t>Прийняття нормативно-правового акта не призведе до виникнення додаткових витрат платників податків, оскільки обов’язки платників податків щодо подання Повідомлення, його форма, обсяг інформації та спосіб подачі  вже визначені наказом № 839. Запропоновані технічні уточнення не впливають на витрати часу на заповнення Повідомлення відповідно до чинної редакції наказу № 839.</w:t>
            </w:r>
          </w:p>
          <w:p w:rsidR="00553DBB" w:rsidRPr="00FF2D9A" w:rsidRDefault="00553DBB" w:rsidP="00883297">
            <w:pPr>
              <w:widowControl w:val="0"/>
              <w:ind w:firstLine="295"/>
              <w:jc w:val="both"/>
              <w:rPr>
                <w:lang w:val="uk-UA"/>
              </w:rPr>
            </w:pPr>
            <w:r w:rsidRPr="00FF2D9A">
              <w:rPr>
                <w:lang w:val="uk-UA"/>
              </w:rPr>
              <w:t>Також зазначені уточнення не впливають на виникнення додаткових витрат контролюючого органу.</w:t>
            </w:r>
          </w:p>
          <w:p w:rsidR="00553DBB" w:rsidRPr="00FF2D9A" w:rsidRDefault="00553DBB" w:rsidP="00883297">
            <w:pPr>
              <w:widowControl w:val="0"/>
              <w:ind w:firstLine="295"/>
              <w:jc w:val="both"/>
              <w:rPr>
                <w:lang w:val="uk-UA"/>
              </w:rPr>
            </w:pPr>
          </w:p>
        </w:tc>
      </w:tr>
      <w:tr w:rsidR="00553DBB" w:rsidRPr="00FF2D9A" w:rsidTr="00883297">
        <w:tc>
          <w:tcPr>
            <w:tcW w:w="2518" w:type="dxa"/>
            <w:shd w:val="clear" w:color="auto" w:fill="auto"/>
          </w:tcPr>
          <w:p w:rsidR="00553DBB" w:rsidRPr="00FF2D9A" w:rsidRDefault="00553DBB" w:rsidP="00883297">
            <w:pPr>
              <w:pStyle w:val="a3"/>
              <w:widowControl w:val="0"/>
              <w:spacing w:before="0" w:beforeAutospacing="0" w:after="0" w:afterAutospacing="0"/>
              <w:jc w:val="both"/>
              <w:rPr>
                <w:lang w:val="uk-UA"/>
              </w:rPr>
            </w:pPr>
            <w:r w:rsidRPr="00FF2D9A">
              <w:rPr>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7562" w:type="dxa"/>
            <w:shd w:val="clear" w:color="auto" w:fill="auto"/>
          </w:tcPr>
          <w:p w:rsidR="00553DBB" w:rsidRPr="00FF2D9A" w:rsidRDefault="00553DBB" w:rsidP="00883297">
            <w:pPr>
              <w:widowControl w:val="0"/>
              <w:ind w:firstLine="295"/>
              <w:jc w:val="both"/>
              <w:rPr>
                <w:lang w:val="uk-UA"/>
              </w:rPr>
            </w:pPr>
            <w:bookmarkStart w:id="17" w:name="_Hlk76584394"/>
            <w:bookmarkStart w:id="18" w:name="OLE_LINK108"/>
            <w:r w:rsidRPr="00FF2D9A">
              <w:rPr>
                <w:lang w:val="uk-UA"/>
              </w:rPr>
              <w:t xml:space="preserve">Неприйняття нормативно-правового акта призведе до виникнення спорів між контролюючими органами та платниками податку щодо виконання обов’язків платників податку з питань складання та подання Повідомлення та притягнення їх до відповідальності за подання недостовірної інформації у Повідомленні (пункт 120.5 статті 120 Кодексу). Таким чином, наявність зазначених спорів призведе до зростання витрат часу контролюючого органу на їх адміністрування, які, в свою чергу, впливають на ефективність витрачання коштів бюджетного фінансування на утримання контролюючого органу.  </w:t>
            </w:r>
          </w:p>
          <w:p w:rsidR="00553DBB" w:rsidRPr="00FF2D9A" w:rsidRDefault="00553DBB" w:rsidP="00883297">
            <w:pPr>
              <w:pStyle w:val="a3"/>
              <w:spacing w:before="0" w:beforeAutospacing="0" w:after="0" w:afterAutospacing="0"/>
              <w:ind w:firstLine="455"/>
              <w:jc w:val="both"/>
              <w:rPr>
                <w:lang w:val="uk-UA"/>
              </w:rPr>
            </w:pPr>
            <w:r w:rsidRPr="00FF2D9A">
              <w:rPr>
                <w:lang w:val="uk-UA"/>
              </w:rPr>
              <w:t xml:space="preserve">Наразі зазначені витрати оцінити неможливо, але зважаючи на відсутність витрат за Альтернативою 1, будь-яку суму додаткових витрат можна вважати </w:t>
            </w:r>
            <w:bookmarkEnd w:id="17"/>
            <w:bookmarkEnd w:id="18"/>
            <w:r w:rsidRPr="00FF2D9A">
              <w:rPr>
                <w:lang w:val="uk-UA"/>
              </w:rPr>
              <w:t>суттєвою</w:t>
            </w:r>
          </w:p>
        </w:tc>
      </w:tr>
    </w:tbl>
    <w:p w:rsidR="00553DBB" w:rsidRPr="00FF2D9A" w:rsidRDefault="00553DBB" w:rsidP="00553DBB">
      <w:pPr>
        <w:rPr>
          <w:vanish/>
        </w:rPr>
      </w:pPr>
    </w:p>
    <w:p w:rsidR="00553DBB" w:rsidRDefault="00553DBB" w:rsidP="00553DBB">
      <w:pPr>
        <w:rPr>
          <w:vanish/>
        </w:rPr>
      </w:pPr>
    </w:p>
    <w:p w:rsidR="00553DBB" w:rsidRPr="00FF2D9A" w:rsidRDefault="00553DBB" w:rsidP="00553DBB">
      <w:pPr>
        <w:rPr>
          <w:vanish/>
        </w:rPr>
      </w:pPr>
    </w:p>
    <w:p w:rsidR="00553DBB" w:rsidRDefault="00553DBB" w:rsidP="00553DBB">
      <w:pPr>
        <w:rPr>
          <w:vanish/>
        </w:rPr>
      </w:pPr>
    </w:p>
    <w:p w:rsidR="00553DBB" w:rsidRDefault="00553DBB" w:rsidP="00553DBB">
      <w:pPr>
        <w:rPr>
          <w:vanish/>
        </w:rPr>
      </w:pPr>
    </w:p>
    <w:p w:rsidR="00553DBB" w:rsidRDefault="00553DBB" w:rsidP="00553DBB">
      <w:pPr>
        <w:rPr>
          <w:vanish/>
        </w:rPr>
      </w:pPr>
    </w:p>
    <w:p w:rsidR="00553DBB" w:rsidRPr="00FF2D9A" w:rsidRDefault="00553DBB" w:rsidP="00553DBB">
      <w:pPr>
        <w:rPr>
          <w:vanish/>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IV. Вибір найбільш оптимального альтернативного способу досягнення цілей</w:t>
      </w:r>
    </w:p>
    <w:p w:rsidR="00553DBB" w:rsidRPr="00FF2D9A" w:rsidRDefault="00553DBB" w:rsidP="00553DBB">
      <w:pPr>
        <w:pStyle w:val="3"/>
        <w:widowControl w:val="0"/>
        <w:spacing w:before="0" w:beforeAutospacing="0" w:after="0" w:afterAutospacing="0"/>
        <w:jc w:val="center"/>
        <w:rPr>
          <w:sz w:val="28"/>
          <w:szCs w:val="28"/>
          <w:lang w:val="uk-U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105"/>
        <w:gridCol w:w="6003"/>
      </w:tblGrid>
      <w:tr w:rsidR="00553DBB" w:rsidRPr="00FF2D9A" w:rsidTr="00883297">
        <w:tc>
          <w:tcPr>
            <w:tcW w:w="1972"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Рейтинг результативності (досягнення цілей під час вирішення проблеми)</w:t>
            </w:r>
          </w:p>
        </w:tc>
        <w:tc>
          <w:tcPr>
            <w:tcW w:w="2105" w:type="dxa"/>
            <w:shd w:val="clear" w:color="auto" w:fill="auto"/>
            <w:vAlign w:val="center"/>
          </w:tcPr>
          <w:p w:rsidR="00553DBB" w:rsidRPr="00FF2D9A" w:rsidRDefault="00553DBB" w:rsidP="00883297">
            <w:pPr>
              <w:pStyle w:val="a3"/>
              <w:widowControl w:val="0"/>
              <w:spacing w:before="0" w:beforeAutospacing="0" w:after="0" w:afterAutospacing="0"/>
              <w:ind w:left="-45"/>
              <w:jc w:val="center"/>
              <w:rPr>
                <w:lang w:val="uk-UA"/>
              </w:rPr>
            </w:pPr>
            <w:r w:rsidRPr="00FF2D9A">
              <w:rPr>
                <w:lang w:val="uk-UA"/>
              </w:rPr>
              <w:t>Бал результативності (за чотирибальною системою оцінки)</w:t>
            </w:r>
          </w:p>
        </w:tc>
        <w:tc>
          <w:tcPr>
            <w:tcW w:w="6003"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Коментарі щодо присвоєння відповідного бала</w:t>
            </w:r>
          </w:p>
        </w:tc>
      </w:tr>
      <w:tr w:rsidR="00553DBB" w:rsidRPr="00FF2D9A" w:rsidTr="00883297">
        <w:tc>
          <w:tcPr>
            <w:tcW w:w="1972"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1</w:t>
            </w:r>
          </w:p>
        </w:tc>
        <w:tc>
          <w:tcPr>
            <w:tcW w:w="2105"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4</w:t>
            </w:r>
          </w:p>
        </w:tc>
        <w:tc>
          <w:tcPr>
            <w:tcW w:w="6003" w:type="dxa"/>
            <w:shd w:val="clear" w:color="auto" w:fill="auto"/>
          </w:tcPr>
          <w:p w:rsidR="00553DBB" w:rsidRPr="00FF2D9A" w:rsidRDefault="00553DBB" w:rsidP="00883297">
            <w:pPr>
              <w:pStyle w:val="a3"/>
              <w:spacing w:before="0" w:beforeAutospacing="0" w:after="0" w:afterAutospacing="0"/>
              <w:ind w:firstLine="23"/>
              <w:jc w:val="both"/>
              <w:rPr>
                <w:lang w:val="uk-UA"/>
              </w:rPr>
            </w:pPr>
            <w:r w:rsidRPr="00FF2D9A">
              <w:rPr>
                <w:lang w:val="uk-UA"/>
              </w:rPr>
              <w:t xml:space="preserve">     Альтернатива 1 дає змогу:</w:t>
            </w:r>
          </w:p>
          <w:p w:rsidR="00553DBB" w:rsidRPr="00FF2D9A" w:rsidRDefault="00553DBB" w:rsidP="00883297">
            <w:pPr>
              <w:pStyle w:val="a3"/>
              <w:spacing w:before="0" w:beforeAutospacing="0" w:after="0" w:afterAutospacing="0"/>
              <w:ind w:firstLine="300"/>
              <w:jc w:val="both"/>
              <w:rPr>
                <w:lang w:val="uk-UA"/>
              </w:rPr>
            </w:pPr>
            <w:r w:rsidRPr="00FF2D9A">
              <w:rPr>
                <w:lang w:val="uk-UA"/>
              </w:rPr>
              <w:t>досягнути цілі державного регулювання;</w:t>
            </w:r>
          </w:p>
          <w:p w:rsidR="00553DBB" w:rsidRPr="00FF2D9A" w:rsidRDefault="00553DBB" w:rsidP="00883297">
            <w:pPr>
              <w:pStyle w:val="a3"/>
              <w:spacing w:before="0" w:beforeAutospacing="0" w:after="0" w:afterAutospacing="0"/>
              <w:ind w:firstLine="300"/>
              <w:jc w:val="both"/>
              <w:rPr>
                <w:lang w:val="uk-UA"/>
              </w:rPr>
            </w:pPr>
            <w:r w:rsidRPr="00FF2D9A">
              <w:rPr>
                <w:lang w:val="uk-UA"/>
              </w:rPr>
              <w:t>забезпечити виконання зобов’язань України як учасника Програми розширеного співробітництва ОЕСР щодо впровадження Мінімального стандарту Плану дій BEPS в частині практичної реалізації Заходу 13 Плану;</w:t>
            </w:r>
          </w:p>
          <w:p w:rsidR="00553DBB" w:rsidRPr="00FF2D9A" w:rsidRDefault="00553DBB" w:rsidP="00883297">
            <w:pPr>
              <w:widowControl w:val="0"/>
              <w:ind w:firstLine="252"/>
              <w:jc w:val="both"/>
              <w:rPr>
                <w:lang w:val="uk-UA"/>
              </w:rPr>
            </w:pPr>
            <w:bookmarkStart w:id="19" w:name="_Hlk76584755"/>
            <w:bookmarkStart w:id="20" w:name="OLE_LINK110"/>
            <w:r w:rsidRPr="00FF2D9A">
              <w:rPr>
                <w:lang w:val="uk-UA"/>
              </w:rPr>
              <w:t>забезпечити подання платниками податків та прийняття податковими органами Повідомлення в межах та у спосіб, передбачені наказом № 839, відповідно до Кодексу.</w:t>
            </w:r>
            <w:bookmarkEnd w:id="19"/>
            <w:bookmarkEnd w:id="20"/>
          </w:p>
        </w:tc>
      </w:tr>
      <w:tr w:rsidR="00553DBB" w:rsidRPr="00FF2D9A" w:rsidTr="00883297">
        <w:tc>
          <w:tcPr>
            <w:tcW w:w="1972"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2</w:t>
            </w:r>
          </w:p>
        </w:tc>
        <w:tc>
          <w:tcPr>
            <w:tcW w:w="2105"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1</w:t>
            </w:r>
          </w:p>
        </w:tc>
        <w:tc>
          <w:tcPr>
            <w:tcW w:w="6003" w:type="dxa"/>
            <w:shd w:val="clear" w:color="auto" w:fill="auto"/>
          </w:tcPr>
          <w:p w:rsidR="00553DBB" w:rsidRPr="00FF2D9A" w:rsidRDefault="00553DBB" w:rsidP="00883297">
            <w:pPr>
              <w:pStyle w:val="a3"/>
              <w:spacing w:before="0" w:beforeAutospacing="0" w:after="0" w:afterAutospacing="0"/>
              <w:ind w:firstLine="23"/>
              <w:jc w:val="both"/>
              <w:rPr>
                <w:lang w:val="uk-UA"/>
              </w:rPr>
            </w:pPr>
            <w:r w:rsidRPr="00FF2D9A">
              <w:rPr>
                <w:lang w:val="uk-UA"/>
              </w:rPr>
              <w:t>Альтернатива 2:</w:t>
            </w:r>
          </w:p>
          <w:p w:rsidR="00553DBB" w:rsidRPr="00FF2D9A" w:rsidRDefault="00553DBB" w:rsidP="00883297">
            <w:pPr>
              <w:pStyle w:val="a3"/>
              <w:widowControl w:val="0"/>
              <w:spacing w:before="0" w:beforeAutospacing="0" w:after="0" w:afterAutospacing="0"/>
              <w:ind w:firstLine="296"/>
              <w:jc w:val="both"/>
              <w:rPr>
                <w:lang w:val="uk-UA"/>
              </w:rPr>
            </w:pPr>
            <w:r w:rsidRPr="00FF2D9A">
              <w:rPr>
                <w:lang w:val="uk-UA"/>
              </w:rPr>
              <w:t>не дає можливості досягнути цілей  державного регулювання;</w:t>
            </w:r>
          </w:p>
          <w:p w:rsidR="00553DBB" w:rsidRPr="00FF2D9A" w:rsidRDefault="00553DBB" w:rsidP="00883297">
            <w:pPr>
              <w:pStyle w:val="a3"/>
              <w:widowControl w:val="0"/>
              <w:spacing w:before="0" w:beforeAutospacing="0" w:after="0" w:afterAutospacing="0"/>
              <w:ind w:firstLine="296"/>
              <w:jc w:val="both"/>
              <w:rPr>
                <w:rFonts w:eastAsia="MS Mincho"/>
                <w:lang w:val="uk-UA"/>
              </w:rPr>
            </w:pPr>
            <w:r w:rsidRPr="00FF2D9A">
              <w:rPr>
                <w:rFonts w:eastAsia="MS Mincho"/>
                <w:lang w:val="uk-UA"/>
              </w:rPr>
              <w:t>створює складнощі при поданні Повідомлення для платників податків;</w:t>
            </w:r>
          </w:p>
          <w:p w:rsidR="00553DBB" w:rsidRPr="00FF2D9A" w:rsidRDefault="00553DBB" w:rsidP="00883297">
            <w:pPr>
              <w:pStyle w:val="a3"/>
              <w:widowControl w:val="0"/>
              <w:spacing w:before="0" w:beforeAutospacing="0" w:after="0" w:afterAutospacing="0"/>
              <w:ind w:firstLine="296"/>
              <w:jc w:val="both"/>
              <w:rPr>
                <w:rFonts w:eastAsia="MS Mincho"/>
                <w:lang w:val="uk-UA"/>
              </w:rPr>
            </w:pPr>
            <w:r w:rsidRPr="00FF2D9A">
              <w:rPr>
                <w:rFonts w:eastAsia="MS Mincho"/>
                <w:lang w:val="uk-UA"/>
              </w:rPr>
              <w:t>суттєво збільшує ризики виникнення податкових спорів платників податків з контролюючими органами.</w:t>
            </w:r>
          </w:p>
        </w:tc>
      </w:tr>
    </w:tbl>
    <w:p w:rsidR="00553DBB" w:rsidRPr="00FF2D9A" w:rsidRDefault="00553DBB" w:rsidP="00553DBB">
      <w:pPr>
        <w:pStyle w:val="3"/>
        <w:widowControl w:val="0"/>
        <w:spacing w:before="0" w:beforeAutospacing="0" w:after="0" w:afterAutospacing="0"/>
        <w:jc w:val="center"/>
        <w:rPr>
          <w:sz w:val="12"/>
          <w:szCs w:val="28"/>
          <w:lang w:val="uk-U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3407"/>
        <w:gridCol w:w="2229"/>
        <w:gridCol w:w="2472"/>
      </w:tblGrid>
      <w:tr w:rsidR="00553DBB" w:rsidRPr="00FF2D9A" w:rsidTr="00883297">
        <w:tc>
          <w:tcPr>
            <w:tcW w:w="1809"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Рейтинг результативності</w:t>
            </w:r>
          </w:p>
        </w:tc>
        <w:tc>
          <w:tcPr>
            <w:tcW w:w="3544"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Вигоди (підсумок)</w:t>
            </w:r>
          </w:p>
        </w:tc>
        <w:tc>
          <w:tcPr>
            <w:tcW w:w="2252"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Витрати (підсумок)</w:t>
            </w:r>
          </w:p>
        </w:tc>
        <w:tc>
          <w:tcPr>
            <w:tcW w:w="2475"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Обґрунтування відповідного місця альтернативи у рейтингу</w:t>
            </w:r>
          </w:p>
        </w:tc>
      </w:tr>
      <w:tr w:rsidR="00553DBB" w:rsidRPr="00FF2D9A" w:rsidTr="00883297">
        <w:tc>
          <w:tcPr>
            <w:tcW w:w="1809"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1</w:t>
            </w:r>
          </w:p>
        </w:tc>
        <w:tc>
          <w:tcPr>
            <w:tcW w:w="3544" w:type="dxa"/>
            <w:shd w:val="clear" w:color="auto" w:fill="auto"/>
          </w:tcPr>
          <w:p w:rsidR="00553DBB" w:rsidRPr="00FF2D9A" w:rsidRDefault="00553DBB" w:rsidP="00883297">
            <w:pPr>
              <w:pStyle w:val="a3"/>
              <w:spacing w:before="0" w:beforeAutospacing="0" w:after="0" w:afterAutospacing="0"/>
              <w:ind w:firstLine="266"/>
              <w:jc w:val="both"/>
              <w:rPr>
                <w:lang w:val="uk-UA"/>
              </w:rPr>
            </w:pPr>
            <w:r w:rsidRPr="00FF2D9A">
              <w:rPr>
                <w:lang w:val="uk-UA"/>
              </w:rPr>
              <w:t>Дає змогу повністю досягнути поставлених цілей державного регулювання.</w:t>
            </w:r>
          </w:p>
          <w:p w:rsidR="00553DBB" w:rsidRPr="00FF2D9A" w:rsidRDefault="00553DBB" w:rsidP="00883297">
            <w:pPr>
              <w:tabs>
                <w:tab w:val="left" w:pos="528"/>
              </w:tabs>
              <w:ind w:firstLine="193"/>
              <w:jc w:val="both"/>
              <w:rPr>
                <w:lang w:val="uk-UA"/>
              </w:rPr>
            </w:pPr>
            <w:r w:rsidRPr="00FF2D9A">
              <w:rPr>
                <w:lang w:val="uk-UA"/>
              </w:rPr>
              <w:t xml:space="preserve">Так, у разі прийняття проекту наказу буде забезпечено </w:t>
            </w:r>
            <w:bookmarkStart w:id="21" w:name="_Hlk76585021"/>
            <w:bookmarkStart w:id="22" w:name="OLE_LINK112"/>
            <w:r w:rsidRPr="00FF2D9A">
              <w:rPr>
                <w:lang w:val="uk-UA"/>
              </w:rPr>
              <w:t>подання платниками податків та прийняття податковими органами Повідомлення в межах та у спосіб, що передбачені наказом № 839, відповідно до Кодексу.</w:t>
            </w:r>
            <w:bookmarkEnd w:id="21"/>
            <w:bookmarkEnd w:id="22"/>
          </w:p>
        </w:tc>
        <w:tc>
          <w:tcPr>
            <w:tcW w:w="2252" w:type="dxa"/>
            <w:shd w:val="clear" w:color="auto" w:fill="auto"/>
          </w:tcPr>
          <w:p w:rsidR="00553DBB" w:rsidRPr="00FF2D9A" w:rsidRDefault="00553DBB" w:rsidP="00883297">
            <w:pPr>
              <w:widowControl w:val="0"/>
              <w:rPr>
                <w:lang w:val="uk-UA"/>
              </w:rPr>
            </w:pPr>
            <w:r w:rsidRPr="00FF2D9A">
              <w:rPr>
                <w:lang w:val="uk-UA"/>
              </w:rPr>
              <w:t>Додаткові витрати держави та суб’єктів господарювання відсутні</w:t>
            </w:r>
          </w:p>
        </w:tc>
        <w:tc>
          <w:tcPr>
            <w:tcW w:w="2475" w:type="dxa"/>
            <w:shd w:val="clear" w:color="auto" w:fill="auto"/>
          </w:tcPr>
          <w:p w:rsidR="00553DBB" w:rsidRPr="00FF2D9A" w:rsidRDefault="00553DBB" w:rsidP="00883297">
            <w:pPr>
              <w:pStyle w:val="a3"/>
              <w:spacing w:before="0" w:beforeAutospacing="0" w:after="0" w:afterAutospacing="0"/>
              <w:ind w:firstLine="97"/>
              <w:jc w:val="both"/>
              <w:rPr>
                <w:lang w:val="uk-UA"/>
              </w:rPr>
            </w:pPr>
            <w:r w:rsidRPr="00FF2D9A">
              <w:rPr>
                <w:lang w:val="uk-UA"/>
              </w:rPr>
              <w:t xml:space="preserve"> Найоптимальніша серед запропонованих альтернатив.  </w:t>
            </w:r>
          </w:p>
          <w:p w:rsidR="00553DBB" w:rsidRPr="00FF2D9A" w:rsidRDefault="00553DBB" w:rsidP="00883297">
            <w:pPr>
              <w:pStyle w:val="a3"/>
              <w:widowControl w:val="0"/>
              <w:spacing w:before="0" w:beforeAutospacing="0" w:after="0" w:afterAutospacing="0"/>
              <w:rPr>
                <w:lang w:val="uk-UA"/>
              </w:rPr>
            </w:pPr>
            <w:r w:rsidRPr="00FF2D9A">
              <w:rPr>
                <w:lang w:val="uk-UA"/>
              </w:rPr>
              <w:t>Проект наказу дозволяє врегулювати технічні аспекти запровадження електронної форми Повідомлення, затвердженої наказом № 839, та належного складання Повідомлення всіма платниками податків, на яких покладено такий обов’язок відповідно до Кодексу.</w:t>
            </w:r>
          </w:p>
          <w:p w:rsidR="00553DBB" w:rsidRPr="00FF2D9A" w:rsidRDefault="00553DBB" w:rsidP="00883297">
            <w:pPr>
              <w:pStyle w:val="a3"/>
              <w:widowControl w:val="0"/>
              <w:spacing w:before="0" w:beforeAutospacing="0" w:after="0" w:afterAutospacing="0"/>
              <w:rPr>
                <w:lang w:val="uk-UA"/>
              </w:rPr>
            </w:pPr>
            <w:r w:rsidRPr="00FF2D9A">
              <w:rPr>
                <w:lang w:val="uk-UA"/>
              </w:rPr>
              <w:t xml:space="preserve">Відповідає вимогам нормопроектувальної </w:t>
            </w:r>
            <w:r w:rsidRPr="00FF2D9A">
              <w:rPr>
                <w:lang w:val="uk-UA"/>
              </w:rPr>
              <w:lastRenderedPageBreak/>
              <w:t>техніки.</w:t>
            </w:r>
          </w:p>
        </w:tc>
      </w:tr>
      <w:tr w:rsidR="00553DBB" w:rsidRPr="00FF2D9A" w:rsidTr="00883297">
        <w:tc>
          <w:tcPr>
            <w:tcW w:w="1809"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lastRenderedPageBreak/>
              <w:t>Альтернатива 2</w:t>
            </w:r>
          </w:p>
        </w:tc>
        <w:tc>
          <w:tcPr>
            <w:tcW w:w="3544" w:type="dxa"/>
            <w:shd w:val="clear" w:color="auto" w:fill="auto"/>
          </w:tcPr>
          <w:p w:rsidR="00553DBB" w:rsidRPr="00FF2D9A" w:rsidRDefault="00553DBB" w:rsidP="00883297">
            <w:pPr>
              <w:pStyle w:val="a3"/>
              <w:widowControl w:val="0"/>
              <w:spacing w:before="0" w:beforeAutospacing="0" w:after="0" w:afterAutospacing="0"/>
              <w:ind w:firstLine="220"/>
              <w:jc w:val="both"/>
              <w:rPr>
                <w:lang w:val="uk-UA"/>
              </w:rPr>
            </w:pPr>
            <w:r w:rsidRPr="00FF2D9A">
              <w:rPr>
                <w:lang w:val="uk-UA"/>
              </w:rPr>
              <w:t>Відсутні</w:t>
            </w:r>
          </w:p>
          <w:p w:rsidR="00553DBB" w:rsidRPr="00FF2D9A" w:rsidRDefault="00553DBB" w:rsidP="00883297">
            <w:pPr>
              <w:ind w:firstLine="193"/>
              <w:jc w:val="both"/>
              <w:rPr>
                <w:lang w:val="uk-UA"/>
              </w:rPr>
            </w:pPr>
          </w:p>
        </w:tc>
        <w:tc>
          <w:tcPr>
            <w:tcW w:w="2252" w:type="dxa"/>
            <w:shd w:val="clear" w:color="auto" w:fill="auto"/>
          </w:tcPr>
          <w:p w:rsidR="00553DBB" w:rsidRPr="00FF2D9A" w:rsidRDefault="00553DBB" w:rsidP="00883297">
            <w:pPr>
              <w:pStyle w:val="a3"/>
              <w:widowControl w:val="0"/>
              <w:tabs>
                <w:tab w:val="left" w:pos="227"/>
              </w:tabs>
              <w:spacing w:before="0" w:beforeAutospacing="0" w:after="0" w:afterAutospacing="0"/>
              <w:jc w:val="both"/>
              <w:rPr>
                <w:lang w:val="uk-UA"/>
              </w:rPr>
            </w:pPr>
            <w:r w:rsidRPr="00FF2D9A">
              <w:rPr>
                <w:lang w:val="uk-UA"/>
              </w:rPr>
              <w:t xml:space="preserve">Залишення без змін, відсутність форми Повідомлення та Порядку його заповнення призведе до: </w:t>
            </w:r>
            <w:r w:rsidRPr="00FF2D9A">
              <w:rPr>
                <w:lang w:val="uk-UA"/>
              </w:rPr>
              <w:br/>
              <w:t xml:space="preserve">   1) виникнення підстав для запитів від платників податків та (потенційно) спорів між контролюючими органами та платниками податку з питань складання та подання Повідомлення із відповідними витратами робочого часу на адміністрування та надання відповідей на такі запити/ адміністрування спорів.</w:t>
            </w:r>
          </w:p>
        </w:tc>
        <w:tc>
          <w:tcPr>
            <w:tcW w:w="2475" w:type="dxa"/>
            <w:shd w:val="clear" w:color="auto" w:fill="auto"/>
          </w:tcPr>
          <w:p w:rsidR="00553DBB" w:rsidRPr="00FF2D9A" w:rsidRDefault="00553DBB" w:rsidP="00883297">
            <w:pPr>
              <w:widowControl w:val="0"/>
              <w:ind w:firstLine="318"/>
              <w:rPr>
                <w:lang w:val="uk-UA"/>
              </w:rPr>
            </w:pPr>
            <w:r w:rsidRPr="00FF2D9A">
              <w:rPr>
                <w:lang w:val="uk-UA"/>
              </w:rPr>
              <w:t xml:space="preserve">Не узгоджується із вимогами чинного законодавства. </w:t>
            </w:r>
          </w:p>
          <w:p w:rsidR="00553DBB" w:rsidRPr="00FF2D9A" w:rsidRDefault="00553DBB" w:rsidP="00883297">
            <w:pPr>
              <w:widowControl w:val="0"/>
              <w:ind w:firstLine="295"/>
              <w:jc w:val="both"/>
              <w:rPr>
                <w:lang w:val="uk-UA"/>
              </w:rPr>
            </w:pPr>
            <w:r w:rsidRPr="00FF2D9A">
              <w:rPr>
                <w:lang w:val="uk-UA"/>
              </w:rPr>
              <w:t>Ускладнення адміністрування пов’язане з обробкою Повідомлення, а саме показників, не передбачених формою Повідомлення.</w:t>
            </w:r>
          </w:p>
          <w:p w:rsidR="00553DBB" w:rsidRPr="00FF2D9A" w:rsidRDefault="00553DBB" w:rsidP="00883297">
            <w:pPr>
              <w:widowControl w:val="0"/>
              <w:ind w:firstLine="318"/>
              <w:rPr>
                <w:lang w:val="uk-UA"/>
              </w:rPr>
            </w:pPr>
            <w:r w:rsidRPr="00FF2D9A">
              <w:rPr>
                <w:lang w:val="uk-UA"/>
              </w:rPr>
              <w:t xml:space="preserve"> </w:t>
            </w:r>
          </w:p>
        </w:tc>
      </w:tr>
    </w:tbl>
    <w:p w:rsidR="00553DBB" w:rsidRPr="00FF2D9A" w:rsidRDefault="00553DBB" w:rsidP="00553DBB">
      <w:pPr>
        <w:pStyle w:val="a3"/>
        <w:widowControl w:val="0"/>
        <w:spacing w:before="0" w:beforeAutospacing="0" w:after="0" w:afterAutospacing="0"/>
        <w:jc w:val="both"/>
        <w:rPr>
          <w:sz w:val="12"/>
          <w:szCs w:val="28"/>
          <w:lang w:val="uk-U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394"/>
        <w:gridCol w:w="3735"/>
      </w:tblGrid>
      <w:tr w:rsidR="00553DBB" w:rsidRPr="00FF2D9A" w:rsidTr="00883297">
        <w:tc>
          <w:tcPr>
            <w:tcW w:w="1951"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Рейтинг</w:t>
            </w:r>
          </w:p>
        </w:tc>
        <w:tc>
          <w:tcPr>
            <w:tcW w:w="4394" w:type="dxa"/>
            <w:shd w:val="clear" w:color="auto" w:fill="auto"/>
            <w:vAlign w:val="center"/>
          </w:tcPr>
          <w:p w:rsidR="00553DBB" w:rsidRPr="00FF2D9A" w:rsidRDefault="00553DBB" w:rsidP="00883297">
            <w:pPr>
              <w:pStyle w:val="a3"/>
              <w:widowControl w:val="0"/>
              <w:spacing w:before="0" w:beforeAutospacing="0" w:after="0" w:afterAutospacing="0"/>
              <w:jc w:val="center"/>
              <w:rPr>
                <w:lang w:val="uk-UA"/>
              </w:rPr>
            </w:pPr>
            <w:r w:rsidRPr="00FF2D9A">
              <w:rPr>
                <w:lang w:val="uk-UA"/>
              </w:rPr>
              <w:t>Аргументи щодо переваги обраної альтернативи / причини відмови від альтернативи</w:t>
            </w:r>
          </w:p>
        </w:tc>
        <w:tc>
          <w:tcPr>
            <w:tcW w:w="3735" w:type="dxa"/>
            <w:shd w:val="clear" w:color="auto" w:fill="auto"/>
          </w:tcPr>
          <w:p w:rsidR="00553DBB" w:rsidRPr="00FF2D9A" w:rsidRDefault="00553DBB" w:rsidP="00883297">
            <w:pPr>
              <w:pStyle w:val="a3"/>
              <w:widowControl w:val="0"/>
              <w:spacing w:before="0" w:beforeAutospacing="0" w:after="0" w:afterAutospacing="0"/>
              <w:jc w:val="center"/>
              <w:rPr>
                <w:lang w:val="uk-UA"/>
              </w:rPr>
            </w:pPr>
            <w:r w:rsidRPr="00FF2D9A">
              <w:rPr>
                <w:lang w:val="uk-UA"/>
              </w:rPr>
              <w:t>Оцінка ризику зовнішніх чинників на дію запропонованого регуляторного акта</w:t>
            </w:r>
          </w:p>
        </w:tc>
      </w:tr>
      <w:tr w:rsidR="00553DBB" w:rsidRPr="00FF2D9A" w:rsidTr="00883297">
        <w:tc>
          <w:tcPr>
            <w:tcW w:w="1951"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1</w:t>
            </w:r>
          </w:p>
        </w:tc>
        <w:tc>
          <w:tcPr>
            <w:tcW w:w="4394" w:type="dxa"/>
            <w:shd w:val="clear" w:color="auto" w:fill="auto"/>
          </w:tcPr>
          <w:p w:rsidR="00553DBB" w:rsidRPr="00FF2D9A" w:rsidRDefault="00553DBB" w:rsidP="00883297">
            <w:pPr>
              <w:pStyle w:val="a3"/>
              <w:spacing w:before="0" w:beforeAutospacing="0" w:after="0" w:afterAutospacing="0"/>
              <w:ind w:firstLine="266"/>
              <w:jc w:val="both"/>
              <w:rPr>
                <w:lang w:val="uk-UA"/>
              </w:rPr>
            </w:pPr>
            <w:r w:rsidRPr="00FF2D9A">
              <w:rPr>
                <w:lang w:val="uk-UA"/>
              </w:rPr>
              <w:t>Дає змогу повністю досягнути поставлених цілей державного регулювання.</w:t>
            </w:r>
          </w:p>
          <w:p w:rsidR="00553DBB" w:rsidRPr="00FF2D9A" w:rsidRDefault="00553DBB" w:rsidP="00883297">
            <w:pPr>
              <w:ind w:firstLine="193"/>
              <w:jc w:val="both"/>
            </w:pPr>
            <w:r w:rsidRPr="00FF2D9A">
              <w:rPr>
                <w:lang w:val="uk-UA"/>
              </w:rPr>
              <w:t>Так, у разі прийняття проекту наказу буде забезпечено подання платниками податків та прийняття податковими органами Повідомлення в межах та у спосіб, що передбачені наказом № 839, відповідно до Кодексу.</w:t>
            </w:r>
          </w:p>
        </w:tc>
        <w:tc>
          <w:tcPr>
            <w:tcW w:w="3735" w:type="dxa"/>
            <w:shd w:val="clear" w:color="auto" w:fill="auto"/>
          </w:tcPr>
          <w:p w:rsidR="00553DBB" w:rsidRPr="00FF2D9A" w:rsidRDefault="00553DBB" w:rsidP="00883297">
            <w:pPr>
              <w:pStyle w:val="a3"/>
              <w:widowControl w:val="0"/>
              <w:spacing w:before="0" w:beforeAutospacing="0" w:after="0" w:afterAutospacing="0"/>
              <w:jc w:val="both"/>
              <w:rPr>
                <w:lang w:val="uk-UA"/>
              </w:rPr>
            </w:pPr>
            <w:r w:rsidRPr="00FF2D9A">
              <w:rPr>
                <w:lang w:val="uk-UA"/>
              </w:rPr>
              <w:t xml:space="preserve">  Проект наказу є підзаконним актом, який базується на чинних вимогах Кодексу і не потребує додаткових змін до  інших нормативно-правових актів.</w:t>
            </w:r>
          </w:p>
        </w:tc>
      </w:tr>
      <w:tr w:rsidR="00553DBB" w:rsidRPr="00FF2D9A" w:rsidTr="00883297">
        <w:tc>
          <w:tcPr>
            <w:tcW w:w="1951" w:type="dxa"/>
            <w:shd w:val="clear" w:color="auto" w:fill="auto"/>
          </w:tcPr>
          <w:p w:rsidR="00553DBB" w:rsidRPr="00FF2D9A" w:rsidRDefault="00553DBB" w:rsidP="00883297">
            <w:pPr>
              <w:pStyle w:val="a3"/>
              <w:widowControl w:val="0"/>
              <w:spacing w:before="0" w:beforeAutospacing="0" w:after="0" w:afterAutospacing="0"/>
              <w:rPr>
                <w:lang w:val="uk-UA"/>
              </w:rPr>
            </w:pPr>
            <w:r w:rsidRPr="00FF2D9A">
              <w:rPr>
                <w:lang w:val="uk-UA"/>
              </w:rPr>
              <w:t>Альтернатива 2</w:t>
            </w:r>
          </w:p>
        </w:tc>
        <w:tc>
          <w:tcPr>
            <w:tcW w:w="4394" w:type="dxa"/>
            <w:shd w:val="clear" w:color="auto" w:fill="auto"/>
          </w:tcPr>
          <w:p w:rsidR="00553DBB" w:rsidRPr="00FF2D9A" w:rsidRDefault="00553DBB" w:rsidP="00883297">
            <w:pPr>
              <w:pStyle w:val="a3"/>
              <w:widowControl w:val="0"/>
              <w:spacing w:before="0" w:beforeAutospacing="0" w:after="0" w:afterAutospacing="0"/>
              <w:ind w:firstLine="300"/>
              <w:jc w:val="both"/>
              <w:rPr>
                <w:lang w:val="uk-UA"/>
              </w:rPr>
            </w:pPr>
            <w:r w:rsidRPr="00FF2D9A">
              <w:rPr>
                <w:lang w:val="uk-UA"/>
              </w:rPr>
              <w:t xml:space="preserve">Альтернатива 2 призведе до збільшення помилок при складанні Повідомлення, до правової </w:t>
            </w:r>
            <w:r w:rsidRPr="00FF2D9A">
              <w:rPr>
                <w:bCs/>
                <w:lang w:val="uk-UA"/>
              </w:rPr>
              <w:t>невизначеності</w:t>
            </w:r>
            <w:r w:rsidRPr="00FF2D9A">
              <w:rPr>
                <w:lang w:val="uk-UA"/>
              </w:rPr>
              <w:t xml:space="preserve"> для платників податків та контролюючих органів при</w:t>
            </w:r>
            <w:r w:rsidRPr="00FF2D9A">
              <w:rPr>
                <w:sz w:val="27"/>
                <w:szCs w:val="27"/>
                <w:lang w:val="uk-UA"/>
              </w:rPr>
              <w:t xml:space="preserve"> </w:t>
            </w:r>
            <w:r w:rsidRPr="00FF2D9A">
              <w:rPr>
                <w:lang w:val="uk-UA"/>
              </w:rPr>
              <w:t>застосуванні положень Кодексу з питань складання та подання Повідомлення, витрат робочого часу на адміністрування та надання відповідей на запити платників податків / адміністрування спорів із платниками податків</w:t>
            </w:r>
          </w:p>
        </w:tc>
        <w:tc>
          <w:tcPr>
            <w:tcW w:w="3735" w:type="dxa"/>
            <w:shd w:val="clear" w:color="auto" w:fill="auto"/>
          </w:tcPr>
          <w:p w:rsidR="00553DBB" w:rsidRPr="00FF2D9A" w:rsidRDefault="00553DBB" w:rsidP="00883297">
            <w:pPr>
              <w:pStyle w:val="a3"/>
              <w:widowControl w:val="0"/>
              <w:spacing w:before="0" w:beforeAutospacing="0" w:after="0" w:afterAutospacing="0"/>
              <w:jc w:val="both"/>
              <w:rPr>
                <w:lang w:val="uk-UA"/>
              </w:rPr>
            </w:pPr>
            <w:r w:rsidRPr="00FF2D9A">
              <w:rPr>
                <w:lang w:val="uk-UA"/>
              </w:rPr>
              <w:t>Відсутність змін до порядку складання Повідомлення призведе до правової невизначеності та технічних складнощів при поданні Повідомлення для платників податків та контролюючих органів.</w:t>
            </w:r>
          </w:p>
        </w:tc>
      </w:tr>
    </w:tbl>
    <w:p w:rsidR="00553DBB" w:rsidRPr="00FF2D9A" w:rsidRDefault="00553DBB" w:rsidP="00553DBB">
      <w:pPr>
        <w:pStyle w:val="a3"/>
        <w:widowControl w:val="0"/>
        <w:spacing w:before="0" w:beforeAutospacing="0" w:after="0" w:afterAutospacing="0"/>
        <w:jc w:val="both"/>
        <w:rPr>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lastRenderedPageBreak/>
        <w:t>V. Механізми та заходи, які забезпечать розв’язання визначеної проблеми</w:t>
      </w:r>
    </w:p>
    <w:p w:rsidR="00553DBB" w:rsidRPr="00FF2D9A" w:rsidRDefault="00553DBB" w:rsidP="00553DBB">
      <w:pPr>
        <w:pStyle w:val="3"/>
        <w:spacing w:before="0" w:beforeAutospacing="0" w:after="0" w:afterAutospacing="0"/>
        <w:ind w:firstLine="567"/>
        <w:jc w:val="both"/>
        <w:rPr>
          <w:b w:val="0"/>
          <w:sz w:val="28"/>
          <w:szCs w:val="28"/>
          <w:lang w:val="uk-UA"/>
        </w:rPr>
      </w:pPr>
      <w:r w:rsidRPr="00FF2D9A">
        <w:rPr>
          <w:b w:val="0"/>
          <w:sz w:val="28"/>
          <w:szCs w:val="28"/>
          <w:lang w:val="uk-UA"/>
        </w:rPr>
        <w:t>Прийняття проекту наказу дозволить врегулювати технічні аспекти складання та прийняття Повідомлення, що забезпечить правильне застосування чинного податкового законодавства з питань трансфертного ціноутворення.</w:t>
      </w:r>
    </w:p>
    <w:p w:rsidR="00553DBB" w:rsidRPr="00FF2D9A" w:rsidRDefault="00553DBB" w:rsidP="00553DBB">
      <w:pPr>
        <w:pStyle w:val="3"/>
        <w:spacing w:before="0" w:beforeAutospacing="0" w:after="0" w:afterAutospacing="0"/>
        <w:ind w:firstLine="567"/>
        <w:jc w:val="both"/>
        <w:rPr>
          <w:b w:val="0"/>
          <w:sz w:val="28"/>
          <w:szCs w:val="28"/>
          <w:lang w:val="uk-UA"/>
        </w:rPr>
      </w:pPr>
      <w:r w:rsidRPr="00FF2D9A">
        <w:rPr>
          <w:b w:val="0"/>
          <w:sz w:val="28"/>
          <w:szCs w:val="28"/>
          <w:lang w:val="uk-UA"/>
        </w:rPr>
        <w:t>Реалізація поставлених цілей державного регулювання забезпечується шляхом прийняття проекту наказу, яким вносяться зміни до наказу № 839.</w:t>
      </w:r>
    </w:p>
    <w:p w:rsidR="00553DBB" w:rsidRPr="00FF2D9A" w:rsidRDefault="00553DBB" w:rsidP="00553DBB">
      <w:pPr>
        <w:pStyle w:val="3"/>
        <w:spacing w:before="0" w:beforeAutospacing="0" w:after="0" w:afterAutospacing="0"/>
        <w:ind w:firstLine="567"/>
        <w:jc w:val="both"/>
        <w:rPr>
          <w:b w:val="0"/>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553DBB" w:rsidRPr="00FF2D9A" w:rsidRDefault="00553DBB" w:rsidP="00553DBB">
      <w:pPr>
        <w:ind w:firstLine="567"/>
        <w:jc w:val="both"/>
        <w:rPr>
          <w:sz w:val="28"/>
          <w:szCs w:val="28"/>
          <w:lang w:val="uk-UA"/>
        </w:rPr>
      </w:pPr>
      <w:r w:rsidRPr="00FF2D9A">
        <w:rPr>
          <w:sz w:val="28"/>
          <w:szCs w:val="28"/>
          <w:lang w:val="uk-UA"/>
        </w:rPr>
        <w:t xml:space="preserve">Реалізація проекту наказу не передбачає додаткових витрат Державної податкової служби та відбуватиметься в межах її фінансування без залучення сторонніх організацій. </w:t>
      </w:r>
    </w:p>
    <w:p w:rsidR="00553DBB" w:rsidRPr="00FF2D9A" w:rsidRDefault="00553DBB" w:rsidP="00553DBB">
      <w:pPr>
        <w:pStyle w:val="a3"/>
        <w:spacing w:before="0" w:beforeAutospacing="0" w:after="0" w:afterAutospacing="0"/>
        <w:ind w:firstLine="567"/>
        <w:jc w:val="both"/>
        <w:rPr>
          <w:sz w:val="28"/>
          <w:szCs w:val="28"/>
          <w:lang w:val="uk-UA"/>
        </w:rPr>
      </w:pPr>
      <w:r w:rsidRPr="00FF2D9A">
        <w:rPr>
          <w:sz w:val="28"/>
          <w:szCs w:val="28"/>
          <w:lang w:val="uk-UA"/>
        </w:rPr>
        <w:t>М-Тест не проводився у зв’язку з тим, що відсутні суб’єкти малого підприємництва, на яких впливає дія регуляторного акта.</w:t>
      </w:r>
    </w:p>
    <w:p w:rsidR="00553DBB" w:rsidRPr="00FF2D9A" w:rsidRDefault="00553DBB" w:rsidP="00553DBB">
      <w:pPr>
        <w:pStyle w:val="a3"/>
        <w:spacing w:before="0" w:beforeAutospacing="0" w:after="0" w:afterAutospacing="0"/>
        <w:ind w:firstLine="567"/>
        <w:jc w:val="both"/>
        <w:rPr>
          <w:spacing w:val="-6"/>
          <w:sz w:val="28"/>
          <w:szCs w:val="28"/>
          <w:lang w:val="uk-UA"/>
        </w:rPr>
      </w:pPr>
      <w:r w:rsidRPr="00FF2D9A">
        <w:rPr>
          <w:sz w:val="28"/>
          <w:szCs w:val="28"/>
          <w:lang w:val="uk-UA"/>
        </w:rPr>
        <w:t xml:space="preserve">Зміни та доповнення, що пропонуються проектом наказу, не впливають на кількість платників податків, які зобов’язані подавати Повідомлення, не </w:t>
      </w:r>
      <w:r w:rsidRPr="00FF2D9A">
        <w:rPr>
          <w:spacing w:val="-6"/>
          <w:sz w:val="28"/>
          <w:szCs w:val="28"/>
          <w:lang w:val="uk-UA"/>
        </w:rPr>
        <w:t>змінюють обсяг прав та обов’язків щодо складання Повідомлення, передбачений Кодексом, не встановлюють нових процедур, ніж ті, що передбачені наказом № 839.</w:t>
      </w:r>
    </w:p>
    <w:p w:rsidR="00553DBB" w:rsidRPr="00FF2D9A" w:rsidRDefault="00553DBB" w:rsidP="00553DBB">
      <w:pPr>
        <w:pStyle w:val="a3"/>
        <w:spacing w:before="0" w:beforeAutospacing="0" w:after="0" w:afterAutospacing="0"/>
        <w:ind w:firstLine="567"/>
        <w:jc w:val="both"/>
        <w:rPr>
          <w:sz w:val="28"/>
          <w:szCs w:val="28"/>
          <w:lang w:val="uk-UA"/>
        </w:rPr>
      </w:pPr>
      <w:r w:rsidRPr="00FF2D9A">
        <w:rPr>
          <w:sz w:val="28"/>
          <w:szCs w:val="28"/>
          <w:lang w:val="uk-UA"/>
        </w:rPr>
        <w:t>У часовому еквіваленті зазначені зміни та доповнення не впливають на тривалість складання Повідомлення платниками податків, але усувають причини для виникнення витрат часу платників податків та контролюючих органів на адміністрування спірних питань щодо змісту поданих Повідомлень, своєчасності їх подання та достовірності зазначеної в них інформації.</w:t>
      </w:r>
    </w:p>
    <w:p w:rsidR="00553DBB" w:rsidRPr="00FF2D9A" w:rsidRDefault="00553DBB" w:rsidP="00553DBB">
      <w:pPr>
        <w:widowControl w:val="0"/>
        <w:ind w:firstLine="295"/>
        <w:jc w:val="both"/>
        <w:rPr>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r w:rsidRPr="00FF2D9A">
        <w:rPr>
          <w:bCs w:val="0"/>
          <w:sz w:val="28"/>
          <w:szCs w:val="28"/>
          <w:lang w:val="uk-UA"/>
        </w:rPr>
        <w:t>VII. Обґрунтування запропонованого строку дії регуляторного</w:t>
      </w:r>
      <w:r w:rsidRPr="00FF2D9A">
        <w:rPr>
          <w:sz w:val="28"/>
          <w:szCs w:val="28"/>
          <w:lang w:val="uk-UA"/>
        </w:rPr>
        <w:t xml:space="preserve"> акта</w:t>
      </w:r>
    </w:p>
    <w:p w:rsidR="00553DBB" w:rsidRPr="00FF2D9A" w:rsidRDefault="00553DBB" w:rsidP="00553DBB">
      <w:pPr>
        <w:ind w:firstLine="567"/>
        <w:jc w:val="both"/>
        <w:rPr>
          <w:sz w:val="28"/>
          <w:szCs w:val="28"/>
          <w:lang w:val="uk-UA"/>
        </w:rPr>
      </w:pPr>
      <w:r w:rsidRPr="00FF2D9A">
        <w:rPr>
          <w:sz w:val="28"/>
          <w:szCs w:val="28"/>
          <w:lang w:val="uk-UA"/>
        </w:rPr>
        <w:t>Термін дії регуляторного акта необмежений.</w:t>
      </w:r>
    </w:p>
    <w:p w:rsidR="00553DBB" w:rsidRPr="00FF2D9A" w:rsidRDefault="00553DBB" w:rsidP="00553DBB">
      <w:pPr>
        <w:ind w:firstLine="567"/>
        <w:jc w:val="both"/>
        <w:rPr>
          <w:sz w:val="28"/>
          <w:szCs w:val="28"/>
          <w:lang w:val="uk-UA"/>
        </w:rPr>
      </w:pPr>
      <w:r w:rsidRPr="00FF2D9A">
        <w:rPr>
          <w:sz w:val="28"/>
          <w:szCs w:val="28"/>
          <w:lang w:val="uk-UA"/>
        </w:rPr>
        <w:t>Регуляторний акт розроблено відповідно до положень Кодексу. У разі внесення змін до Кодексу регуляторний акт має бути приведений у відповідність із такими змінами.</w:t>
      </w:r>
    </w:p>
    <w:p w:rsidR="00553DBB" w:rsidRPr="00FF2D9A" w:rsidRDefault="00553DBB" w:rsidP="00553DBB">
      <w:pPr>
        <w:pStyle w:val="a3"/>
        <w:widowControl w:val="0"/>
        <w:spacing w:before="0" w:beforeAutospacing="0" w:after="0" w:afterAutospacing="0"/>
        <w:ind w:firstLine="720"/>
        <w:jc w:val="both"/>
        <w:rPr>
          <w:sz w:val="28"/>
          <w:szCs w:val="28"/>
          <w:lang w:val="uk-UA"/>
        </w:rPr>
      </w:pPr>
    </w:p>
    <w:p w:rsidR="00553DBB" w:rsidRPr="00FF2D9A" w:rsidRDefault="00553DBB" w:rsidP="00553DBB">
      <w:pPr>
        <w:pStyle w:val="3"/>
        <w:widowControl w:val="0"/>
        <w:spacing w:before="0" w:beforeAutospacing="0" w:after="0" w:afterAutospacing="0"/>
        <w:jc w:val="center"/>
        <w:rPr>
          <w:sz w:val="28"/>
          <w:szCs w:val="28"/>
          <w:lang w:val="uk-UA"/>
        </w:rPr>
      </w:pPr>
      <w:bookmarkStart w:id="23" w:name="_Hlk56070593"/>
      <w:r w:rsidRPr="00FF2D9A">
        <w:rPr>
          <w:sz w:val="28"/>
          <w:szCs w:val="28"/>
          <w:lang w:val="uk-UA"/>
        </w:rPr>
        <w:t>VIII. Визначення показників результативності дії регуляторного акта</w:t>
      </w:r>
    </w:p>
    <w:p w:rsidR="00553DBB" w:rsidRPr="00FF2D9A" w:rsidRDefault="00553DBB" w:rsidP="00553DBB">
      <w:pPr>
        <w:ind w:firstLine="567"/>
        <w:jc w:val="both"/>
        <w:rPr>
          <w:sz w:val="28"/>
          <w:szCs w:val="28"/>
          <w:lang w:val="uk-UA"/>
        </w:rPr>
      </w:pPr>
      <w:r w:rsidRPr="00FF2D9A">
        <w:rPr>
          <w:sz w:val="28"/>
          <w:szCs w:val="28"/>
          <w:lang w:val="uk-UA"/>
        </w:rPr>
        <w:t>Показником результативності регуляторного акта є внесення змін до порядку складання Повідомлення та забезпечення належного виконання норм Закону України ві</w:t>
      </w:r>
      <w:r w:rsidRPr="00FF2D9A">
        <w:rPr>
          <w:sz w:val="28"/>
          <w:szCs w:val="28"/>
          <w:lang w:val="uk-UA" w:eastAsia="uk-UA"/>
        </w:rPr>
        <w:t>д 16.01.2020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r w:rsidRPr="00FF2D9A">
        <w:rPr>
          <w:sz w:val="28"/>
          <w:szCs w:val="28"/>
          <w:lang w:val="uk-UA"/>
        </w:rPr>
        <w:t>.</w:t>
      </w:r>
    </w:p>
    <w:p w:rsidR="00553DBB" w:rsidRPr="00FF2D9A" w:rsidRDefault="00553DBB" w:rsidP="00553DBB">
      <w:pPr>
        <w:widowControl w:val="0"/>
        <w:ind w:firstLine="567"/>
        <w:jc w:val="both"/>
        <w:rPr>
          <w:sz w:val="28"/>
          <w:szCs w:val="28"/>
          <w:lang w:val="uk-UA"/>
        </w:rPr>
      </w:pPr>
      <w:r w:rsidRPr="00FF2D9A">
        <w:rPr>
          <w:sz w:val="28"/>
          <w:szCs w:val="28"/>
          <w:lang w:val="uk-UA"/>
        </w:rPr>
        <w:t>Подання Повідомлення платниками податків матиме опосередкований вплив на розмір надходжень до бюджету через підвищення ефективності контролю податковими органами за застосуванням правил трансфертного ціноутворення.</w:t>
      </w:r>
    </w:p>
    <w:p w:rsidR="00553DBB" w:rsidRPr="00FF2D9A" w:rsidRDefault="00553DBB" w:rsidP="00553DBB">
      <w:pPr>
        <w:ind w:firstLine="567"/>
        <w:jc w:val="both"/>
        <w:rPr>
          <w:sz w:val="28"/>
          <w:szCs w:val="28"/>
          <w:lang w:val="uk-UA"/>
        </w:rPr>
      </w:pPr>
      <w:r w:rsidRPr="00FF2D9A">
        <w:rPr>
          <w:sz w:val="28"/>
          <w:szCs w:val="28"/>
          <w:lang w:val="uk-UA"/>
        </w:rPr>
        <w:t>Загальна кількість платників, які підпадуть під дію регулювання цього акта, становитиме до 2 320 суб’єктів господарювання.</w:t>
      </w:r>
    </w:p>
    <w:p w:rsidR="00553DBB" w:rsidRPr="00FF2D9A" w:rsidRDefault="00553DBB" w:rsidP="00553DBB">
      <w:pPr>
        <w:ind w:firstLine="567"/>
        <w:jc w:val="both"/>
        <w:rPr>
          <w:sz w:val="28"/>
          <w:szCs w:val="28"/>
          <w:lang w:val="uk-UA"/>
        </w:rPr>
      </w:pPr>
      <w:r w:rsidRPr="00FF2D9A">
        <w:rPr>
          <w:bCs/>
          <w:sz w:val="28"/>
          <w:szCs w:val="28"/>
          <w:lang w:val="uk-UA"/>
        </w:rPr>
        <w:t xml:space="preserve">Затвердження змін до порядку складання Повідомлення забезпечується фахівцями ДПС без </w:t>
      </w:r>
      <w:r w:rsidRPr="00FF2D9A">
        <w:rPr>
          <w:sz w:val="28"/>
          <w:szCs w:val="28"/>
          <w:lang w:val="uk-UA"/>
        </w:rPr>
        <w:t>залучення сторонніх організацій.</w:t>
      </w:r>
    </w:p>
    <w:p w:rsidR="00553DBB" w:rsidRPr="00FF2D9A" w:rsidRDefault="00553DBB" w:rsidP="00553DBB">
      <w:pPr>
        <w:pStyle w:val="aa"/>
        <w:ind w:firstLine="567"/>
        <w:jc w:val="both"/>
        <w:rPr>
          <w:sz w:val="28"/>
          <w:szCs w:val="28"/>
          <w:lang w:val="uk-UA"/>
        </w:rPr>
      </w:pPr>
      <w:r w:rsidRPr="00FF2D9A">
        <w:rPr>
          <w:sz w:val="28"/>
          <w:szCs w:val="28"/>
          <w:lang w:val="uk-UA"/>
        </w:rPr>
        <w:t xml:space="preserve">Поінформованість платників податку щодо основних положень регуляторного акта є високою. Проект акта розміщено для громадського </w:t>
      </w:r>
      <w:r w:rsidRPr="00FF2D9A">
        <w:rPr>
          <w:sz w:val="28"/>
          <w:szCs w:val="28"/>
          <w:lang w:val="uk-UA"/>
        </w:rPr>
        <w:lastRenderedPageBreak/>
        <w:t xml:space="preserve">обговорення в мережі Інтернет на офіційному вебпорталі Мінфіну: у рубриці «Проекти регуляторних актів для обговорення/Проекти регуляторних актів для обговорення у 2021 р.» розділу «Законодавство». Після прийняття акта його буде оприлюднено у засобах масової інформації.  </w:t>
      </w:r>
    </w:p>
    <w:p w:rsidR="00553DBB" w:rsidRPr="00FF2D9A" w:rsidRDefault="00553DBB" w:rsidP="00553DBB">
      <w:pPr>
        <w:ind w:firstLine="567"/>
        <w:jc w:val="both"/>
        <w:rPr>
          <w:sz w:val="28"/>
          <w:szCs w:val="28"/>
          <w:lang w:val="uk-UA"/>
        </w:rPr>
      </w:pPr>
    </w:p>
    <w:bookmarkEnd w:id="23"/>
    <w:p w:rsidR="00553DBB" w:rsidRPr="00FF2D9A" w:rsidRDefault="00553DBB" w:rsidP="00553DBB">
      <w:pPr>
        <w:pStyle w:val="3"/>
        <w:widowControl w:val="0"/>
        <w:spacing w:before="0" w:beforeAutospacing="0" w:after="0" w:afterAutospacing="0"/>
        <w:jc w:val="center"/>
        <w:rPr>
          <w:sz w:val="28"/>
          <w:szCs w:val="28"/>
          <w:lang w:val="uk-UA"/>
        </w:rPr>
      </w:pPr>
      <w:r w:rsidRPr="00FF2D9A">
        <w:rPr>
          <w:sz w:val="28"/>
          <w:szCs w:val="28"/>
          <w:lang w:val="uk-UA"/>
        </w:rPr>
        <w:t>IX. Визначення заходів, за допомогою яких здійснюватиметься відстеження результативності дії регуляторного акта</w:t>
      </w:r>
    </w:p>
    <w:p w:rsidR="00553DBB" w:rsidRPr="00FF2D9A" w:rsidRDefault="00553DBB" w:rsidP="00553DBB">
      <w:pPr>
        <w:pStyle w:val="a3"/>
        <w:widowControl w:val="0"/>
        <w:spacing w:before="0" w:beforeAutospacing="0" w:after="0" w:afterAutospacing="0"/>
        <w:ind w:firstLine="567"/>
        <w:jc w:val="both"/>
        <w:rPr>
          <w:sz w:val="28"/>
          <w:szCs w:val="28"/>
          <w:lang w:val="uk-UA"/>
        </w:rPr>
      </w:pPr>
      <w:r w:rsidRPr="00FF2D9A">
        <w:rPr>
          <w:sz w:val="28"/>
          <w:szCs w:val="28"/>
          <w:lang w:val="uk-UA"/>
        </w:rPr>
        <w:t xml:space="preserve">Базове відстеження результативності регуляторного акта буде проводитись у визначений законодавством термін шляхом здійснення контролю за дотриманням відповідних положень Кодексу, </w:t>
      </w:r>
      <w:r w:rsidRPr="00FF2D9A">
        <w:rPr>
          <w:bCs/>
          <w:sz w:val="28"/>
          <w:szCs w:val="28"/>
          <w:lang w:val="uk-UA"/>
        </w:rPr>
        <w:t xml:space="preserve">але не пізніше дня, з якого починається проведення повторного відстеження результативності цього акта. </w:t>
      </w:r>
    </w:p>
    <w:p w:rsidR="00553DBB" w:rsidRPr="00FF2D9A" w:rsidRDefault="00553DBB" w:rsidP="00553DBB">
      <w:pPr>
        <w:pStyle w:val="3"/>
        <w:spacing w:before="0" w:beforeAutospacing="0" w:after="0" w:afterAutospacing="0"/>
        <w:ind w:firstLine="567"/>
        <w:jc w:val="both"/>
        <w:rPr>
          <w:b w:val="0"/>
          <w:bCs w:val="0"/>
          <w:sz w:val="28"/>
          <w:szCs w:val="28"/>
          <w:lang w:val="uk-UA"/>
        </w:rPr>
      </w:pPr>
      <w:r w:rsidRPr="00FF2D9A">
        <w:rPr>
          <w:b w:val="0"/>
          <w:bCs w:val="0"/>
          <w:sz w:val="28"/>
          <w:szCs w:val="28"/>
          <w:lang w:val="uk-UA"/>
        </w:rPr>
        <w:t>Повторне відстеження результативності регуляторного акта буде здійснено через рік з дня набрання ним чинності, але не пізніше двох років з дня набрання чинності цим актом.</w:t>
      </w:r>
    </w:p>
    <w:p w:rsidR="00553DBB" w:rsidRPr="00FF2D9A" w:rsidRDefault="00553DBB" w:rsidP="00553DBB">
      <w:pPr>
        <w:widowControl w:val="0"/>
        <w:rPr>
          <w:sz w:val="28"/>
          <w:szCs w:val="28"/>
          <w:lang w:val="uk-UA"/>
        </w:rPr>
      </w:pPr>
    </w:p>
    <w:p w:rsidR="00553DBB" w:rsidRPr="00311217" w:rsidRDefault="00553DBB" w:rsidP="00553DBB">
      <w:pPr>
        <w:jc w:val="both"/>
        <w:rPr>
          <w:b/>
          <w:sz w:val="28"/>
          <w:szCs w:val="28"/>
        </w:rPr>
      </w:pPr>
      <w:r w:rsidRPr="00FF2D9A">
        <w:rPr>
          <w:b/>
          <w:sz w:val="28"/>
          <w:szCs w:val="28"/>
        </w:rPr>
        <w:t>Міністр фінансів України                                                     Сергій МАРЧЕНКО</w:t>
      </w:r>
      <w:r w:rsidRPr="00311217">
        <w:rPr>
          <w:b/>
          <w:sz w:val="28"/>
          <w:szCs w:val="28"/>
        </w:rPr>
        <w:t xml:space="preserve">  </w:t>
      </w:r>
    </w:p>
    <w:p w:rsidR="00553DBB" w:rsidRPr="00311217" w:rsidRDefault="00553DBB" w:rsidP="00553DBB">
      <w:pPr>
        <w:widowControl w:val="0"/>
        <w:jc w:val="both"/>
        <w:rPr>
          <w:b/>
          <w:bCs/>
          <w:sz w:val="28"/>
          <w:szCs w:val="28"/>
          <w:lang w:val="uk-UA"/>
        </w:rPr>
      </w:pPr>
    </w:p>
    <w:p w:rsidR="00553DBB" w:rsidRPr="00311217" w:rsidRDefault="00553DBB" w:rsidP="00553DBB">
      <w:pPr>
        <w:widowControl w:val="0"/>
        <w:jc w:val="both"/>
        <w:rPr>
          <w:b/>
          <w:bCs/>
          <w:sz w:val="28"/>
          <w:szCs w:val="28"/>
          <w:lang w:val="uk-UA"/>
        </w:rPr>
      </w:pPr>
    </w:p>
    <w:p w:rsidR="001257F2" w:rsidRDefault="001257F2"/>
    <w:sectPr w:rsidR="001257F2" w:rsidSect="00D35366">
      <w:headerReference w:type="default" r:id="rId5"/>
      <w:pgSz w:w="11906" w:h="16838"/>
      <w:pgMar w:top="1077" w:right="624" w:bottom="62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8A" w:rsidRPr="0092799C" w:rsidRDefault="00FD6B2A" w:rsidP="0092799C">
    <w:pPr>
      <w:pStyle w:val="a5"/>
      <w:framePr w:wrap="auto" w:vAnchor="text" w:hAnchor="margin" w:xAlign="center" w:y="1"/>
      <w:jc w:val="center"/>
      <w:rPr>
        <w:rStyle w:val="a7"/>
        <w:lang w:val="uk-UA"/>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DD368A" w:rsidRDefault="00FD6B2A" w:rsidP="0092799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B05E4"/>
    <w:multiLevelType w:val="hybridMultilevel"/>
    <w:tmpl w:val="871A7E44"/>
    <w:lvl w:ilvl="0" w:tplc="153882B2">
      <w:start w:val="1"/>
      <w:numFmt w:val="bullet"/>
      <w:lvlText w:val="–"/>
      <w:lvlJc w:val="left"/>
      <w:pPr>
        <w:ind w:left="1007"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620941D6"/>
    <w:multiLevelType w:val="hybridMultilevel"/>
    <w:tmpl w:val="20640100"/>
    <w:lvl w:ilvl="0" w:tplc="0450D2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BB"/>
    <w:rsid w:val="001257F2"/>
    <w:rsid w:val="001D3B0B"/>
    <w:rsid w:val="00553DBB"/>
    <w:rsid w:val="00771D7F"/>
    <w:rsid w:val="007E1851"/>
    <w:rsid w:val="008C560A"/>
    <w:rsid w:val="00FD6B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50D"/>
  <w15:chartTrackingRefBased/>
  <w15:docId w15:val="{CBC58547-B33B-46FA-A9F5-32889344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DB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553DB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53DBB"/>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uiPriority w:val="99"/>
    <w:rsid w:val="00553DBB"/>
    <w:pPr>
      <w:spacing w:before="100" w:beforeAutospacing="1" w:after="100" w:afterAutospacing="1"/>
    </w:p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uiPriority w:val="99"/>
    <w:rsid w:val="00553DBB"/>
    <w:rPr>
      <w:rFonts w:ascii="Times New Roman" w:eastAsia="Times New Roman" w:hAnsi="Times New Roman" w:cs="Times New Roman"/>
      <w:sz w:val="24"/>
      <w:szCs w:val="24"/>
      <w:lang w:val="ru-RU" w:eastAsia="ru-RU"/>
    </w:rPr>
  </w:style>
  <w:style w:type="paragraph" w:styleId="a5">
    <w:name w:val="header"/>
    <w:basedOn w:val="a"/>
    <w:link w:val="a6"/>
    <w:uiPriority w:val="99"/>
    <w:rsid w:val="00553DBB"/>
    <w:pPr>
      <w:tabs>
        <w:tab w:val="center" w:pos="4677"/>
        <w:tab w:val="right" w:pos="9355"/>
      </w:tabs>
    </w:pPr>
  </w:style>
  <w:style w:type="character" w:customStyle="1" w:styleId="a6">
    <w:name w:val="Верхній колонтитул Знак"/>
    <w:basedOn w:val="a0"/>
    <w:link w:val="a5"/>
    <w:uiPriority w:val="99"/>
    <w:rsid w:val="00553DBB"/>
    <w:rPr>
      <w:rFonts w:ascii="Times New Roman" w:eastAsia="Times New Roman" w:hAnsi="Times New Roman" w:cs="Times New Roman"/>
      <w:sz w:val="24"/>
      <w:szCs w:val="24"/>
      <w:lang w:val="ru-RU" w:eastAsia="ru-RU"/>
    </w:rPr>
  </w:style>
  <w:style w:type="character" w:styleId="a7">
    <w:name w:val="page number"/>
    <w:basedOn w:val="a0"/>
    <w:rsid w:val="00553DBB"/>
  </w:style>
  <w:style w:type="paragraph" w:styleId="a8">
    <w:name w:val="Body Text Indent"/>
    <w:basedOn w:val="a"/>
    <w:link w:val="a9"/>
    <w:unhideWhenUsed/>
    <w:rsid w:val="00553DBB"/>
    <w:pPr>
      <w:spacing w:after="120"/>
      <w:ind w:left="283"/>
    </w:pPr>
    <w:rPr>
      <w:lang w:val="uk-UA"/>
    </w:rPr>
  </w:style>
  <w:style w:type="character" w:customStyle="1" w:styleId="a9">
    <w:name w:val="Основний текст з відступом Знак"/>
    <w:basedOn w:val="a0"/>
    <w:link w:val="a8"/>
    <w:rsid w:val="00553DBB"/>
    <w:rPr>
      <w:rFonts w:ascii="Times New Roman" w:eastAsia="Times New Roman" w:hAnsi="Times New Roman" w:cs="Times New Roman"/>
      <w:sz w:val="24"/>
      <w:szCs w:val="24"/>
      <w:lang w:eastAsia="ru-RU"/>
    </w:rPr>
  </w:style>
  <w:style w:type="paragraph" w:styleId="aa">
    <w:name w:val="annotation text"/>
    <w:basedOn w:val="a"/>
    <w:link w:val="ab"/>
    <w:uiPriority w:val="99"/>
    <w:unhideWhenUsed/>
    <w:rsid w:val="00553DBB"/>
    <w:rPr>
      <w:sz w:val="20"/>
      <w:szCs w:val="20"/>
    </w:rPr>
  </w:style>
  <w:style w:type="character" w:customStyle="1" w:styleId="ab">
    <w:name w:val="Текст примітки Знак"/>
    <w:basedOn w:val="a0"/>
    <w:link w:val="aa"/>
    <w:uiPriority w:val="99"/>
    <w:rsid w:val="00553DBB"/>
    <w:rPr>
      <w:rFonts w:ascii="Times New Roman" w:eastAsia="Times New Roman" w:hAnsi="Times New Roman" w:cs="Times New Roman"/>
      <w:sz w:val="20"/>
      <w:szCs w:val="20"/>
      <w:lang w:val="ru-RU" w:eastAsia="ru-RU"/>
    </w:rPr>
  </w:style>
  <w:style w:type="paragraph" w:styleId="ac">
    <w:name w:val="Balloon Text"/>
    <w:basedOn w:val="a"/>
    <w:link w:val="ad"/>
    <w:uiPriority w:val="99"/>
    <w:semiHidden/>
    <w:unhideWhenUsed/>
    <w:rsid w:val="00553DBB"/>
    <w:rPr>
      <w:rFonts w:ascii="Segoe UI" w:hAnsi="Segoe UI" w:cs="Segoe UI"/>
      <w:sz w:val="18"/>
      <w:szCs w:val="18"/>
    </w:rPr>
  </w:style>
  <w:style w:type="character" w:customStyle="1" w:styleId="ad">
    <w:name w:val="Текст у виносці Знак"/>
    <w:basedOn w:val="a0"/>
    <w:link w:val="ac"/>
    <w:uiPriority w:val="99"/>
    <w:semiHidden/>
    <w:rsid w:val="00553DB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10342</Words>
  <Characters>5896</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Висовень Олексій Васильович</cp:lastModifiedBy>
  <cp:revision>1</cp:revision>
  <cp:lastPrinted>2021-07-15T09:28:00Z</cp:lastPrinted>
  <dcterms:created xsi:type="dcterms:W3CDTF">2021-07-15T09:28:00Z</dcterms:created>
  <dcterms:modified xsi:type="dcterms:W3CDTF">2021-07-15T10:42:00Z</dcterms:modified>
</cp:coreProperties>
</file>