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50F" w:rsidRDefault="00E32170">
      <w:pPr>
        <w:spacing w:after="0" w:line="240" w:lineRule="auto"/>
        <w:jc w:val="center"/>
        <w:rPr>
          <w:rFonts w:ascii="Times New Roman" w:hAnsi="Times New Roman"/>
          <w:b/>
          <w:bCs/>
          <w:spacing w:val="-8"/>
          <w:sz w:val="28"/>
          <w:szCs w:val="28"/>
        </w:rPr>
      </w:pPr>
      <w:r>
        <w:rPr>
          <w:rFonts w:ascii="Times New Roman" w:hAnsi="Times New Roman"/>
          <w:b/>
          <w:bCs/>
          <w:spacing w:val="-8"/>
          <w:sz w:val="28"/>
          <w:szCs w:val="28"/>
        </w:rPr>
        <w:t>АНАЛІЗ РЕГУЛЯТОРНОГО ВПЛИВУ</w:t>
      </w:r>
    </w:p>
    <w:p w:rsidR="00CE350F" w:rsidRDefault="00E32170">
      <w:pPr>
        <w:pStyle w:val="af0"/>
        <w:spacing w:after="0"/>
        <w:jc w:val="center"/>
        <w:rPr>
          <w:b/>
          <w:bCs/>
          <w:sz w:val="28"/>
          <w:szCs w:val="28"/>
          <w:lang w:val="uk-UA"/>
        </w:rPr>
      </w:pPr>
      <w:r>
        <w:rPr>
          <w:b/>
          <w:bCs/>
          <w:sz w:val="28"/>
          <w:szCs w:val="28"/>
          <w:lang w:val="uk-UA"/>
        </w:rPr>
        <w:t>до проекту Закону України  «Про внесення змін до деяких законів України щодо створення єдиного реєстру рахунків фізичних і юридичних осіб та індивідуальних банківських сейфів»</w:t>
      </w:r>
    </w:p>
    <w:p w:rsidR="004B1372" w:rsidRDefault="004B1372">
      <w:pPr>
        <w:pStyle w:val="af0"/>
        <w:spacing w:after="0"/>
        <w:jc w:val="center"/>
        <w:rPr>
          <w:b/>
          <w:sz w:val="28"/>
          <w:szCs w:val="28"/>
          <w:lang w:val="uk-UA"/>
        </w:rPr>
      </w:pPr>
    </w:p>
    <w:p w:rsidR="004B1372" w:rsidRPr="00502399" w:rsidRDefault="004B1372" w:rsidP="004B1372">
      <w:pPr>
        <w:widowControl w:val="0"/>
        <w:spacing w:before="120" w:after="120" w:line="240" w:lineRule="auto"/>
        <w:ind w:left="23" w:right="23" w:firstLine="544"/>
        <w:jc w:val="both"/>
        <w:rPr>
          <w:rFonts w:ascii="Times New Roman" w:hAnsi="Times New Roman"/>
          <w:b/>
          <w:bCs/>
          <w:spacing w:val="-8"/>
          <w:sz w:val="28"/>
          <w:szCs w:val="28"/>
          <w:shd w:val="clear" w:color="auto" w:fill="FFFFFF"/>
          <w:lang w:eastAsia="uk-UA"/>
        </w:rPr>
      </w:pPr>
      <w:r w:rsidRPr="00502399">
        <w:rPr>
          <w:rFonts w:ascii="Times New Roman" w:hAnsi="Times New Roman"/>
          <w:b/>
          <w:bCs/>
          <w:spacing w:val="-8"/>
          <w:sz w:val="28"/>
          <w:szCs w:val="28"/>
          <w:shd w:val="clear" w:color="auto" w:fill="FFFFFF"/>
          <w:lang w:eastAsia="uk-UA"/>
        </w:rPr>
        <w:t>І. Визначення проблеми</w:t>
      </w:r>
    </w:p>
    <w:p w:rsidR="00AC7308" w:rsidRPr="00502399" w:rsidRDefault="00AC7308" w:rsidP="00AC7308">
      <w:pPr>
        <w:widowControl w:val="0"/>
        <w:spacing w:after="0" w:line="240" w:lineRule="auto"/>
        <w:ind w:left="23" w:right="23" w:firstLine="544"/>
        <w:jc w:val="both"/>
        <w:rPr>
          <w:rFonts w:ascii="Times New Roman" w:hAnsi="Times New Roman"/>
          <w:spacing w:val="-8"/>
          <w:sz w:val="28"/>
          <w:szCs w:val="28"/>
          <w:lang w:eastAsia="uk-UA"/>
        </w:rPr>
      </w:pPr>
      <w:r w:rsidRPr="00502399">
        <w:rPr>
          <w:rFonts w:ascii="Times New Roman" w:hAnsi="Times New Roman"/>
          <w:spacing w:val="-8"/>
          <w:sz w:val="28"/>
          <w:szCs w:val="28"/>
          <w:lang w:eastAsia="uk-UA"/>
        </w:rPr>
        <w:t xml:space="preserve">Пунктом 2 Плану заходів з реалізації Основних напрямів розвитку системи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в Україні на період до 2023 року, затвердженого розпорядженням Кабінету Міністрів України від 12.05.2021 № 435-р «Про затвердження Основних напрямів розвитку системи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в Україні на період до 2023 року та плану заходів щодо їх реалізації» (далі – План заходів з реалізації Основних напрямів розвитку системи запобігання та протидії), передбачено підготовку пропозицій щодо внесення змін до законодавства в частині створення Єдиного реєстру рахунків фізичних і юридичних осіб та індивідуальних банківських сейфів (далі – Єдиний реєстр) як єдиної державної інформаційної системи. </w:t>
      </w:r>
    </w:p>
    <w:p w:rsidR="00AC7308" w:rsidRPr="00502399" w:rsidRDefault="00AC7308" w:rsidP="00AC7308">
      <w:pPr>
        <w:widowControl w:val="0"/>
        <w:spacing w:after="0" w:line="240" w:lineRule="auto"/>
        <w:ind w:left="23" w:right="23" w:firstLine="544"/>
        <w:jc w:val="both"/>
        <w:rPr>
          <w:rFonts w:ascii="Times New Roman" w:hAnsi="Times New Roman"/>
          <w:spacing w:val="-8"/>
          <w:sz w:val="28"/>
          <w:szCs w:val="28"/>
          <w:lang w:eastAsia="uk-UA"/>
        </w:rPr>
      </w:pPr>
      <w:r w:rsidRPr="00502399">
        <w:rPr>
          <w:rFonts w:ascii="Times New Roman" w:hAnsi="Times New Roman"/>
          <w:spacing w:val="-8"/>
          <w:sz w:val="28"/>
          <w:szCs w:val="28"/>
          <w:lang w:eastAsia="uk-UA"/>
        </w:rPr>
        <w:t xml:space="preserve">Крім того, розроблення законопроекту щодо створення Єдиного реєстру та надання доступу до нього Держфінмоніторингу передбачено пунктом 7 за стратегічною ціллю 3 «Розбудова правоохоронних органів сучасного зразка, які захищають права і свободи людини, правопорядок і законність, інтереси суспільства і держави» напряму 2 «Верховенство права» розділу ІІ «Стратегічний курс економічної політики до 2030 року» Національної економічної стратегії на період до 2030 року, затвердженої постановою Кабінету Міністрів України від 03.03.2021 № 179 (далі – Національна економічна стратегія). </w:t>
      </w:r>
    </w:p>
    <w:p w:rsidR="00AC7308" w:rsidRPr="00502399" w:rsidRDefault="00AC7308" w:rsidP="00AC7308">
      <w:pPr>
        <w:widowControl w:val="0"/>
        <w:spacing w:after="0" w:line="240" w:lineRule="auto"/>
        <w:ind w:left="23" w:right="23" w:firstLine="544"/>
        <w:jc w:val="both"/>
        <w:rPr>
          <w:rFonts w:ascii="Times New Roman" w:hAnsi="Times New Roman"/>
          <w:spacing w:val="-8"/>
          <w:sz w:val="28"/>
          <w:szCs w:val="28"/>
          <w:lang w:eastAsia="uk-UA"/>
        </w:rPr>
      </w:pPr>
      <w:r w:rsidRPr="00502399">
        <w:rPr>
          <w:rFonts w:ascii="Times New Roman" w:hAnsi="Times New Roman"/>
          <w:spacing w:val="-8"/>
          <w:sz w:val="28"/>
          <w:szCs w:val="28"/>
          <w:lang w:eastAsia="uk-UA"/>
        </w:rPr>
        <w:t xml:space="preserve">Пунктом 37 Плану-графіка подання на розгляд Уряду проектів нормативно-правових актів у сфері європейської інтеграції у 2022 році (протокол № 5 засідання Комісії з питань координації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від 26.01.2022), передбачено розробку законопроекту «Про внесення змін до деяких законів України щодо створення єдиного реєстру рахунків фізичних і юридичних осіб та індивідуальних банківських сейфів» відповідно до імплементації Директиви Європейського парламенту і Ради (ЄС) 2018/843 від 30.05.2018 «Про внесення змін до Директиви (ЄС) 2015/849 про запобігання використанню фінансової системи для відмивання грошей та фінансування тероризму і внесення змін до Директив 2009/138/ЄС і 2013/36/ЄС». </w:t>
      </w:r>
    </w:p>
    <w:p w:rsidR="00AC7308" w:rsidRPr="00502399" w:rsidRDefault="00AC7308" w:rsidP="00AC7308">
      <w:pPr>
        <w:widowControl w:val="0"/>
        <w:spacing w:after="0" w:line="240" w:lineRule="auto"/>
        <w:ind w:left="23" w:right="23" w:firstLine="544"/>
        <w:jc w:val="both"/>
        <w:rPr>
          <w:rFonts w:ascii="Times New Roman" w:hAnsi="Times New Roman"/>
          <w:spacing w:val="-8"/>
          <w:sz w:val="28"/>
          <w:szCs w:val="28"/>
          <w:lang w:eastAsia="uk-UA"/>
        </w:rPr>
      </w:pPr>
      <w:r w:rsidRPr="00502399">
        <w:rPr>
          <w:rFonts w:ascii="Times New Roman" w:hAnsi="Times New Roman"/>
          <w:spacing w:val="-8"/>
          <w:sz w:val="28"/>
          <w:szCs w:val="28"/>
          <w:lang w:eastAsia="uk-UA"/>
        </w:rPr>
        <w:t xml:space="preserve">Водночас відповідно до статей 20, 127, 133, 385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ратифікованої Законом України від 16.09.2014 № 1678-VII (далі – Угода про </w:t>
      </w:r>
      <w:r w:rsidRPr="00502399">
        <w:rPr>
          <w:rFonts w:ascii="Times New Roman" w:hAnsi="Times New Roman"/>
          <w:spacing w:val="-8"/>
          <w:sz w:val="28"/>
          <w:szCs w:val="28"/>
          <w:lang w:eastAsia="uk-UA"/>
        </w:rPr>
        <w:lastRenderedPageBreak/>
        <w:t xml:space="preserve">асоціацію) Україна має забезпечити імплементацію відповідних міжнародних стандартів, зокрема стандартів Групи з розробки фінансових заходів боротьби з відмиванням грошей та фінансуванням тероризму (FATF) і стандартів, рівнозначних тим, які були прийняті Союзом. </w:t>
      </w:r>
    </w:p>
    <w:p w:rsidR="00AC7308" w:rsidRPr="00502399" w:rsidRDefault="00AC7308" w:rsidP="00AC7308">
      <w:pPr>
        <w:widowControl w:val="0"/>
        <w:spacing w:after="0" w:line="240" w:lineRule="auto"/>
        <w:ind w:left="23" w:right="23" w:firstLine="544"/>
        <w:jc w:val="both"/>
        <w:rPr>
          <w:rFonts w:ascii="Times New Roman" w:hAnsi="Times New Roman"/>
          <w:spacing w:val="-8"/>
          <w:sz w:val="28"/>
          <w:szCs w:val="28"/>
          <w:lang w:eastAsia="uk-UA"/>
        </w:rPr>
      </w:pPr>
      <w:r w:rsidRPr="00502399">
        <w:rPr>
          <w:rFonts w:ascii="Times New Roman" w:hAnsi="Times New Roman"/>
          <w:spacing w:val="-8"/>
          <w:sz w:val="28"/>
          <w:szCs w:val="28"/>
          <w:lang w:eastAsia="uk-UA"/>
        </w:rPr>
        <w:t xml:space="preserve">Відповідно до пункту 19 статті 1 Директиви Європейського парламенту і Ради (ЄС) 2018/843 від 30.05.2018 «Про внесення змін до Директиви (ЄС) 2015/849 про запобігання використанню фінансової системи для відмивання грошей та фінансування тероризму та внесення змін до директив 2009/138/ЄС і 2013/36/ЄС» (далі – Директива (ЄС) 2018/843) Директиву (ЄС) 2015/849 Європейського парламенту та Ради від 20.05.2015 «Про запобігання використанню фінансової системи для відмивання грошей та фінансування тероризму, про внесення зміни до Регламенту Європейського Парламенту і Ради № 648/2012 та про скасування Директиви Європейського Парламенту і Ради 2005/60/ЄС та Директиви Комісії 2006/70/ЄС» доповнено новою статтею 32а. </w:t>
      </w:r>
    </w:p>
    <w:p w:rsidR="00AC7308" w:rsidRPr="00502399" w:rsidRDefault="00AC7308" w:rsidP="00AC7308">
      <w:pPr>
        <w:widowControl w:val="0"/>
        <w:spacing w:after="0" w:line="240" w:lineRule="auto"/>
        <w:ind w:left="23" w:right="23" w:firstLine="544"/>
        <w:jc w:val="both"/>
        <w:rPr>
          <w:rFonts w:ascii="Times New Roman" w:hAnsi="Times New Roman"/>
          <w:spacing w:val="-8"/>
          <w:sz w:val="28"/>
          <w:szCs w:val="28"/>
          <w:lang w:eastAsia="uk-UA"/>
        </w:rPr>
      </w:pPr>
      <w:r w:rsidRPr="00502399">
        <w:rPr>
          <w:rFonts w:ascii="Times New Roman" w:hAnsi="Times New Roman"/>
          <w:spacing w:val="-8"/>
          <w:sz w:val="28"/>
          <w:szCs w:val="28"/>
          <w:lang w:eastAsia="uk-UA"/>
        </w:rPr>
        <w:t xml:space="preserve">Відповідно до пунктів 1 та 2 цієї статті держави-члени повинні впроваджувати централізовані автоматизовані механізми, такі як центральні реєстри або центральні електронні системи пошуку даних, які дозволять своєчасно ідентифікувати будь-яких фізичних або юридичних осіб, які утримують або контролюють платіжні та банківські рахунки, які визначаються за допомогою IBAN, відповідно до Регламенту Європейського Парламенту і Ради (ЄС) № 260/2012 від 14.03.2012 про встановлення технічних і комерційних вимог до кредитних переказів і прямого </w:t>
      </w:r>
      <w:proofErr w:type="spellStart"/>
      <w:r w:rsidRPr="00502399">
        <w:rPr>
          <w:rFonts w:ascii="Times New Roman" w:hAnsi="Times New Roman"/>
          <w:spacing w:val="-8"/>
          <w:sz w:val="28"/>
          <w:szCs w:val="28"/>
          <w:lang w:eastAsia="uk-UA"/>
        </w:rPr>
        <w:t>дебетування</w:t>
      </w:r>
      <w:proofErr w:type="spellEnd"/>
      <w:r w:rsidRPr="00502399">
        <w:rPr>
          <w:rFonts w:ascii="Times New Roman" w:hAnsi="Times New Roman"/>
          <w:spacing w:val="-8"/>
          <w:sz w:val="28"/>
          <w:szCs w:val="28"/>
          <w:lang w:eastAsia="uk-UA"/>
        </w:rPr>
        <w:t xml:space="preserve"> в євро та про внесення змін до Регламенту (ЄС) № 924/2009, і депозитні сейфи, які утримуються кредитною установою на її території. </w:t>
      </w:r>
    </w:p>
    <w:p w:rsidR="00AC7308" w:rsidRPr="00502399" w:rsidRDefault="00AC7308" w:rsidP="00AC7308">
      <w:pPr>
        <w:widowControl w:val="0"/>
        <w:spacing w:after="0" w:line="240" w:lineRule="auto"/>
        <w:ind w:left="23" w:right="23" w:firstLine="544"/>
        <w:jc w:val="both"/>
        <w:rPr>
          <w:rFonts w:ascii="Times New Roman" w:hAnsi="Times New Roman"/>
          <w:spacing w:val="-8"/>
          <w:sz w:val="28"/>
          <w:szCs w:val="28"/>
          <w:lang w:eastAsia="uk-UA"/>
        </w:rPr>
      </w:pPr>
      <w:r w:rsidRPr="00502399">
        <w:rPr>
          <w:rFonts w:ascii="Times New Roman" w:hAnsi="Times New Roman"/>
          <w:spacing w:val="-8"/>
          <w:sz w:val="28"/>
          <w:szCs w:val="28"/>
          <w:lang w:eastAsia="uk-UA"/>
        </w:rPr>
        <w:t xml:space="preserve">Держави-члени повинні забезпечити своєчасно та без обмежень безпосередній доступ національним органам фінансової розвідки до інформації, яка отримується у централізованих механізмах. Інформація має бути доступною для національних компетентних органів з метою виконання ними обов’язків. </w:t>
      </w:r>
    </w:p>
    <w:p w:rsidR="00AC7308" w:rsidRPr="00502399" w:rsidRDefault="00AC7308" w:rsidP="00AC7308">
      <w:pPr>
        <w:widowControl w:val="0"/>
        <w:spacing w:after="0" w:line="240" w:lineRule="auto"/>
        <w:ind w:left="23" w:right="23" w:firstLine="544"/>
        <w:jc w:val="both"/>
        <w:rPr>
          <w:rFonts w:ascii="Times New Roman" w:hAnsi="Times New Roman"/>
          <w:spacing w:val="-8"/>
          <w:sz w:val="28"/>
          <w:szCs w:val="28"/>
          <w:lang w:eastAsia="uk-UA"/>
        </w:rPr>
      </w:pPr>
      <w:r w:rsidRPr="00502399">
        <w:rPr>
          <w:rFonts w:ascii="Times New Roman" w:hAnsi="Times New Roman"/>
          <w:spacing w:val="-8"/>
          <w:sz w:val="28"/>
          <w:szCs w:val="28"/>
          <w:lang w:eastAsia="uk-UA"/>
        </w:rPr>
        <w:t xml:space="preserve">Отже, з метою імплементації в законодавство України міжнародних стандартів, які були прийнятті Європейським Союзом, необхідно на законодавчому рівні встановити вимоги щодо Єдиного реєстру, а також норми щодо подання відповідних відомостей Центральним депозитарієм, депозитарними установами, Національним банком України, банками та іншими фінансовими установами до Єдиного реєстру. </w:t>
      </w:r>
    </w:p>
    <w:p w:rsidR="00AC7308" w:rsidRPr="00502399" w:rsidRDefault="00AC7308" w:rsidP="00AC7308">
      <w:pPr>
        <w:widowControl w:val="0"/>
        <w:spacing w:after="0" w:line="240" w:lineRule="auto"/>
        <w:ind w:left="23" w:right="23" w:firstLine="544"/>
        <w:jc w:val="both"/>
        <w:rPr>
          <w:rFonts w:ascii="Times New Roman" w:hAnsi="Times New Roman"/>
          <w:spacing w:val="-8"/>
          <w:sz w:val="28"/>
          <w:szCs w:val="28"/>
          <w:lang w:eastAsia="uk-UA"/>
        </w:rPr>
      </w:pPr>
      <w:r w:rsidRPr="00502399">
        <w:rPr>
          <w:rFonts w:ascii="Times New Roman" w:hAnsi="Times New Roman"/>
          <w:spacing w:val="-8"/>
          <w:sz w:val="28"/>
          <w:szCs w:val="28"/>
          <w:lang w:eastAsia="uk-UA"/>
        </w:rPr>
        <w:t xml:space="preserve">Прийняття законопроекту, яким вносяться зміни до законів України «Про банки і банківську діяльність»,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«Про ринки капіталу та організовані товарні ринки» створить умови для започаткування централізованого ведення Єдиного реєстру. </w:t>
      </w:r>
    </w:p>
    <w:p w:rsidR="00AC7308" w:rsidRPr="00502399" w:rsidRDefault="00AC7308" w:rsidP="00AC7308">
      <w:pPr>
        <w:widowControl w:val="0"/>
        <w:spacing w:after="0" w:line="240" w:lineRule="auto"/>
        <w:ind w:left="23" w:right="23" w:firstLine="544"/>
        <w:jc w:val="both"/>
        <w:rPr>
          <w:rFonts w:ascii="Times New Roman" w:hAnsi="Times New Roman"/>
          <w:spacing w:val="-8"/>
          <w:sz w:val="28"/>
          <w:szCs w:val="28"/>
          <w:lang w:eastAsia="uk-UA"/>
        </w:rPr>
      </w:pPr>
      <w:r w:rsidRPr="00502399">
        <w:rPr>
          <w:rFonts w:ascii="Times New Roman" w:hAnsi="Times New Roman"/>
          <w:spacing w:val="-8"/>
          <w:sz w:val="28"/>
          <w:szCs w:val="28"/>
          <w:lang w:eastAsia="uk-UA"/>
        </w:rPr>
        <w:t xml:space="preserve">Одночасно інформуємо, що Державна податкова служба України має досвід ведення електронних реєстрів та центральної бази даних, у тому числі Державного реєстру фізичних осіб – платників податків, у якому містяться персональні дані фізичних осіб, а також досвід організації міжвідомчої взаємодії та обміну інформацією з іншими центральними органами виконавчої влади. Тому ведення, </w:t>
      </w:r>
      <w:r w:rsidRPr="00502399">
        <w:rPr>
          <w:rFonts w:ascii="Times New Roman" w:hAnsi="Times New Roman"/>
          <w:spacing w:val="-8"/>
          <w:sz w:val="28"/>
          <w:szCs w:val="28"/>
          <w:lang w:eastAsia="uk-UA"/>
        </w:rPr>
        <w:lastRenderedPageBreak/>
        <w:t xml:space="preserve">наповнення Єдиного реєстру доцільно покласти на ДПС. </w:t>
      </w:r>
    </w:p>
    <w:p w:rsidR="00AC7308" w:rsidRPr="00502399" w:rsidRDefault="00AC7308" w:rsidP="00AC7308">
      <w:pPr>
        <w:widowControl w:val="0"/>
        <w:spacing w:after="0" w:line="240" w:lineRule="auto"/>
        <w:ind w:left="23" w:right="23" w:firstLine="544"/>
        <w:jc w:val="both"/>
        <w:rPr>
          <w:rFonts w:ascii="Times New Roman" w:hAnsi="Times New Roman"/>
          <w:spacing w:val="-8"/>
          <w:sz w:val="28"/>
          <w:szCs w:val="28"/>
          <w:lang w:eastAsia="uk-UA"/>
        </w:rPr>
      </w:pPr>
      <w:r w:rsidRPr="00502399">
        <w:rPr>
          <w:rFonts w:ascii="Times New Roman" w:hAnsi="Times New Roman"/>
          <w:spacing w:val="-8"/>
          <w:sz w:val="28"/>
          <w:szCs w:val="28"/>
          <w:lang w:eastAsia="uk-UA"/>
        </w:rPr>
        <w:t xml:space="preserve">Тобто для впровадження ведення Єдиного реєстру необхідно після прийняття законопроекту </w:t>
      </w:r>
      <w:proofErr w:type="spellStart"/>
      <w:r w:rsidRPr="00502399">
        <w:rPr>
          <w:rFonts w:ascii="Times New Roman" w:hAnsi="Times New Roman"/>
          <w:spacing w:val="-8"/>
          <w:sz w:val="28"/>
          <w:szCs w:val="28"/>
          <w:lang w:eastAsia="uk-UA"/>
        </w:rPr>
        <w:t>внести</w:t>
      </w:r>
      <w:proofErr w:type="spellEnd"/>
      <w:r w:rsidRPr="00502399">
        <w:rPr>
          <w:rFonts w:ascii="Times New Roman" w:hAnsi="Times New Roman"/>
          <w:spacing w:val="-8"/>
          <w:sz w:val="28"/>
          <w:szCs w:val="28"/>
          <w:lang w:eastAsia="uk-UA"/>
        </w:rPr>
        <w:t xml:space="preserve"> зміни до норм Податкового кодексу України, які передбачатимуть положення щодо встановлення функцій з ведення Єдиного реєстру на Державну податкову службу України.</w:t>
      </w:r>
    </w:p>
    <w:p w:rsidR="00AC7308" w:rsidRPr="00502399" w:rsidRDefault="00AC7308" w:rsidP="00AC7308">
      <w:pPr>
        <w:widowControl w:val="0"/>
        <w:spacing w:before="240" w:after="120" w:line="240" w:lineRule="auto"/>
        <w:ind w:left="23" w:right="23" w:firstLine="544"/>
        <w:jc w:val="center"/>
        <w:rPr>
          <w:rFonts w:ascii="Times New Roman" w:hAnsi="Times New Roman"/>
          <w:spacing w:val="-8"/>
          <w:sz w:val="28"/>
          <w:szCs w:val="28"/>
          <w:lang w:eastAsia="uk-UA"/>
        </w:rPr>
      </w:pPr>
      <w:r w:rsidRPr="00502399">
        <w:rPr>
          <w:rFonts w:ascii="Times New Roman" w:hAnsi="Times New Roman"/>
          <w:spacing w:val="-8"/>
          <w:sz w:val="28"/>
          <w:szCs w:val="28"/>
          <w:shd w:val="clear" w:color="auto" w:fill="FFFFFF"/>
          <w:lang w:eastAsia="uk-UA"/>
        </w:rPr>
        <w:t>Основні групи, на які проблема справляє вплив:</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0"/>
        <w:gridCol w:w="2179"/>
        <w:gridCol w:w="1625"/>
      </w:tblGrid>
      <w:tr w:rsidR="00AC7308" w:rsidRPr="00502399" w:rsidTr="001061B1">
        <w:tc>
          <w:tcPr>
            <w:tcW w:w="5930" w:type="dxa"/>
          </w:tcPr>
          <w:p w:rsidR="00AC7308" w:rsidRPr="00502399" w:rsidRDefault="00AC7308" w:rsidP="001061B1">
            <w:pPr>
              <w:widowControl w:val="0"/>
              <w:spacing w:after="0" w:line="240" w:lineRule="auto"/>
              <w:ind w:right="20"/>
              <w:jc w:val="center"/>
              <w:rPr>
                <w:rFonts w:ascii="Times New Roman" w:hAnsi="Times New Roman"/>
                <w:spacing w:val="-8"/>
                <w:sz w:val="28"/>
                <w:szCs w:val="28"/>
                <w:shd w:val="clear" w:color="auto" w:fill="FFFFFF"/>
                <w:lang w:eastAsia="uk-UA"/>
              </w:rPr>
            </w:pPr>
            <w:r w:rsidRPr="00502399">
              <w:rPr>
                <w:rFonts w:ascii="Times New Roman" w:hAnsi="Times New Roman"/>
                <w:spacing w:val="-8"/>
                <w:sz w:val="28"/>
                <w:szCs w:val="28"/>
                <w:shd w:val="clear" w:color="auto" w:fill="FFFFFF"/>
                <w:lang w:eastAsia="uk-UA"/>
              </w:rPr>
              <w:t>Групи (підгрупи)</w:t>
            </w:r>
          </w:p>
        </w:tc>
        <w:tc>
          <w:tcPr>
            <w:tcW w:w="2179" w:type="dxa"/>
          </w:tcPr>
          <w:p w:rsidR="00AC7308" w:rsidRPr="00502399" w:rsidRDefault="00AC7308" w:rsidP="001061B1">
            <w:pPr>
              <w:widowControl w:val="0"/>
              <w:spacing w:after="0" w:line="240" w:lineRule="auto"/>
              <w:ind w:right="20"/>
              <w:jc w:val="center"/>
              <w:rPr>
                <w:rFonts w:ascii="Times New Roman" w:hAnsi="Times New Roman"/>
                <w:spacing w:val="-8"/>
                <w:sz w:val="28"/>
                <w:szCs w:val="28"/>
                <w:shd w:val="clear" w:color="auto" w:fill="FFFFFF"/>
                <w:lang w:eastAsia="uk-UA"/>
              </w:rPr>
            </w:pPr>
            <w:r w:rsidRPr="00502399">
              <w:rPr>
                <w:rFonts w:ascii="Times New Roman" w:hAnsi="Times New Roman"/>
                <w:spacing w:val="-8"/>
                <w:sz w:val="28"/>
                <w:szCs w:val="28"/>
                <w:shd w:val="clear" w:color="auto" w:fill="FFFFFF"/>
                <w:lang w:eastAsia="uk-UA"/>
              </w:rPr>
              <w:t>Так</w:t>
            </w:r>
          </w:p>
        </w:tc>
        <w:tc>
          <w:tcPr>
            <w:tcW w:w="1625" w:type="dxa"/>
          </w:tcPr>
          <w:p w:rsidR="00AC7308" w:rsidRPr="00502399" w:rsidRDefault="00AC7308" w:rsidP="001061B1">
            <w:pPr>
              <w:widowControl w:val="0"/>
              <w:spacing w:after="0" w:line="240" w:lineRule="auto"/>
              <w:ind w:right="20"/>
              <w:jc w:val="center"/>
              <w:rPr>
                <w:rFonts w:ascii="Times New Roman" w:hAnsi="Times New Roman"/>
                <w:spacing w:val="-8"/>
                <w:sz w:val="28"/>
                <w:szCs w:val="28"/>
                <w:shd w:val="clear" w:color="auto" w:fill="FFFFFF"/>
                <w:lang w:eastAsia="uk-UA"/>
              </w:rPr>
            </w:pPr>
            <w:r w:rsidRPr="00502399">
              <w:rPr>
                <w:rFonts w:ascii="Times New Roman" w:hAnsi="Times New Roman"/>
                <w:spacing w:val="-8"/>
                <w:sz w:val="28"/>
                <w:szCs w:val="28"/>
                <w:shd w:val="clear" w:color="auto" w:fill="FFFFFF"/>
                <w:lang w:eastAsia="uk-UA"/>
              </w:rPr>
              <w:t>Ні</w:t>
            </w:r>
          </w:p>
        </w:tc>
      </w:tr>
      <w:tr w:rsidR="00AC7308" w:rsidRPr="00502399" w:rsidTr="001061B1">
        <w:tc>
          <w:tcPr>
            <w:tcW w:w="5930" w:type="dxa"/>
          </w:tcPr>
          <w:p w:rsidR="00AC7308" w:rsidRPr="00502399" w:rsidRDefault="00AC7308" w:rsidP="001061B1">
            <w:pPr>
              <w:widowControl w:val="0"/>
              <w:spacing w:after="0" w:line="240" w:lineRule="auto"/>
              <w:ind w:right="20"/>
              <w:rPr>
                <w:rFonts w:ascii="Times New Roman" w:hAnsi="Times New Roman"/>
                <w:spacing w:val="-8"/>
                <w:sz w:val="28"/>
                <w:szCs w:val="28"/>
                <w:shd w:val="clear" w:color="auto" w:fill="FFFFFF"/>
                <w:lang w:eastAsia="uk-UA"/>
              </w:rPr>
            </w:pPr>
            <w:r w:rsidRPr="00502399">
              <w:rPr>
                <w:rFonts w:ascii="Times New Roman" w:hAnsi="Times New Roman"/>
                <w:spacing w:val="-8"/>
                <w:sz w:val="28"/>
                <w:szCs w:val="28"/>
                <w:shd w:val="clear" w:color="auto" w:fill="FFFFFF"/>
                <w:lang w:eastAsia="uk-UA"/>
              </w:rPr>
              <w:t>Громадяни</w:t>
            </w:r>
          </w:p>
        </w:tc>
        <w:tc>
          <w:tcPr>
            <w:tcW w:w="2179" w:type="dxa"/>
          </w:tcPr>
          <w:p w:rsidR="00AC7308" w:rsidRPr="00502399" w:rsidRDefault="00AC7308" w:rsidP="001061B1">
            <w:pPr>
              <w:widowControl w:val="0"/>
              <w:spacing w:after="0" w:line="240" w:lineRule="auto"/>
              <w:ind w:right="20"/>
              <w:jc w:val="center"/>
              <w:rPr>
                <w:rFonts w:ascii="Times New Roman" w:hAnsi="Times New Roman"/>
                <w:spacing w:val="-8"/>
                <w:sz w:val="28"/>
                <w:szCs w:val="28"/>
                <w:shd w:val="clear" w:color="auto" w:fill="FFFFFF"/>
                <w:lang w:eastAsia="uk-UA"/>
              </w:rPr>
            </w:pPr>
          </w:p>
        </w:tc>
        <w:tc>
          <w:tcPr>
            <w:tcW w:w="1625" w:type="dxa"/>
          </w:tcPr>
          <w:p w:rsidR="00AC7308" w:rsidRPr="00502399" w:rsidRDefault="00AC7308" w:rsidP="001061B1">
            <w:pPr>
              <w:widowControl w:val="0"/>
              <w:spacing w:after="0" w:line="240" w:lineRule="auto"/>
              <w:ind w:right="20"/>
              <w:jc w:val="center"/>
              <w:rPr>
                <w:rFonts w:ascii="Times New Roman" w:hAnsi="Times New Roman"/>
                <w:spacing w:val="-8"/>
                <w:sz w:val="28"/>
                <w:szCs w:val="28"/>
                <w:shd w:val="clear" w:color="auto" w:fill="FFFFFF"/>
                <w:lang w:eastAsia="uk-UA"/>
              </w:rPr>
            </w:pPr>
            <w:r w:rsidRPr="00502399">
              <w:rPr>
                <w:rFonts w:ascii="Times New Roman" w:hAnsi="Times New Roman"/>
                <w:spacing w:val="-8"/>
                <w:sz w:val="28"/>
                <w:szCs w:val="28"/>
              </w:rPr>
              <w:t>+</w:t>
            </w:r>
          </w:p>
        </w:tc>
      </w:tr>
      <w:tr w:rsidR="00AC7308" w:rsidRPr="00502399" w:rsidTr="001061B1">
        <w:tc>
          <w:tcPr>
            <w:tcW w:w="5930" w:type="dxa"/>
          </w:tcPr>
          <w:p w:rsidR="00AC7308" w:rsidRPr="00502399" w:rsidRDefault="00AC7308" w:rsidP="001061B1">
            <w:pPr>
              <w:widowControl w:val="0"/>
              <w:spacing w:after="0" w:line="240" w:lineRule="auto"/>
              <w:ind w:right="20"/>
              <w:rPr>
                <w:rFonts w:ascii="Times New Roman" w:hAnsi="Times New Roman"/>
                <w:spacing w:val="-8"/>
                <w:sz w:val="28"/>
                <w:szCs w:val="28"/>
                <w:shd w:val="clear" w:color="auto" w:fill="FFFFFF"/>
                <w:lang w:eastAsia="uk-UA"/>
              </w:rPr>
            </w:pPr>
            <w:r w:rsidRPr="00502399">
              <w:rPr>
                <w:rFonts w:ascii="Times New Roman" w:hAnsi="Times New Roman"/>
                <w:spacing w:val="-8"/>
                <w:sz w:val="28"/>
                <w:szCs w:val="28"/>
                <w:shd w:val="clear" w:color="auto" w:fill="FFFFFF"/>
                <w:lang w:eastAsia="uk-UA"/>
              </w:rPr>
              <w:t>Держава</w:t>
            </w:r>
          </w:p>
        </w:tc>
        <w:tc>
          <w:tcPr>
            <w:tcW w:w="2179" w:type="dxa"/>
          </w:tcPr>
          <w:p w:rsidR="00AC7308" w:rsidRPr="00502399" w:rsidRDefault="00AC7308" w:rsidP="001061B1">
            <w:pPr>
              <w:widowControl w:val="0"/>
              <w:spacing w:after="0" w:line="240" w:lineRule="auto"/>
              <w:ind w:right="20"/>
              <w:jc w:val="center"/>
              <w:rPr>
                <w:rFonts w:ascii="Times New Roman" w:hAnsi="Times New Roman"/>
                <w:spacing w:val="-8"/>
                <w:sz w:val="28"/>
                <w:szCs w:val="28"/>
                <w:shd w:val="clear" w:color="auto" w:fill="FFFFFF"/>
                <w:lang w:eastAsia="uk-UA"/>
              </w:rPr>
            </w:pPr>
            <w:r w:rsidRPr="00502399">
              <w:rPr>
                <w:rFonts w:ascii="Times New Roman" w:hAnsi="Times New Roman"/>
                <w:spacing w:val="-8"/>
                <w:sz w:val="28"/>
                <w:szCs w:val="28"/>
                <w:shd w:val="clear" w:color="auto" w:fill="FFFFFF"/>
                <w:lang w:eastAsia="uk-UA"/>
              </w:rPr>
              <w:t>+</w:t>
            </w:r>
          </w:p>
        </w:tc>
        <w:tc>
          <w:tcPr>
            <w:tcW w:w="1625" w:type="dxa"/>
          </w:tcPr>
          <w:p w:rsidR="00AC7308" w:rsidRPr="00502399" w:rsidRDefault="00AC7308" w:rsidP="001061B1">
            <w:pPr>
              <w:widowControl w:val="0"/>
              <w:spacing w:after="0" w:line="240" w:lineRule="auto"/>
              <w:ind w:right="20"/>
              <w:jc w:val="center"/>
              <w:rPr>
                <w:rFonts w:ascii="Times New Roman" w:hAnsi="Times New Roman"/>
                <w:spacing w:val="-8"/>
                <w:sz w:val="28"/>
                <w:szCs w:val="28"/>
                <w:shd w:val="clear" w:color="auto" w:fill="FFFFFF"/>
                <w:lang w:eastAsia="uk-UA"/>
              </w:rPr>
            </w:pPr>
          </w:p>
        </w:tc>
      </w:tr>
      <w:tr w:rsidR="00AC7308" w:rsidRPr="00502399" w:rsidTr="001061B1">
        <w:tc>
          <w:tcPr>
            <w:tcW w:w="5930" w:type="dxa"/>
          </w:tcPr>
          <w:p w:rsidR="00AC7308" w:rsidRPr="00502399" w:rsidRDefault="00AC7308" w:rsidP="001061B1">
            <w:pPr>
              <w:widowControl w:val="0"/>
              <w:spacing w:after="0" w:line="240" w:lineRule="auto"/>
              <w:ind w:right="20"/>
              <w:rPr>
                <w:rFonts w:ascii="Times New Roman" w:hAnsi="Times New Roman"/>
                <w:spacing w:val="-8"/>
                <w:sz w:val="28"/>
                <w:szCs w:val="28"/>
                <w:shd w:val="clear" w:color="auto" w:fill="FFFFFF"/>
                <w:lang w:eastAsia="uk-UA"/>
              </w:rPr>
            </w:pPr>
            <w:r w:rsidRPr="00502399">
              <w:rPr>
                <w:rFonts w:ascii="Times New Roman" w:hAnsi="Times New Roman"/>
                <w:spacing w:val="-8"/>
                <w:sz w:val="28"/>
                <w:szCs w:val="28"/>
                <w:shd w:val="clear" w:color="auto" w:fill="FFFFFF"/>
                <w:lang w:eastAsia="uk-UA"/>
              </w:rPr>
              <w:t>Суб’єкти господарювання</w:t>
            </w:r>
          </w:p>
        </w:tc>
        <w:tc>
          <w:tcPr>
            <w:tcW w:w="2179" w:type="dxa"/>
          </w:tcPr>
          <w:p w:rsidR="00AC7308" w:rsidRPr="00502399" w:rsidRDefault="00AC7308" w:rsidP="001061B1">
            <w:pPr>
              <w:widowControl w:val="0"/>
              <w:spacing w:after="0" w:line="240" w:lineRule="auto"/>
              <w:ind w:right="20"/>
              <w:jc w:val="center"/>
              <w:rPr>
                <w:rFonts w:ascii="Times New Roman" w:hAnsi="Times New Roman"/>
                <w:spacing w:val="-8"/>
                <w:sz w:val="28"/>
                <w:szCs w:val="28"/>
                <w:shd w:val="clear" w:color="auto" w:fill="FFFFFF"/>
                <w:lang w:eastAsia="uk-UA"/>
              </w:rPr>
            </w:pPr>
            <w:r w:rsidRPr="00502399">
              <w:rPr>
                <w:rFonts w:ascii="Times New Roman" w:hAnsi="Times New Roman"/>
                <w:spacing w:val="-8"/>
                <w:sz w:val="28"/>
                <w:szCs w:val="28"/>
                <w:shd w:val="clear" w:color="auto" w:fill="FFFFFF"/>
                <w:lang w:eastAsia="uk-UA"/>
              </w:rPr>
              <w:t>+</w:t>
            </w:r>
          </w:p>
        </w:tc>
        <w:tc>
          <w:tcPr>
            <w:tcW w:w="1625" w:type="dxa"/>
          </w:tcPr>
          <w:p w:rsidR="00AC7308" w:rsidRPr="00502399" w:rsidRDefault="00AC7308" w:rsidP="001061B1">
            <w:pPr>
              <w:widowControl w:val="0"/>
              <w:spacing w:after="0" w:line="240" w:lineRule="auto"/>
              <w:ind w:right="20"/>
              <w:jc w:val="center"/>
              <w:rPr>
                <w:rFonts w:ascii="Times New Roman" w:hAnsi="Times New Roman"/>
                <w:spacing w:val="-8"/>
                <w:sz w:val="28"/>
                <w:szCs w:val="28"/>
                <w:shd w:val="clear" w:color="auto" w:fill="FFFFFF"/>
                <w:lang w:eastAsia="uk-UA"/>
              </w:rPr>
            </w:pPr>
          </w:p>
        </w:tc>
      </w:tr>
      <w:tr w:rsidR="00AC7308" w:rsidRPr="00502399" w:rsidTr="001061B1">
        <w:tc>
          <w:tcPr>
            <w:tcW w:w="5930" w:type="dxa"/>
          </w:tcPr>
          <w:p w:rsidR="00AC7308" w:rsidRPr="00502399" w:rsidRDefault="00AC7308" w:rsidP="001061B1">
            <w:pPr>
              <w:widowControl w:val="0"/>
              <w:spacing w:after="0" w:line="240" w:lineRule="auto"/>
              <w:ind w:right="20"/>
              <w:rPr>
                <w:rFonts w:ascii="Times New Roman" w:hAnsi="Times New Roman"/>
                <w:spacing w:val="-8"/>
                <w:sz w:val="28"/>
                <w:szCs w:val="28"/>
                <w:shd w:val="clear" w:color="auto" w:fill="FFFFFF"/>
                <w:lang w:eastAsia="uk-UA"/>
              </w:rPr>
            </w:pPr>
            <w:r w:rsidRPr="00502399">
              <w:rPr>
                <w:rFonts w:ascii="Times New Roman" w:hAnsi="Times New Roman"/>
                <w:spacing w:val="-8"/>
                <w:sz w:val="28"/>
                <w:szCs w:val="28"/>
                <w:shd w:val="clear" w:color="auto" w:fill="FFFFFF"/>
                <w:lang w:eastAsia="uk-UA"/>
              </w:rPr>
              <w:t>у тому числі суб’єкти малого підприємництва</w:t>
            </w:r>
          </w:p>
        </w:tc>
        <w:tc>
          <w:tcPr>
            <w:tcW w:w="2179" w:type="dxa"/>
          </w:tcPr>
          <w:p w:rsidR="00AC7308" w:rsidRPr="00502399" w:rsidRDefault="00AC7308" w:rsidP="001061B1">
            <w:pPr>
              <w:widowControl w:val="0"/>
              <w:spacing w:after="0" w:line="240" w:lineRule="auto"/>
              <w:ind w:right="20"/>
              <w:jc w:val="center"/>
              <w:rPr>
                <w:rFonts w:ascii="Times New Roman" w:hAnsi="Times New Roman"/>
                <w:spacing w:val="-8"/>
                <w:sz w:val="28"/>
                <w:szCs w:val="28"/>
                <w:shd w:val="clear" w:color="auto" w:fill="FFFFFF"/>
                <w:lang w:eastAsia="uk-UA"/>
              </w:rPr>
            </w:pPr>
            <w:r w:rsidRPr="00502399">
              <w:rPr>
                <w:rFonts w:ascii="Times New Roman" w:hAnsi="Times New Roman"/>
                <w:spacing w:val="-8"/>
                <w:sz w:val="28"/>
                <w:szCs w:val="28"/>
                <w:shd w:val="clear" w:color="auto" w:fill="FFFFFF"/>
                <w:lang w:eastAsia="uk-UA"/>
              </w:rPr>
              <w:t>+</w:t>
            </w:r>
          </w:p>
        </w:tc>
        <w:tc>
          <w:tcPr>
            <w:tcW w:w="1625" w:type="dxa"/>
          </w:tcPr>
          <w:p w:rsidR="00AC7308" w:rsidRPr="00502399" w:rsidRDefault="00AC7308" w:rsidP="001061B1">
            <w:pPr>
              <w:widowControl w:val="0"/>
              <w:spacing w:after="0" w:line="240" w:lineRule="auto"/>
              <w:ind w:right="20"/>
              <w:jc w:val="center"/>
              <w:rPr>
                <w:rFonts w:ascii="Times New Roman" w:hAnsi="Times New Roman"/>
                <w:spacing w:val="-8"/>
                <w:sz w:val="28"/>
                <w:szCs w:val="28"/>
                <w:shd w:val="clear" w:color="auto" w:fill="FFFFFF"/>
                <w:lang w:eastAsia="uk-UA"/>
              </w:rPr>
            </w:pPr>
          </w:p>
        </w:tc>
      </w:tr>
    </w:tbl>
    <w:p w:rsidR="00AC7308" w:rsidRPr="00F947C4" w:rsidRDefault="00AC7308" w:rsidP="00AC7308">
      <w:pPr>
        <w:widowControl w:val="0"/>
        <w:spacing w:after="0" w:line="240" w:lineRule="auto"/>
        <w:ind w:right="23" w:firstLine="567"/>
        <w:jc w:val="both"/>
        <w:rPr>
          <w:rFonts w:ascii="Times New Roman" w:hAnsi="Times New Roman"/>
          <w:spacing w:val="-8"/>
          <w:sz w:val="12"/>
          <w:szCs w:val="12"/>
          <w:highlight w:val="yellow"/>
          <w:shd w:val="clear" w:color="auto" w:fill="FFFFFF"/>
          <w:lang w:eastAsia="uk-UA"/>
        </w:rPr>
      </w:pPr>
    </w:p>
    <w:p w:rsidR="00AC7308" w:rsidRPr="00502399" w:rsidRDefault="00AC7308" w:rsidP="00AC7308">
      <w:pPr>
        <w:widowControl w:val="0"/>
        <w:spacing w:after="0" w:line="240" w:lineRule="auto"/>
        <w:ind w:right="23" w:firstLine="567"/>
        <w:jc w:val="both"/>
        <w:rPr>
          <w:rFonts w:ascii="Times New Roman" w:hAnsi="Times New Roman"/>
          <w:spacing w:val="-8"/>
          <w:sz w:val="28"/>
          <w:szCs w:val="28"/>
          <w:lang w:eastAsia="uk-UA"/>
        </w:rPr>
      </w:pPr>
      <w:r w:rsidRPr="00502399">
        <w:rPr>
          <w:rFonts w:ascii="Times New Roman" w:hAnsi="Times New Roman"/>
          <w:spacing w:val="-8"/>
          <w:sz w:val="28"/>
          <w:szCs w:val="28"/>
          <w:shd w:val="clear" w:color="auto" w:fill="FFFFFF"/>
          <w:lang w:eastAsia="uk-UA"/>
        </w:rPr>
        <w:t xml:space="preserve">Врегулювання </w:t>
      </w:r>
      <w:r w:rsidRPr="00502399">
        <w:rPr>
          <w:rFonts w:ascii="Times New Roman" w:hAnsi="Times New Roman"/>
          <w:spacing w:val="-8"/>
          <w:sz w:val="28"/>
          <w:szCs w:val="28"/>
          <w:lang w:eastAsia="uk-UA"/>
        </w:rPr>
        <w:t xml:space="preserve">зазначених </w:t>
      </w:r>
      <w:r w:rsidRPr="00502399">
        <w:rPr>
          <w:rFonts w:ascii="Times New Roman" w:hAnsi="Times New Roman"/>
          <w:spacing w:val="-8"/>
          <w:sz w:val="28"/>
          <w:szCs w:val="28"/>
          <w:shd w:val="clear" w:color="auto" w:fill="FFFFFF"/>
          <w:lang w:eastAsia="uk-UA"/>
        </w:rPr>
        <w:t xml:space="preserve">питань не може бути здійснено за допомогою </w:t>
      </w:r>
      <w:r w:rsidRPr="00502399">
        <w:rPr>
          <w:rFonts w:ascii="Times New Roman" w:hAnsi="Times New Roman"/>
          <w:spacing w:val="-8"/>
          <w:sz w:val="28"/>
          <w:szCs w:val="28"/>
          <w:lang w:eastAsia="uk-UA"/>
        </w:rPr>
        <w:t>ринкових механізмів, оскільки ця проблема має бути врегульована на законодавчому рівні.</w:t>
      </w:r>
    </w:p>
    <w:p w:rsidR="00AC7308" w:rsidRPr="00502399" w:rsidRDefault="00AC7308" w:rsidP="00AC7308">
      <w:pPr>
        <w:widowControl w:val="0"/>
        <w:spacing w:after="0" w:line="240" w:lineRule="auto"/>
        <w:ind w:right="23" w:firstLine="567"/>
        <w:jc w:val="both"/>
        <w:rPr>
          <w:rFonts w:ascii="Times New Roman" w:hAnsi="Times New Roman"/>
          <w:spacing w:val="-8"/>
          <w:sz w:val="28"/>
          <w:szCs w:val="28"/>
          <w:lang w:eastAsia="uk-UA"/>
        </w:rPr>
      </w:pPr>
      <w:r w:rsidRPr="00502399">
        <w:rPr>
          <w:rFonts w:ascii="Times New Roman" w:hAnsi="Times New Roman"/>
          <w:spacing w:val="-8"/>
          <w:sz w:val="28"/>
          <w:szCs w:val="28"/>
          <w:lang w:eastAsia="uk-UA"/>
        </w:rPr>
        <w:t xml:space="preserve">Альтернативний регуляторний акт для вирішення </w:t>
      </w:r>
      <w:bookmarkStart w:id="0" w:name="bookmark2"/>
      <w:r w:rsidRPr="00502399">
        <w:rPr>
          <w:rFonts w:ascii="Times New Roman" w:hAnsi="Times New Roman"/>
          <w:spacing w:val="-8"/>
          <w:sz w:val="28"/>
          <w:szCs w:val="28"/>
          <w:lang w:eastAsia="uk-UA"/>
        </w:rPr>
        <w:t>даної проблеми відсутній.</w:t>
      </w:r>
    </w:p>
    <w:p w:rsidR="00AC7308" w:rsidRPr="00502399" w:rsidRDefault="00AC7308" w:rsidP="00AC7308">
      <w:pPr>
        <w:widowControl w:val="0"/>
        <w:spacing w:before="120" w:after="120" w:line="240" w:lineRule="auto"/>
        <w:ind w:right="23" w:firstLine="567"/>
        <w:jc w:val="both"/>
        <w:rPr>
          <w:rFonts w:ascii="Times New Roman" w:hAnsi="Times New Roman"/>
          <w:b/>
          <w:bCs/>
          <w:spacing w:val="-8"/>
          <w:sz w:val="28"/>
          <w:szCs w:val="28"/>
          <w:lang w:eastAsia="uk-UA"/>
        </w:rPr>
      </w:pPr>
      <w:r w:rsidRPr="00502399">
        <w:rPr>
          <w:rFonts w:ascii="Times New Roman" w:hAnsi="Times New Roman"/>
          <w:b/>
          <w:bCs/>
          <w:spacing w:val="-8"/>
          <w:sz w:val="28"/>
          <w:szCs w:val="28"/>
          <w:shd w:val="clear" w:color="auto" w:fill="FFFFFF"/>
          <w:lang w:eastAsia="uk-UA"/>
        </w:rPr>
        <w:t>ІІ. Цілі державного регулювання</w:t>
      </w:r>
      <w:bookmarkEnd w:id="0"/>
    </w:p>
    <w:p w:rsidR="00AC7308" w:rsidRPr="00502399" w:rsidRDefault="00AC7308" w:rsidP="00AC7308">
      <w:pPr>
        <w:widowControl w:val="0"/>
        <w:spacing w:after="0" w:line="240" w:lineRule="auto"/>
        <w:ind w:left="20" w:right="20" w:firstLine="547"/>
        <w:jc w:val="both"/>
        <w:rPr>
          <w:rFonts w:ascii="Times New Roman" w:hAnsi="Times New Roman"/>
          <w:kern w:val="28"/>
          <w:sz w:val="28"/>
          <w:szCs w:val="28"/>
          <w:lang w:eastAsia="ru-RU"/>
        </w:rPr>
      </w:pPr>
      <w:r w:rsidRPr="00502399">
        <w:rPr>
          <w:rFonts w:ascii="Times New Roman" w:hAnsi="Times New Roman"/>
          <w:spacing w:val="-8"/>
          <w:sz w:val="28"/>
          <w:szCs w:val="28"/>
          <w:shd w:val="clear" w:color="auto" w:fill="FFFFFF"/>
          <w:lang w:eastAsia="uk-UA"/>
        </w:rPr>
        <w:t xml:space="preserve">Метою підготовки </w:t>
      </w:r>
      <w:r w:rsidRPr="00502399">
        <w:rPr>
          <w:rFonts w:ascii="Times New Roman" w:hAnsi="Times New Roman"/>
          <w:kern w:val="28"/>
          <w:sz w:val="28"/>
          <w:szCs w:val="28"/>
          <w:lang w:eastAsia="ru-RU"/>
        </w:rPr>
        <w:t>законопроекту є:</w:t>
      </w:r>
    </w:p>
    <w:p w:rsidR="00AC7308" w:rsidRPr="00502399" w:rsidRDefault="00AC7308" w:rsidP="00AC7308">
      <w:pPr>
        <w:widowControl w:val="0"/>
        <w:spacing w:after="0" w:line="240" w:lineRule="auto"/>
        <w:ind w:left="20" w:right="20" w:firstLine="547"/>
        <w:jc w:val="both"/>
        <w:rPr>
          <w:rFonts w:ascii="Times New Roman" w:hAnsi="Times New Roman"/>
          <w:kern w:val="28"/>
          <w:sz w:val="28"/>
          <w:szCs w:val="28"/>
          <w:lang w:eastAsia="ru-RU"/>
        </w:rPr>
      </w:pPr>
      <w:r w:rsidRPr="00502399">
        <w:rPr>
          <w:rFonts w:ascii="Times New Roman" w:hAnsi="Times New Roman"/>
          <w:kern w:val="28"/>
          <w:sz w:val="28"/>
          <w:szCs w:val="28"/>
          <w:lang w:eastAsia="ru-RU"/>
        </w:rPr>
        <w:t>виконання  вимог пункту 2 Плану заходів з реалізації Основних напрямів розвитку системи запобігання та протидії;</w:t>
      </w:r>
    </w:p>
    <w:p w:rsidR="00AC7308" w:rsidRPr="00502399" w:rsidRDefault="00AC7308" w:rsidP="00AC7308">
      <w:pPr>
        <w:widowControl w:val="0"/>
        <w:spacing w:after="0" w:line="240" w:lineRule="auto"/>
        <w:ind w:left="20" w:right="20" w:firstLine="547"/>
        <w:jc w:val="both"/>
        <w:rPr>
          <w:rFonts w:ascii="Times New Roman" w:hAnsi="Times New Roman"/>
          <w:kern w:val="28"/>
          <w:sz w:val="28"/>
          <w:szCs w:val="28"/>
          <w:lang w:eastAsia="ru-RU"/>
        </w:rPr>
      </w:pPr>
      <w:r w:rsidRPr="00502399">
        <w:rPr>
          <w:rFonts w:ascii="Times New Roman" w:hAnsi="Times New Roman"/>
          <w:kern w:val="28"/>
          <w:sz w:val="28"/>
          <w:szCs w:val="28"/>
          <w:lang w:eastAsia="ru-RU"/>
        </w:rPr>
        <w:t>виконання вимог Національної економічної стратегії;</w:t>
      </w:r>
    </w:p>
    <w:p w:rsidR="00AC7308" w:rsidRPr="00502399" w:rsidRDefault="00AC7308" w:rsidP="00AC7308">
      <w:pPr>
        <w:widowControl w:val="0"/>
        <w:spacing w:after="0" w:line="240" w:lineRule="auto"/>
        <w:ind w:left="20" w:right="20" w:firstLine="547"/>
        <w:jc w:val="both"/>
        <w:rPr>
          <w:rFonts w:ascii="Times New Roman" w:hAnsi="Times New Roman"/>
          <w:kern w:val="28"/>
          <w:sz w:val="28"/>
          <w:szCs w:val="28"/>
          <w:lang w:eastAsia="ru-RU"/>
        </w:rPr>
      </w:pPr>
      <w:r w:rsidRPr="00502399">
        <w:rPr>
          <w:rFonts w:ascii="Times New Roman" w:hAnsi="Times New Roman"/>
          <w:kern w:val="28"/>
          <w:sz w:val="28"/>
          <w:szCs w:val="28"/>
          <w:lang w:eastAsia="ru-RU"/>
        </w:rPr>
        <w:t>виконання вимог пункту 37 Плану-графіка подання на розгляд Уряду проектів нормативно-правових актів у сфері європейської інтеграції у 2022 році.</w:t>
      </w:r>
    </w:p>
    <w:p w:rsidR="00AC7308" w:rsidRDefault="00AC7308" w:rsidP="00AC7308">
      <w:pPr>
        <w:widowControl w:val="0"/>
        <w:spacing w:after="0" w:line="240" w:lineRule="auto"/>
        <w:ind w:left="20" w:right="20" w:firstLine="547"/>
        <w:jc w:val="both"/>
        <w:rPr>
          <w:rFonts w:ascii="Times New Roman" w:hAnsi="Times New Roman"/>
          <w:kern w:val="28"/>
          <w:sz w:val="28"/>
          <w:szCs w:val="28"/>
          <w:lang w:eastAsia="ru-RU"/>
        </w:rPr>
      </w:pPr>
      <w:r w:rsidRPr="00502399">
        <w:rPr>
          <w:rFonts w:ascii="Times New Roman" w:hAnsi="Times New Roman"/>
          <w:kern w:val="28"/>
          <w:sz w:val="28"/>
          <w:szCs w:val="28"/>
          <w:lang w:eastAsia="ru-RU"/>
        </w:rPr>
        <w:t>Крім того, законопроект розроблено з метою виконання Директиви (ЄС) 2018/843, імплементацію якої передбачено Угодою про асоціацію.</w:t>
      </w:r>
    </w:p>
    <w:p w:rsidR="00646BB6" w:rsidRPr="00032224" w:rsidRDefault="00646BB6" w:rsidP="00646BB6">
      <w:pPr>
        <w:widowControl w:val="0"/>
        <w:spacing w:after="0" w:line="240" w:lineRule="auto"/>
        <w:ind w:left="20" w:right="20" w:firstLine="547"/>
        <w:jc w:val="both"/>
        <w:rPr>
          <w:rFonts w:ascii="Times New Roman" w:hAnsi="Times New Roman"/>
          <w:kern w:val="28"/>
          <w:sz w:val="28"/>
          <w:szCs w:val="28"/>
          <w:lang w:eastAsia="ru-RU"/>
        </w:rPr>
      </w:pPr>
      <w:r w:rsidRPr="00032224">
        <w:rPr>
          <w:rFonts w:ascii="Times New Roman" w:hAnsi="Times New Roman"/>
          <w:kern w:val="28"/>
          <w:sz w:val="28"/>
          <w:szCs w:val="28"/>
          <w:lang w:eastAsia="ru-RU"/>
        </w:rPr>
        <w:t xml:space="preserve">Законопроектом пропонується передбачити: </w:t>
      </w:r>
    </w:p>
    <w:p w:rsidR="00646BB6" w:rsidRPr="00032224" w:rsidRDefault="00646BB6" w:rsidP="00646BB6">
      <w:pPr>
        <w:widowControl w:val="0"/>
        <w:spacing w:after="0" w:line="240" w:lineRule="auto"/>
        <w:ind w:left="20" w:right="20" w:firstLine="547"/>
        <w:jc w:val="both"/>
        <w:rPr>
          <w:rFonts w:ascii="Times New Roman" w:hAnsi="Times New Roman"/>
          <w:kern w:val="28"/>
          <w:sz w:val="28"/>
          <w:szCs w:val="28"/>
          <w:lang w:eastAsia="ru-RU"/>
        </w:rPr>
      </w:pPr>
      <w:r w:rsidRPr="00032224">
        <w:rPr>
          <w:rFonts w:ascii="Times New Roman" w:hAnsi="Times New Roman"/>
          <w:kern w:val="28"/>
          <w:sz w:val="28"/>
          <w:szCs w:val="28"/>
          <w:lang w:eastAsia="ru-RU"/>
        </w:rPr>
        <w:t xml:space="preserve">запровадження </w:t>
      </w:r>
      <w:r>
        <w:rPr>
          <w:rFonts w:ascii="Times New Roman" w:hAnsi="Times New Roman"/>
          <w:kern w:val="28"/>
          <w:sz w:val="28"/>
          <w:szCs w:val="28"/>
          <w:lang w:eastAsia="ru-RU"/>
        </w:rPr>
        <w:t>Є</w:t>
      </w:r>
      <w:r w:rsidRPr="00032224">
        <w:rPr>
          <w:rFonts w:ascii="Times New Roman" w:hAnsi="Times New Roman"/>
          <w:kern w:val="28"/>
          <w:sz w:val="28"/>
          <w:szCs w:val="28"/>
          <w:lang w:eastAsia="ru-RU"/>
        </w:rPr>
        <w:t xml:space="preserve">диного реєстру; </w:t>
      </w:r>
    </w:p>
    <w:p w:rsidR="00646BB6" w:rsidRPr="00032224" w:rsidRDefault="00646BB6" w:rsidP="00646BB6">
      <w:pPr>
        <w:widowControl w:val="0"/>
        <w:spacing w:after="0" w:line="240" w:lineRule="auto"/>
        <w:ind w:left="20" w:right="20" w:firstLine="547"/>
        <w:jc w:val="both"/>
        <w:rPr>
          <w:rFonts w:ascii="Times New Roman" w:hAnsi="Times New Roman"/>
          <w:kern w:val="28"/>
          <w:sz w:val="28"/>
          <w:szCs w:val="28"/>
          <w:lang w:eastAsia="ru-RU"/>
        </w:rPr>
      </w:pPr>
      <w:r w:rsidRPr="00032224">
        <w:rPr>
          <w:rFonts w:ascii="Times New Roman" w:hAnsi="Times New Roman"/>
          <w:kern w:val="28"/>
          <w:sz w:val="28"/>
          <w:szCs w:val="28"/>
          <w:lang w:eastAsia="ru-RU"/>
        </w:rPr>
        <w:t xml:space="preserve">встановлення відомостей, які вносяться до </w:t>
      </w:r>
      <w:r>
        <w:rPr>
          <w:rFonts w:ascii="Times New Roman" w:hAnsi="Times New Roman"/>
          <w:kern w:val="28"/>
          <w:sz w:val="28"/>
          <w:szCs w:val="28"/>
          <w:lang w:eastAsia="ru-RU"/>
        </w:rPr>
        <w:t>Є</w:t>
      </w:r>
      <w:r w:rsidRPr="00032224">
        <w:rPr>
          <w:rFonts w:ascii="Times New Roman" w:hAnsi="Times New Roman"/>
          <w:kern w:val="28"/>
          <w:sz w:val="28"/>
          <w:szCs w:val="28"/>
          <w:lang w:eastAsia="ru-RU"/>
        </w:rPr>
        <w:t xml:space="preserve">диного реєстру; </w:t>
      </w:r>
    </w:p>
    <w:p w:rsidR="00646BB6" w:rsidRPr="00032224" w:rsidRDefault="00646BB6" w:rsidP="00646BB6">
      <w:pPr>
        <w:widowControl w:val="0"/>
        <w:spacing w:after="0" w:line="240" w:lineRule="auto"/>
        <w:ind w:left="20" w:right="20" w:firstLine="547"/>
        <w:jc w:val="both"/>
        <w:rPr>
          <w:rFonts w:ascii="Times New Roman" w:hAnsi="Times New Roman"/>
          <w:kern w:val="28"/>
          <w:sz w:val="28"/>
          <w:szCs w:val="28"/>
          <w:lang w:eastAsia="ru-RU"/>
        </w:rPr>
      </w:pPr>
      <w:r w:rsidRPr="00032224">
        <w:rPr>
          <w:rFonts w:ascii="Times New Roman" w:hAnsi="Times New Roman"/>
          <w:kern w:val="28"/>
          <w:sz w:val="28"/>
          <w:szCs w:val="28"/>
          <w:lang w:eastAsia="ru-RU"/>
        </w:rPr>
        <w:t xml:space="preserve">подання Центральним депозитарієм, депозитарними установами, Національним банком України, банками та іншими фінансовими установами до ДПС відомостей до </w:t>
      </w:r>
      <w:r>
        <w:rPr>
          <w:rFonts w:ascii="Times New Roman" w:hAnsi="Times New Roman"/>
          <w:kern w:val="28"/>
          <w:sz w:val="28"/>
          <w:szCs w:val="28"/>
          <w:lang w:eastAsia="ru-RU"/>
        </w:rPr>
        <w:t>Є</w:t>
      </w:r>
      <w:r w:rsidRPr="00032224">
        <w:rPr>
          <w:rFonts w:ascii="Times New Roman" w:hAnsi="Times New Roman"/>
          <w:kern w:val="28"/>
          <w:sz w:val="28"/>
          <w:szCs w:val="28"/>
          <w:lang w:eastAsia="ru-RU"/>
        </w:rPr>
        <w:t xml:space="preserve">диного реєстру; </w:t>
      </w:r>
    </w:p>
    <w:p w:rsidR="00646BB6" w:rsidRPr="00032224" w:rsidRDefault="00646BB6" w:rsidP="00646BB6">
      <w:pPr>
        <w:widowControl w:val="0"/>
        <w:spacing w:after="0" w:line="240" w:lineRule="auto"/>
        <w:ind w:left="20" w:right="20" w:firstLine="547"/>
        <w:jc w:val="both"/>
        <w:rPr>
          <w:rFonts w:ascii="Times New Roman" w:hAnsi="Times New Roman"/>
          <w:kern w:val="28"/>
          <w:sz w:val="28"/>
          <w:szCs w:val="28"/>
          <w:lang w:eastAsia="ru-RU"/>
        </w:rPr>
      </w:pPr>
      <w:r w:rsidRPr="00032224">
        <w:rPr>
          <w:rFonts w:ascii="Times New Roman" w:hAnsi="Times New Roman"/>
          <w:kern w:val="28"/>
          <w:sz w:val="28"/>
          <w:szCs w:val="28"/>
          <w:lang w:eastAsia="ru-RU"/>
        </w:rPr>
        <w:t xml:space="preserve">Положення про </w:t>
      </w:r>
      <w:r>
        <w:rPr>
          <w:rFonts w:ascii="Times New Roman" w:hAnsi="Times New Roman"/>
          <w:kern w:val="28"/>
          <w:sz w:val="28"/>
          <w:szCs w:val="28"/>
          <w:lang w:eastAsia="ru-RU"/>
        </w:rPr>
        <w:t>Є</w:t>
      </w:r>
      <w:r w:rsidRPr="00032224">
        <w:rPr>
          <w:rFonts w:ascii="Times New Roman" w:hAnsi="Times New Roman"/>
          <w:kern w:val="28"/>
          <w:sz w:val="28"/>
          <w:szCs w:val="28"/>
          <w:lang w:eastAsia="ru-RU"/>
        </w:rPr>
        <w:t>дин</w:t>
      </w:r>
      <w:r>
        <w:rPr>
          <w:rFonts w:ascii="Times New Roman" w:hAnsi="Times New Roman"/>
          <w:kern w:val="28"/>
          <w:sz w:val="28"/>
          <w:szCs w:val="28"/>
          <w:lang w:eastAsia="ru-RU"/>
        </w:rPr>
        <w:t>ий реєстр</w:t>
      </w:r>
      <w:r w:rsidRPr="00032224">
        <w:rPr>
          <w:rFonts w:ascii="Times New Roman" w:hAnsi="Times New Roman"/>
          <w:kern w:val="28"/>
          <w:sz w:val="28"/>
          <w:szCs w:val="28"/>
          <w:lang w:eastAsia="ru-RU"/>
        </w:rPr>
        <w:t xml:space="preserve">, порядок його формування, ведення і доступу до нього затверджуються Кабінетом Міністрів України спільно з Національним банком України. </w:t>
      </w:r>
    </w:p>
    <w:p w:rsidR="00646BB6" w:rsidRPr="00502399" w:rsidRDefault="00646BB6" w:rsidP="00646BB6">
      <w:pPr>
        <w:widowControl w:val="0"/>
        <w:spacing w:after="0" w:line="240" w:lineRule="auto"/>
        <w:ind w:left="20" w:right="20" w:firstLine="547"/>
        <w:jc w:val="both"/>
        <w:rPr>
          <w:rFonts w:ascii="Times New Roman" w:hAnsi="Times New Roman"/>
          <w:kern w:val="28"/>
          <w:sz w:val="28"/>
          <w:szCs w:val="28"/>
          <w:lang w:eastAsia="ru-RU"/>
        </w:rPr>
      </w:pPr>
      <w:r w:rsidRPr="00032224">
        <w:rPr>
          <w:rFonts w:ascii="Times New Roman" w:hAnsi="Times New Roman"/>
          <w:kern w:val="28"/>
          <w:sz w:val="28"/>
          <w:szCs w:val="28"/>
          <w:lang w:eastAsia="ru-RU"/>
        </w:rPr>
        <w:t>Прикінцевими положеннями законопроекту пропонується передбачити, що цей Закон набирає чинності одночасно з набранням чинності Законом України «Про внесення змін до Податкового кодексу України щодо створення єдиного реєстру рахунків фізичних і юридичних осіб та індивідуальних банківських сейфів» і відповідно Уряду протягом трьох місяців подати на розгляд Верховної Ради України зазначений проект змін до Податкового Кодексу.</w:t>
      </w:r>
    </w:p>
    <w:p w:rsidR="00646BB6" w:rsidRPr="00502399" w:rsidRDefault="00646BB6" w:rsidP="00AC7308">
      <w:pPr>
        <w:widowControl w:val="0"/>
        <w:spacing w:after="0" w:line="240" w:lineRule="auto"/>
        <w:ind w:left="20" w:right="20" w:firstLine="547"/>
        <w:jc w:val="both"/>
        <w:rPr>
          <w:rFonts w:ascii="Times New Roman" w:hAnsi="Times New Roman"/>
          <w:kern w:val="28"/>
          <w:sz w:val="28"/>
          <w:szCs w:val="28"/>
          <w:lang w:eastAsia="ru-RU"/>
        </w:rPr>
      </w:pPr>
    </w:p>
    <w:p w:rsidR="00AC7308" w:rsidRPr="00502399" w:rsidRDefault="00AC7308" w:rsidP="00AC7308">
      <w:pPr>
        <w:widowControl w:val="0"/>
        <w:spacing w:before="120" w:after="120" w:line="240" w:lineRule="auto"/>
        <w:ind w:left="23" w:right="23" w:firstLine="459"/>
        <w:jc w:val="both"/>
        <w:rPr>
          <w:rFonts w:ascii="Times New Roman" w:hAnsi="Times New Roman"/>
          <w:b/>
          <w:bCs/>
          <w:spacing w:val="-8"/>
          <w:sz w:val="28"/>
          <w:szCs w:val="28"/>
          <w:shd w:val="clear" w:color="auto" w:fill="FFFFFF"/>
          <w:lang w:eastAsia="uk-UA"/>
        </w:rPr>
      </w:pPr>
      <w:r w:rsidRPr="00502399">
        <w:rPr>
          <w:rFonts w:ascii="Times New Roman" w:hAnsi="Times New Roman"/>
          <w:b/>
          <w:bCs/>
          <w:spacing w:val="-8"/>
          <w:sz w:val="28"/>
          <w:szCs w:val="28"/>
          <w:shd w:val="clear" w:color="auto" w:fill="FFFFFF"/>
          <w:lang w:eastAsia="uk-UA"/>
        </w:rPr>
        <w:lastRenderedPageBreak/>
        <w:t>ІІІ. Визначення та оцінка альтернативних способів досягнення цілей</w:t>
      </w:r>
    </w:p>
    <w:p w:rsidR="00AC7308" w:rsidRDefault="00AC7308" w:rsidP="00AC7308">
      <w:pPr>
        <w:numPr>
          <w:ilvl w:val="0"/>
          <w:numId w:val="7"/>
        </w:numPr>
        <w:tabs>
          <w:tab w:val="left" w:pos="851"/>
        </w:tabs>
        <w:spacing w:after="0" w:line="240" w:lineRule="auto"/>
        <w:ind w:left="0" w:firstLine="567"/>
        <w:jc w:val="both"/>
        <w:rPr>
          <w:rFonts w:ascii="Times New Roman" w:hAnsi="Times New Roman"/>
          <w:spacing w:val="-8"/>
          <w:sz w:val="28"/>
          <w:szCs w:val="28"/>
        </w:rPr>
      </w:pPr>
      <w:r w:rsidRPr="00502399">
        <w:rPr>
          <w:rFonts w:ascii="Times New Roman" w:hAnsi="Times New Roman"/>
          <w:spacing w:val="-8"/>
          <w:sz w:val="28"/>
          <w:szCs w:val="28"/>
        </w:rPr>
        <w:t>Альтернативні способи досягнення цілей державного</w:t>
      </w:r>
      <w:r>
        <w:rPr>
          <w:rFonts w:ascii="Times New Roman" w:hAnsi="Times New Roman"/>
          <w:spacing w:val="-8"/>
          <w:sz w:val="28"/>
          <w:szCs w:val="28"/>
        </w:rPr>
        <w:t xml:space="preserve"> регулювання:</w:t>
      </w:r>
    </w:p>
    <w:p w:rsidR="00AC7308" w:rsidRPr="0099687A" w:rsidRDefault="00AC7308" w:rsidP="00AC7308">
      <w:pPr>
        <w:tabs>
          <w:tab w:val="left" w:pos="851"/>
        </w:tabs>
        <w:spacing w:after="0" w:line="240" w:lineRule="auto"/>
        <w:ind w:left="567"/>
        <w:jc w:val="both"/>
        <w:rPr>
          <w:rFonts w:ascii="Times New Roman" w:hAnsi="Times New Roman"/>
          <w:spacing w:val="-8"/>
          <w:sz w:val="8"/>
          <w:szCs w:val="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1"/>
        <w:gridCol w:w="6488"/>
      </w:tblGrid>
      <w:tr w:rsidR="00AC7308" w:rsidTr="001061B1">
        <w:tc>
          <w:tcPr>
            <w:tcW w:w="3151" w:type="dxa"/>
          </w:tcPr>
          <w:p w:rsidR="00AC7308" w:rsidRPr="0099687A" w:rsidRDefault="00AC7308" w:rsidP="001061B1">
            <w:pPr>
              <w:spacing w:after="0" w:line="240" w:lineRule="auto"/>
              <w:jc w:val="both"/>
              <w:rPr>
                <w:rFonts w:ascii="Times New Roman" w:hAnsi="Times New Roman"/>
                <w:b/>
                <w:spacing w:val="-8"/>
                <w:sz w:val="24"/>
                <w:szCs w:val="24"/>
              </w:rPr>
            </w:pPr>
            <w:r w:rsidRPr="0099687A">
              <w:rPr>
                <w:rFonts w:ascii="Times New Roman" w:hAnsi="Times New Roman"/>
                <w:b/>
                <w:spacing w:val="-8"/>
                <w:sz w:val="24"/>
                <w:szCs w:val="24"/>
              </w:rPr>
              <w:t>Вид альтернативи</w:t>
            </w:r>
          </w:p>
        </w:tc>
        <w:tc>
          <w:tcPr>
            <w:tcW w:w="6488" w:type="dxa"/>
          </w:tcPr>
          <w:p w:rsidR="00AC7308" w:rsidRPr="0099687A" w:rsidRDefault="00AC7308" w:rsidP="001061B1">
            <w:pPr>
              <w:spacing w:after="0" w:line="240" w:lineRule="auto"/>
              <w:jc w:val="both"/>
              <w:rPr>
                <w:rFonts w:ascii="Times New Roman" w:hAnsi="Times New Roman"/>
                <w:b/>
                <w:spacing w:val="-8"/>
                <w:sz w:val="24"/>
                <w:szCs w:val="24"/>
              </w:rPr>
            </w:pPr>
            <w:r w:rsidRPr="0099687A">
              <w:rPr>
                <w:rFonts w:ascii="Times New Roman" w:hAnsi="Times New Roman"/>
                <w:b/>
                <w:spacing w:val="-8"/>
                <w:sz w:val="24"/>
                <w:szCs w:val="24"/>
              </w:rPr>
              <w:t>Опис альтернативи</w:t>
            </w:r>
          </w:p>
        </w:tc>
      </w:tr>
      <w:tr w:rsidR="00AC7308" w:rsidTr="001061B1">
        <w:tc>
          <w:tcPr>
            <w:tcW w:w="3151" w:type="dxa"/>
          </w:tcPr>
          <w:p w:rsidR="00AC7308" w:rsidRPr="0099687A" w:rsidRDefault="00AC7308" w:rsidP="001061B1">
            <w:pPr>
              <w:spacing w:after="0" w:line="240" w:lineRule="auto"/>
              <w:jc w:val="both"/>
              <w:rPr>
                <w:rFonts w:ascii="Times New Roman" w:hAnsi="Times New Roman"/>
                <w:spacing w:val="-8"/>
                <w:sz w:val="24"/>
                <w:szCs w:val="24"/>
              </w:rPr>
            </w:pPr>
            <w:r w:rsidRPr="0099687A">
              <w:rPr>
                <w:rFonts w:ascii="Times New Roman" w:hAnsi="Times New Roman"/>
                <w:spacing w:val="-8"/>
                <w:sz w:val="24"/>
                <w:szCs w:val="24"/>
              </w:rPr>
              <w:t xml:space="preserve">Відсутність регулювання </w:t>
            </w:r>
          </w:p>
        </w:tc>
        <w:tc>
          <w:tcPr>
            <w:tcW w:w="6488" w:type="dxa"/>
          </w:tcPr>
          <w:p w:rsidR="00AC7308" w:rsidRPr="0099687A" w:rsidRDefault="00AC7308" w:rsidP="001061B1">
            <w:pPr>
              <w:spacing w:after="0" w:line="240" w:lineRule="auto"/>
              <w:jc w:val="both"/>
              <w:rPr>
                <w:rFonts w:ascii="Times New Roman" w:hAnsi="Times New Roman"/>
                <w:spacing w:val="-8"/>
                <w:sz w:val="24"/>
                <w:szCs w:val="24"/>
              </w:rPr>
            </w:pPr>
            <w:r w:rsidRPr="0099687A">
              <w:rPr>
                <w:rFonts w:ascii="Times New Roman" w:hAnsi="Times New Roman"/>
                <w:spacing w:val="-8"/>
                <w:sz w:val="24"/>
                <w:szCs w:val="24"/>
              </w:rPr>
              <w:t>Не забезпечить імплементацію міжнародних стандартів Європейського союзу, що призведе до невико</w:t>
            </w:r>
            <w:r w:rsidR="00E8622D">
              <w:rPr>
                <w:rFonts w:ascii="Times New Roman" w:hAnsi="Times New Roman"/>
                <w:spacing w:val="-8"/>
                <w:sz w:val="24"/>
                <w:szCs w:val="24"/>
              </w:rPr>
              <w:t>нання норм Угоди про асоціацію</w:t>
            </w:r>
          </w:p>
        </w:tc>
      </w:tr>
      <w:tr w:rsidR="00AC7308" w:rsidTr="001061B1">
        <w:tc>
          <w:tcPr>
            <w:tcW w:w="3151" w:type="dxa"/>
          </w:tcPr>
          <w:p w:rsidR="00AC7308" w:rsidRPr="0099687A" w:rsidRDefault="00AC7308" w:rsidP="001061B1">
            <w:pPr>
              <w:spacing w:after="0" w:line="240" w:lineRule="auto"/>
              <w:jc w:val="both"/>
              <w:rPr>
                <w:rFonts w:ascii="Times New Roman" w:hAnsi="Times New Roman"/>
                <w:spacing w:val="-8"/>
                <w:sz w:val="24"/>
                <w:szCs w:val="24"/>
              </w:rPr>
            </w:pPr>
            <w:r w:rsidRPr="0099687A">
              <w:rPr>
                <w:rFonts w:ascii="Times New Roman" w:hAnsi="Times New Roman"/>
                <w:spacing w:val="-8"/>
                <w:sz w:val="24"/>
                <w:szCs w:val="24"/>
              </w:rPr>
              <w:t xml:space="preserve">Затвердження регуляторного </w:t>
            </w:r>
            <w:proofErr w:type="spellStart"/>
            <w:r w:rsidRPr="0099687A">
              <w:rPr>
                <w:rFonts w:ascii="Times New Roman" w:hAnsi="Times New Roman"/>
                <w:spacing w:val="-8"/>
                <w:sz w:val="24"/>
                <w:szCs w:val="24"/>
              </w:rPr>
              <w:t>акта</w:t>
            </w:r>
            <w:proofErr w:type="spellEnd"/>
            <w:r w:rsidRPr="0099687A">
              <w:rPr>
                <w:rFonts w:ascii="Times New Roman" w:hAnsi="Times New Roman"/>
                <w:spacing w:val="-8"/>
                <w:sz w:val="24"/>
                <w:szCs w:val="24"/>
              </w:rPr>
              <w:t xml:space="preserve"> </w:t>
            </w:r>
          </w:p>
        </w:tc>
        <w:tc>
          <w:tcPr>
            <w:tcW w:w="6488" w:type="dxa"/>
          </w:tcPr>
          <w:p w:rsidR="00AC7308" w:rsidRPr="0099687A" w:rsidRDefault="00AC7308" w:rsidP="001061B1">
            <w:pPr>
              <w:spacing w:after="0" w:line="240" w:lineRule="auto"/>
              <w:jc w:val="both"/>
              <w:rPr>
                <w:rFonts w:ascii="Times New Roman" w:hAnsi="Times New Roman"/>
                <w:spacing w:val="-8"/>
                <w:sz w:val="24"/>
                <w:szCs w:val="24"/>
              </w:rPr>
            </w:pPr>
            <w:r w:rsidRPr="0099687A">
              <w:rPr>
                <w:rFonts w:ascii="Times New Roman" w:hAnsi="Times New Roman"/>
                <w:spacing w:val="-8"/>
                <w:sz w:val="24"/>
                <w:szCs w:val="24"/>
              </w:rPr>
              <w:t>Прогрес у розбудові національної системи фінансового моніторингу та підтвердження зростання ефективності дій учасн</w:t>
            </w:r>
            <w:r w:rsidR="00E8622D">
              <w:rPr>
                <w:rFonts w:ascii="Times New Roman" w:hAnsi="Times New Roman"/>
                <w:spacing w:val="-8"/>
                <w:sz w:val="24"/>
                <w:szCs w:val="24"/>
              </w:rPr>
              <w:t xml:space="preserve">иків </w:t>
            </w:r>
            <w:proofErr w:type="spellStart"/>
            <w:r w:rsidR="00E8622D">
              <w:rPr>
                <w:rFonts w:ascii="Times New Roman" w:hAnsi="Times New Roman"/>
                <w:spacing w:val="-8"/>
                <w:sz w:val="24"/>
                <w:szCs w:val="24"/>
              </w:rPr>
              <w:t>антилегалізаційної</w:t>
            </w:r>
            <w:proofErr w:type="spellEnd"/>
            <w:r w:rsidR="00E8622D">
              <w:rPr>
                <w:rFonts w:ascii="Times New Roman" w:hAnsi="Times New Roman"/>
                <w:spacing w:val="-8"/>
                <w:sz w:val="24"/>
                <w:szCs w:val="24"/>
              </w:rPr>
              <w:t xml:space="preserve"> системи</w:t>
            </w:r>
          </w:p>
        </w:tc>
      </w:tr>
    </w:tbl>
    <w:p w:rsidR="00AC7308" w:rsidRDefault="00AC7308" w:rsidP="00AC7308">
      <w:pPr>
        <w:spacing w:before="120" w:after="0" w:line="240" w:lineRule="auto"/>
        <w:ind w:firstLine="567"/>
        <w:jc w:val="both"/>
        <w:rPr>
          <w:rFonts w:ascii="Times New Roman" w:hAnsi="Times New Roman"/>
          <w:spacing w:val="-8"/>
          <w:sz w:val="28"/>
          <w:szCs w:val="28"/>
        </w:rPr>
      </w:pPr>
      <w:r>
        <w:rPr>
          <w:rFonts w:ascii="Times New Roman" w:hAnsi="Times New Roman"/>
          <w:spacing w:val="-8"/>
          <w:sz w:val="28"/>
          <w:szCs w:val="28"/>
        </w:rPr>
        <w:t xml:space="preserve">Інші прийнятні альтернативні способи досягнення цілей державного регулювання відсутні. </w:t>
      </w:r>
    </w:p>
    <w:p w:rsidR="00AC7308" w:rsidRDefault="00AC7308" w:rsidP="00AC7308">
      <w:pPr>
        <w:spacing w:before="120" w:after="0" w:line="240" w:lineRule="auto"/>
        <w:ind w:firstLine="567"/>
        <w:jc w:val="both"/>
        <w:rPr>
          <w:rFonts w:ascii="Times New Roman" w:hAnsi="Times New Roman"/>
          <w:spacing w:val="-8"/>
          <w:sz w:val="28"/>
          <w:szCs w:val="28"/>
        </w:rPr>
      </w:pPr>
      <w:r>
        <w:rPr>
          <w:rFonts w:ascii="Times New Roman" w:hAnsi="Times New Roman"/>
          <w:spacing w:val="-8"/>
          <w:sz w:val="28"/>
          <w:szCs w:val="28"/>
        </w:rPr>
        <w:t>2. Оцінка вибраних альтернативних способів досягнення цілей</w:t>
      </w:r>
    </w:p>
    <w:p w:rsidR="00AC7308" w:rsidRDefault="00AC7308" w:rsidP="00AC7308">
      <w:pPr>
        <w:spacing w:after="120" w:line="240" w:lineRule="auto"/>
        <w:ind w:firstLine="567"/>
        <w:jc w:val="both"/>
        <w:rPr>
          <w:rFonts w:ascii="Times New Roman" w:hAnsi="Times New Roman"/>
          <w:spacing w:val="-8"/>
          <w:sz w:val="28"/>
          <w:szCs w:val="28"/>
        </w:rPr>
      </w:pPr>
      <w:r>
        <w:rPr>
          <w:rFonts w:ascii="Times New Roman" w:hAnsi="Times New Roman"/>
          <w:spacing w:val="-8"/>
          <w:sz w:val="28"/>
          <w:szCs w:val="28"/>
        </w:rPr>
        <w:t>Оцінка впливу на сферу інтересів держави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4793"/>
        <w:gridCol w:w="3118"/>
      </w:tblGrid>
      <w:tr w:rsidR="00AC7308" w:rsidTr="001061B1">
        <w:trPr>
          <w:trHeight w:val="247"/>
        </w:trPr>
        <w:tc>
          <w:tcPr>
            <w:tcW w:w="1728" w:type="dxa"/>
          </w:tcPr>
          <w:p w:rsidR="00AC7308" w:rsidRPr="0099687A" w:rsidRDefault="00AC7308" w:rsidP="001061B1">
            <w:pPr>
              <w:spacing w:after="0" w:line="240" w:lineRule="auto"/>
              <w:jc w:val="center"/>
              <w:rPr>
                <w:rFonts w:ascii="Times New Roman" w:hAnsi="Times New Roman"/>
                <w:b/>
                <w:spacing w:val="-8"/>
                <w:sz w:val="24"/>
                <w:szCs w:val="24"/>
              </w:rPr>
            </w:pPr>
            <w:r w:rsidRPr="0099687A">
              <w:rPr>
                <w:rFonts w:ascii="Times New Roman" w:hAnsi="Times New Roman"/>
                <w:b/>
                <w:spacing w:val="-8"/>
                <w:sz w:val="24"/>
                <w:szCs w:val="24"/>
              </w:rPr>
              <w:t>Вид альтернативи</w:t>
            </w:r>
          </w:p>
        </w:tc>
        <w:tc>
          <w:tcPr>
            <w:tcW w:w="4793" w:type="dxa"/>
          </w:tcPr>
          <w:p w:rsidR="00AC7308" w:rsidRPr="0099687A" w:rsidRDefault="00AC7308" w:rsidP="001061B1">
            <w:pPr>
              <w:spacing w:after="0" w:line="240" w:lineRule="auto"/>
              <w:jc w:val="center"/>
              <w:rPr>
                <w:rFonts w:ascii="Times New Roman" w:hAnsi="Times New Roman"/>
                <w:b/>
                <w:spacing w:val="-8"/>
                <w:sz w:val="24"/>
                <w:szCs w:val="24"/>
              </w:rPr>
            </w:pPr>
            <w:r w:rsidRPr="0099687A">
              <w:rPr>
                <w:rFonts w:ascii="Times New Roman" w:hAnsi="Times New Roman"/>
                <w:b/>
                <w:spacing w:val="-8"/>
                <w:sz w:val="24"/>
                <w:szCs w:val="24"/>
              </w:rPr>
              <w:t>Вигоди</w:t>
            </w:r>
          </w:p>
        </w:tc>
        <w:tc>
          <w:tcPr>
            <w:tcW w:w="3118" w:type="dxa"/>
          </w:tcPr>
          <w:p w:rsidR="00AC7308" w:rsidRPr="0099687A" w:rsidRDefault="00AC7308" w:rsidP="001061B1">
            <w:pPr>
              <w:spacing w:after="0" w:line="240" w:lineRule="auto"/>
              <w:jc w:val="center"/>
              <w:rPr>
                <w:rFonts w:ascii="Times New Roman" w:hAnsi="Times New Roman"/>
                <w:b/>
                <w:spacing w:val="-8"/>
                <w:sz w:val="24"/>
                <w:szCs w:val="24"/>
              </w:rPr>
            </w:pPr>
            <w:r w:rsidRPr="0099687A">
              <w:rPr>
                <w:rFonts w:ascii="Times New Roman" w:hAnsi="Times New Roman"/>
                <w:b/>
                <w:spacing w:val="-8"/>
                <w:sz w:val="24"/>
                <w:szCs w:val="24"/>
              </w:rPr>
              <w:t>Витрати</w:t>
            </w:r>
          </w:p>
        </w:tc>
      </w:tr>
      <w:tr w:rsidR="00AC7308" w:rsidTr="001061B1">
        <w:trPr>
          <w:trHeight w:val="586"/>
        </w:trPr>
        <w:tc>
          <w:tcPr>
            <w:tcW w:w="1728" w:type="dxa"/>
          </w:tcPr>
          <w:p w:rsidR="00AC7308" w:rsidRPr="0099687A" w:rsidRDefault="00AC7308" w:rsidP="001061B1">
            <w:pPr>
              <w:spacing w:after="0" w:line="240" w:lineRule="auto"/>
              <w:jc w:val="both"/>
              <w:rPr>
                <w:rFonts w:ascii="Times New Roman" w:hAnsi="Times New Roman"/>
                <w:spacing w:val="-8"/>
                <w:sz w:val="24"/>
                <w:szCs w:val="24"/>
              </w:rPr>
            </w:pPr>
            <w:r w:rsidRPr="0099687A">
              <w:rPr>
                <w:rFonts w:ascii="Times New Roman" w:hAnsi="Times New Roman"/>
                <w:spacing w:val="-8"/>
                <w:sz w:val="24"/>
                <w:szCs w:val="24"/>
              </w:rPr>
              <w:t xml:space="preserve">Відсутність регулювання </w:t>
            </w:r>
          </w:p>
        </w:tc>
        <w:tc>
          <w:tcPr>
            <w:tcW w:w="4793" w:type="dxa"/>
          </w:tcPr>
          <w:p w:rsidR="00AC7308" w:rsidRPr="0099687A" w:rsidRDefault="00AC7308" w:rsidP="001061B1">
            <w:pPr>
              <w:spacing w:after="0" w:line="240" w:lineRule="auto"/>
              <w:jc w:val="both"/>
              <w:rPr>
                <w:rFonts w:ascii="Times New Roman" w:hAnsi="Times New Roman"/>
                <w:spacing w:val="-8"/>
                <w:sz w:val="24"/>
                <w:szCs w:val="24"/>
              </w:rPr>
            </w:pPr>
            <w:r w:rsidRPr="0099687A">
              <w:rPr>
                <w:rFonts w:ascii="Times New Roman" w:hAnsi="Times New Roman"/>
                <w:spacing w:val="-8"/>
                <w:sz w:val="24"/>
                <w:szCs w:val="24"/>
              </w:rPr>
              <w:t>Відсутні</w:t>
            </w:r>
          </w:p>
        </w:tc>
        <w:tc>
          <w:tcPr>
            <w:tcW w:w="3118" w:type="dxa"/>
          </w:tcPr>
          <w:p w:rsidR="00AC7308" w:rsidRPr="0099687A" w:rsidRDefault="00AC7308" w:rsidP="001061B1">
            <w:pPr>
              <w:spacing w:after="0" w:line="240" w:lineRule="auto"/>
              <w:jc w:val="both"/>
              <w:rPr>
                <w:rFonts w:ascii="Times New Roman" w:hAnsi="Times New Roman"/>
                <w:spacing w:val="-8"/>
                <w:sz w:val="24"/>
                <w:szCs w:val="24"/>
              </w:rPr>
            </w:pPr>
            <w:r w:rsidRPr="0099687A">
              <w:rPr>
                <w:rFonts w:ascii="Times New Roman" w:hAnsi="Times New Roman"/>
                <w:spacing w:val="-8"/>
                <w:sz w:val="24"/>
                <w:szCs w:val="24"/>
              </w:rPr>
              <w:t>Відсутні</w:t>
            </w:r>
          </w:p>
          <w:p w:rsidR="00AC7308" w:rsidRPr="0099687A" w:rsidRDefault="00AC7308" w:rsidP="001061B1">
            <w:pPr>
              <w:spacing w:after="0" w:line="240" w:lineRule="auto"/>
              <w:jc w:val="both"/>
              <w:rPr>
                <w:rFonts w:ascii="Times New Roman" w:hAnsi="Times New Roman"/>
                <w:spacing w:val="-8"/>
                <w:sz w:val="24"/>
                <w:szCs w:val="24"/>
              </w:rPr>
            </w:pPr>
          </w:p>
        </w:tc>
      </w:tr>
      <w:tr w:rsidR="00AC7308" w:rsidTr="001061B1">
        <w:trPr>
          <w:trHeight w:val="519"/>
        </w:trPr>
        <w:tc>
          <w:tcPr>
            <w:tcW w:w="1728" w:type="dxa"/>
          </w:tcPr>
          <w:p w:rsidR="00AC7308" w:rsidRPr="0099687A" w:rsidRDefault="00AC7308" w:rsidP="001061B1">
            <w:pPr>
              <w:spacing w:after="0" w:line="240" w:lineRule="auto"/>
              <w:jc w:val="both"/>
              <w:rPr>
                <w:rFonts w:ascii="Times New Roman" w:hAnsi="Times New Roman"/>
                <w:spacing w:val="-8"/>
                <w:sz w:val="24"/>
                <w:szCs w:val="24"/>
              </w:rPr>
            </w:pPr>
            <w:r w:rsidRPr="0099687A">
              <w:rPr>
                <w:rFonts w:ascii="Times New Roman" w:hAnsi="Times New Roman"/>
                <w:spacing w:val="-8"/>
                <w:sz w:val="24"/>
                <w:szCs w:val="24"/>
              </w:rPr>
              <w:t xml:space="preserve">Затвердження регуляторного </w:t>
            </w:r>
            <w:proofErr w:type="spellStart"/>
            <w:r w:rsidRPr="0099687A">
              <w:rPr>
                <w:rFonts w:ascii="Times New Roman" w:hAnsi="Times New Roman"/>
                <w:spacing w:val="-8"/>
                <w:sz w:val="24"/>
                <w:szCs w:val="24"/>
              </w:rPr>
              <w:t>акта</w:t>
            </w:r>
            <w:proofErr w:type="spellEnd"/>
            <w:r w:rsidRPr="0099687A">
              <w:rPr>
                <w:rFonts w:ascii="Times New Roman" w:hAnsi="Times New Roman"/>
                <w:spacing w:val="-8"/>
                <w:sz w:val="24"/>
                <w:szCs w:val="24"/>
              </w:rPr>
              <w:t xml:space="preserve"> </w:t>
            </w:r>
          </w:p>
        </w:tc>
        <w:tc>
          <w:tcPr>
            <w:tcW w:w="4793" w:type="dxa"/>
          </w:tcPr>
          <w:p w:rsidR="00AC7308" w:rsidRPr="0099687A" w:rsidRDefault="00AC7308" w:rsidP="001061B1">
            <w:pPr>
              <w:spacing w:after="0" w:line="240" w:lineRule="auto"/>
              <w:jc w:val="both"/>
              <w:rPr>
                <w:rFonts w:ascii="Times New Roman" w:hAnsi="Times New Roman"/>
                <w:spacing w:val="-8"/>
                <w:sz w:val="24"/>
                <w:szCs w:val="24"/>
              </w:rPr>
            </w:pPr>
            <w:r w:rsidRPr="0099687A">
              <w:rPr>
                <w:rFonts w:ascii="Times New Roman" w:hAnsi="Times New Roman"/>
                <w:spacing w:val="-8"/>
                <w:sz w:val="24"/>
                <w:szCs w:val="24"/>
              </w:rPr>
              <w:t xml:space="preserve">Прогрес у розбудові національної системи фінансового моніторингу та підтвердження зростання ефективності дій учасників </w:t>
            </w:r>
            <w:proofErr w:type="spellStart"/>
            <w:r w:rsidRPr="0099687A">
              <w:rPr>
                <w:rFonts w:ascii="Times New Roman" w:hAnsi="Times New Roman"/>
                <w:spacing w:val="-8"/>
                <w:sz w:val="24"/>
                <w:szCs w:val="24"/>
              </w:rPr>
              <w:t>антилегалізаційної</w:t>
            </w:r>
            <w:proofErr w:type="spellEnd"/>
            <w:r w:rsidRPr="0099687A">
              <w:rPr>
                <w:rFonts w:ascii="Times New Roman" w:hAnsi="Times New Roman"/>
                <w:spacing w:val="-8"/>
                <w:sz w:val="24"/>
                <w:szCs w:val="24"/>
              </w:rPr>
              <w:t xml:space="preserve"> системи</w:t>
            </w:r>
          </w:p>
        </w:tc>
        <w:tc>
          <w:tcPr>
            <w:tcW w:w="3118" w:type="dxa"/>
          </w:tcPr>
          <w:p w:rsidR="00AC7308" w:rsidRPr="0099687A" w:rsidRDefault="00AC7308" w:rsidP="001061B1">
            <w:pPr>
              <w:spacing w:after="0" w:line="240" w:lineRule="auto"/>
              <w:jc w:val="both"/>
              <w:rPr>
                <w:rFonts w:ascii="Times New Roman" w:hAnsi="Times New Roman"/>
                <w:spacing w:val="-8"/>
                <w:sz w:val="24"/>
                <w:szCs w:val="24"/>
              </w:rPr>
            </w:pPr>
            <w:r w:rsidRPr="0099687A">
              <w:rPr>
                <w:rFonts w:ascii="Times New Roman" w:hAnsi="Times New Roman"/>
                <w:spacing w:val="-8"/>
                <w:sz w:val="24"/>
                <w:szCs w:val="24"/>
              </w:rPr>
              <w:t xml:space="preserve">Відсутні (функціонування </w:t>
            </w:r>
            <w:r>
              <w:rPr>
                <w:rFonts w:ascii="Times New Roman" w:hAnsi="Times New Roman"/>
                <w:spacing w:val="-8"/>
                <w:sz w:val="24"/>
                <w:szCs w:val="24"/>
              </w:rPr>
              <w:t xml:space="preserve">Єдиного реєстру передбачається на базі електронних реєстрів, які веде </w:t>
            </w:r>
            <w:r w:rsidRPr="0099687A">
              <w:rPr>
                <w:rFonts w:ascii="Times New Roman" w:hAnsi="Times New Roman"/>
                <w:spacing w:val="-8"/>
                <w:sz w:val="24"/>
                <w:szCs w:val="24"/>
              </w:rPr>
              <w:t>Державна податкова служба України</w:t>
            </w:r>
            <w:r w:rsidR="00E8622D">
              <w:rPr>
                <w:rFonts w:ascii="Times New Roman" w:hAnsi="Times New Roman"/>
                <w:spacing w:val="-8"/>
                <w:sz w:val="24"/>
                <w:szCs w:val="24"/>
              </w:rPr>
              <w:t>)</w:t>
            </w:r>
          </w:p>
        </w:tc>
      </w:tr>
    </w:tbl>
    <w:p w:rsidR="00AC7308" w:rsidRDefault="00AC7308" w:rsidP="00AC7308">
      <w:pPr>
        <w:tabs>
          <w:tab w:val="left" w:pos="851"/>
        </w:tabs>
        <w:spacing w:before="120" w:after="0" w:line="240" w:lineRule="auto"/>
        <w:ind w:firstLine="567"/>
        <w:rPr>
          <w:rFonts w:ascii="Times New Roman" w:hAnsi="Times New Roman"/>
          <w:spacing w:val="-8"/>
          <w:sz w:val="28"/>
          <w:szCs w:val="28"/>
        </w:rPr>
      </w:pPr>
      <w:r>
        <w:rPr>
          <w:rFonts w:ascii="Times New Roman" w:hAnsi="Times New Roman"/>
          <w:spacing w:val="-8"/>
          <w:sz w:val="28"/>
          <w:szCs w:val="28"/>
        </w:rPr>
        <w:t>Не поширюється на сферу інтересів громадян.</w:t>
      </w:r>
    </w:p>
    <w:p w:rsidR="00AC7308" w:rsidRPr="000F015E" w:rsidRDefault="00AC7308" w:rsidP="00AC7308">
      <w:pPr>
        <w:tabs>
          <w:tab w:val="left" w:pos="851"/>
        </w:tabs>
        <w:spacing w:after="120" w:line="240" w:lineRule="auto"/>
        <w:rPr>
          <w:rFonts w:ascii="Times New Roman" w:hAnsi="Times New Roman"/>
          <w:spacing w:val="-8"/>
          <w:sz w:val="8"/>
          <w:szCs w:val="8"/>
        </w:rPr>
      </w:pPr>
    </w:p>
    <w:p w:rsidR="00AC7308" w:rsidRDefault="00AC7308" w:rsidP="00AC7308">
      <w:pPr>
        <w:tabs>
          <w:tab w:val="left" w:pos="851"/>
        </w:tabs>
        <w:spacing w:after="120" w:line="240" w:lineRule="auto"/>
        <w:ind w:firstLine="567"/>
        <w:rPr>
          <w:rFonts w:ascii="Times New Roman" w:hAnsi="Times New Roman"/>
          <w:spacing w:val="-8"/>
          <w:sz w:val="28"/>
          <w:szCs w:val="28"/>
        </w:rPr>
      </w:pPr>
      <w:r>
        <w:rPr>
          <w:rFonts w:ascii="Times New Roman" w:hAnsi="Times New Roman"/>
          <w:spacing w:val="-8"/>
          <w:sz w:val="28"/>
          <w:szCs w:val="28"/>
        </w:rPr>
        <w:t>Оцінка впливу на сферу інтересів суб’єктів господарювання.</w:t>
      </w:r>
    </w:p>
    <w:tbl>
      <w:tblPr>
        <w:tblpPr w:leftFromText="180" w:rightFromText="180" w:vertAnchor="text" w:horzAnchor="margin" w:tblpX="-10" w:tblpY="-2"/>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91"/>
        <w:gridCol w:w="1134"/>
        <w:gridCol w:w="1276"/>
        <w:gridCol w:w="1134"/>
        <w:gridCol w:w="1134"/>
        <w:gridCol w:w="1270"/>
      </w:tblGrid>
      <w:tr w:rsidR="00AC7308" w:rsidTr="001061B1">
        <w:trPr>
          <w:tblHeader/>
        </w:trPr>
        <w:tc>
          <w:tcPr>
            <w:tcW w:w="3691" w:type="dxa"/>
            <w:shd w:val="clear" w:color="auto" w:fill="BFBFBF"/>
            <w:vAlign w:val="center"/>
          </w:tcPr>
          <w:p w:rsidR="00AC7308" w:rsidRDefault="00AC7308" w:rsidP="001061B1">
            <w:pPr>
              <w:spacing w:after="0" w:line="240" w:lineRule="auto"/>
              <w:jc w:val="center"/>
              <w:rPr>
                <w:rFonts w:ascii="Times New Roman" w:hAnsi="Times New Roman"/>
                <w:spacing w:val="-8"/>
              </w:rPr>
            </w:pPr>
            <w:r>
              <w:rPr>
                <w:rFonts w:ascii="Times New Roman" w:hAnsi="Times New Roman"/>
                <w:b/>
                <w:spacing w:val="-8"/>
              </w:rPr>
              <w:t>Показник</w:t>
            </w:r>
          </w:p>
        </w:tc>
        <w:tc>
          <w:tcPr>
            <w:tcW w:w="1134" w:type="dxa"/>
            <w:shd w:val="clear" w:color="auto" w:fill="BFBFBF"/>
          </w:tcPr>
          <w:p w:rsidR="00AC7308" w:rsidRDefault="00AC7308" w:rsidP="001061B1">
            <w:pPr>
              <w:spacing w:after="0" w:line="240" w:lineRule="auto"/>
              <w:jc w:val="center"/>
              <w:rPr>
                <w:rFonts w:ascii="Times New Roman" w:hAnsi="Times New Roman"/>
                <w:b/>
                <w:spacing w:val="-8"/>
              </w:rPr>
            </w:pPr>
            <w:r>
              <w:rPr>
                <w:rFonts w:ascii="Times New Roman" w:hAnsi="Times New Roman"/>
                <w:b/>
                <w:spacing w:val="-8"/>
              </w:rPr>
              <w:t>Великі</w:t>
            </w:r>
          </w:p>
        </w:tc>
        <w:tc>
          <w:tcPr>
            <w:tcW w:w="1276" w:type="dxa"/>
            <w:shd w:val="clear" w:color="auto" w:fill="BFBFBF"/>
            <w:vAlign w:val="center"/>
          </w:tcPr>
          <w:p w:rsidR="00AC7308" w:rsidRDefault="00AC7308" w:rsidP="001061B1">
            <w:pPr>
              <w:spacing w:after="0" w:line="240" w:lineRule="auto"/>
              <w:jc w:val="center"/>
              <w:rPr>
                <w:rFonts w:ascii="Times New Roman" w:hAnsi="Times New Roman"/>
                <w:b/>
                <w:spacing w:val="-8"/>
              </w:rPr>
            </w:pPr>
            <w:r>
              <w:rPr>
                <w:rFonts w:ascii="Times New Roman" w:hAnsi="Times New Roman"/>
                <w:b/>
                <w:spacing w:val="-8"/>
              </w:rPr>
              <w:t>Середні</w:t>
            </w:r>
          </w:p>
        </w:tc>
        <w:tc>
          <w:tcPr>
            <w:tcW w:w="1134" w:type="dxa"/>
            <w:shd w:val="clear" w:color="auto" w:fill="BFBFBF"/>
            <w:vAlign w:val="center"/>
          </w:tcPr>
          <w:p w:rsidR="00AC7308" w:rsidRDefault="00AC7308" w:rsidP="001061B1">
            <w:pPr>
              <w:spacing w:after="0" w:line="240" w:lineRule="auto"/>
              <w:jc w:val="center"/>
              <w:rPr>
                <w:rFonts w:ascii="Times New Roman" w:hAnsi="Times New Roman"/>
                <w:b/>
                <w:spacing w:val="-8"/>
              </w:rPr>
            </w:pPr>
            <w:r>
              <w:rPr>
                <w:rFonts w:ascii="Times New Roman" w:hAnsi="Times New Roman"/>
                <w:b/>
                <w:spacing w:val="-8"/>
              </w:rPr>
              <w:t>Малі**</w:t>
            </w:r>
          </w:p>
        </w:tc>
        <w:tc>
          <w:tcPr>
            <w:tcW w:w="1134" w:type="dxa"/>
            <w:shd w:val="clear" w:color="auto" w:fill="BFBFBF"/>
          </w:tcPr>
          <w:p w:rsidR="00AC7308" w:rsidRDefault="00AC7308" w:rsidP="001061B1">
            <w:pPr>
              <w:spacing w:after="0" w:line="240" w:lineRule="auto"/>
              <w:jc w:val="center"/>
              <w:rPr>
                <w:rFonts w:ascii="Times New Roman" w:hAnsi="Times New Roman"/>
                <w:b/>
                <w:spacing w:val="-8"/>
              </w:rPr>
            </w:pPr>
            <w:r>
              <w:rPr>
                <w:rFonts w:ascii="Times New Roman" w:hAnsi="Times New Roman"/>
                <w:b/>
                <w:spacing w:val="-8"/>
              </w:rPr>
              <w:t>Мікро</w:t>
            </w:r>
          </w:p>
        </w:tc>
        <w:tc>
          <w:tcPr>
            <w:tcW w:w="1270" w:type="dxa"/>
            <w:shd w:val="clear" w:color="auto" w:fill="BFBFBF"/>
            <w:vAlign w:val="center"/>
          </w:tcPr>
          <w:p w:rsidR="00AC7308" w:rsidRDefault="00AC7308" w:rsidP="001061B1">
            <w:pPr>
              <w:spacing w:after="0" w:line="240" w:lineRule="auto"/>
              <w:jc w:val="center"/>
              <w:rPr>
                <w:rFonts w:ascii="Times New Roman" w:hAnsi="Times New Roman"/>
                <w:b/>
                <w:spacing w:val="-8"/>
                <w:lang w:val="en-US"/>
              </w:rPr>
            </w:pPr>
            <w:r>
              <w:rPr>
                <w:rFonts w:ascii="Times New Roman" w:hAnsi="Times New Roman"/>
                <w:b/>
                <w:spacing w:val="-8"/>
              </w:rPr>
              <w:t>Разом</w:t>
            </w:r>
          </w:p>
        </w:tc>
      </w:tr>
      <w:tr w:rsidR="00AC7308" w:rsidRPr="00484CD7" w:rsidTr="001061B1">
        <w:tc>
          <w:tcPr>
            <w:tcW w:w="3691" w:type="dxa"/>
            <w:shd w:val="clear" w:color="auto" w:fill="auto"/>
          </w:tcPr>
          <w:p w:rsidR="00AC7308" w:rsidRPr="00484CD7" w:rsidRDefault="00AC7308" w:rsidP="001061B1">
            <w:pPr>
              <w:spacing w:after="0" w:line="240" w:lineRule="auto"/>
              <w:jc w:val="both"/>
              <w:rPr>
                <w:rFonts w:ascii="Times New Roman" w:hAnsi="Times New Roman"/>
                <w:spacing w:val="-8"/>
                <w:sz w:val="24"/>
                <w:szCs w:val="24"/>
              </w:rPr>
            </w:pPr>
            <w:r w:rsidRPr="00484CD7">
              <w:rPr>
                <w:rFonts w:ascii="Times New Roman" w:hAnsi="Times New Roman"/>
                <w:spacing w:val="-8"/>
                <w:sz w:val="24"/>
                <w:szCs w:val="24"/>
              </w:rPr>
              <w:t>Кількість суб’єктів господарювання, що підпадають під дію регулювання одиниць *</w:t>
            </w:r>
          </w:p>
        </w:tc>
        <w:tc>
          <w:tcPr>
            <w:tcW w:w="1134" w:type="dxa"/>
            <w:vAlign w:val="center"/>
          </w:tcPr>
          <w:p w:rsidR="00AC7308" w:rsidRPr="00484CD7" w:rsidRDefault="00AC7308" w:rsidP="001061B1">
            <w:pPr>
              <w:spacing w:after="0" w:line="240" w:lineRule="auto"/>
              <w:jc w:val="center"/>
              <w:rPr>
                <w:rFonts w:ascii="Times New Roman" w:hAnsi="Times New Roman"/>
                <w:spacing w:val="-8"/>
                <w:sz w:val="24"/>
                <w:szCs w:val="24"/>
              </w:rPr>
            </w:pPr>
            <w:r w:rsidRPr="00484CD7">
              <w:rPr>
                <w:rFonts w:ascii="Times New Roman" w:hAnsi="Times New Roman"/>
                <w:spacing w:val="-8"/>
                <w:sz w:val="24"/>
                <w:szCs w:val="24"/>
              </w:rPr>
              <w:t>9</w:t>
            </w:r>
          </w:p>
        </w:tc>
        <w:tc>
          <w:tcPr>
            <w:tcW w:w="1276" w:type="dxa"/>
            <w:vAlign w:val="center"/>
          </w:tcPr>
          <w:p w:rsidR="00AC7308" w:rsidRPr="00484CD7" w:rsidRDefault="00AC7308" w:rsidP="001061B1">
            <w:pPr>
              <w:spacing w:after="0" w:line="240" w:lineRule="auto"/>
              <w:jc w:val="center"/>
              <w:rPr>
                <w:rFonts w:ascii="Times New Roman" w:hAnsi="Times New Roman"/>
                <w:spacing w:val="-8"/>
                <w:sz w:val="24"/>
                <w:szCs w:val="24"/>
              </w:rPr>
            </w:pPr>
            <w:r w:rsidRPr="00484CD7">
              <w:rPr>
                <w:rFonts w:ascii="Times New Roman" w:hAnsi="Times New Roman"/>
                <w:spacing w:val="-8"/>
                <w:sz w:val="24"/>
                <w:szCs w:val="24"/>
              </w:rPr>
              <w:t>32</w:t>
            </w:r>
          </w:p>
        </w:tc>
        <w:tc>
          <w:tcPr>
            <w:tcW w:w="1134" w:type="dxa"/>
            <w:vAlign w:val="center"/>
          </w:tcPr>
          <w:p w:rsidR="00AC7308" w:rsidRPr="00484CD7" w:rsidRDefault="00AC7308" w:rsidP="001061B1">
            <w:pPr>
              <w:spacing w:after="0" w:line="240" w:lineRule="auto"/>
              <w:jc w:val="center"/>
              <w:rPr>
                <w:rFonts w:ascii="Times New Roman" w:hAnsi="Times New Roman"/>
                <w:spacing w:val="-8"/>
                <w:sz w:val="24"/>
                <w:szCs w:val="24"/>
              </w:rPr>
            </w:pPr>
            <w:r w:rsidRPr="00484CD7">
              <w:rPr>
                <w:rFonts w:ascii="Times New Roman" w:hAnsi="Times New Roman"/>
                <w:sz w:val="24"/>
                <w:szCs w:val="24"/>
              </w:rPr>
              <w:t>145</w:t>
            </w:r>
          </w:p>
        </w:tc>
        <w:tc>
          <w:tcPr>
            <w:tcW w:w="1134" w:type="dxa"/>
            <w:vAlign w:val="center"/>
          </w:tcPr>
          <w:p w:rsidR="00AC7308" w:rsidRPr="00484CD7" w:rsidRDefault="00AC7308" w:rsidP="001061B1">
            <w:pPr>
              <w:spacing w:after="0" w:line="240" w:lineRule="auto"/>
              <w:jc w:val="center"/>
              <w:rPr>
                <w:rFonts w:ascii="Times New Roman" w:hAnsi="Times New Roman"/>
                <w:spacing w:val="-8"/>
                <w:sz w:val="24"/>
                <w:szCs w:val="24"/>
              </w:rPr>
            </w:pPr>
            <w:r w:rsidRPr="00484CD7">
              <w:rPr>
                <w:rFonts w:ascii="Times New Roman" w:hAnsi="Times New Roman"/>
                <w:spacing w:val="-8"/>
                <w:sz w:val="24"/>
                <w:szCs w:val="24"/>
              </w:rPr>
              <w:t>-</w:t>
            </w:r>
          </w:p>
        </w:tc>
        <w:tc>
          <w:tcPr>
            <w:tcW w:w="1270" w:type="dxa"/>
            <w:shd w:val="clear" w:color="auto" w:fill="auto"/>
            <w:vAlign w:val="center"/>
          </w:tcPr>
          <w:p w:rsidR="00AC7308" w:rsidRPr="00484CD7" w:rsidRDefault="00AC7308" w:rsidP="001061B1">
            <w:pPr>
              <w:spacing w:after="0" w:line="240" w:lineRule="auto"/>
              <w:jc w:val="center"/>
              <w:rPr>
                <w:rFonts w:ascii="Times New Roman" w:hAnsi="Times New Roman"/>
                <w:spacing w:val="-8"/>
                <w:sz w:val="24"/>
                <w:szCs w:val="24"/>
              </w:rPr>
            </w:pPr>
            <w:r w:rsidRPr="00484CD7">
              <w:rPr>
                <w:rFonts w:ascii="Times New Roman" w:hAnsi="Times New Roman"/>
                <w:sz w:val="24"/>
                <w:szCs w:val="24"/>
              </w:rPr>
              <w:t>186</w:t>
            </w:r>
          </w:p>
        </w:tc>
      </w:tr>
      <w:tr w:rsidR="00AC7308" w:rsidRPr="00484CD7" w:rsidTr="001061B1">
        <w:tc>
          <w:tcPr>
            <w:tcW w:w="3691" w:type="dxa"/>
            <w:shd w:val="clear" w:color="auto" w:fill="auto"/>
          </w:tcPr>
          <w:p w:rsidR="00AC7308" w:rsidRPr="00484CD7" w:rsidRDefault="00AC7308" w:rsidP="001061B1">
            <w:pPr>
              <w:spacing w:after="0" w:line="240" w:lineRule="auto"/>
              <w:jc w:val="both"/>
              <w:rPr>
                <w:rFonts w:ascii="Times New Roman" w:hAnsi="Times New Roman"/>
                <w:spacing w:val="-8"/>
                <w:sz w:val="24"/>
                <w:szCs w:val="24"/>
              </w:rPr>
            </w:pPr>
            <w:r w:rsidRPr="00484CD7">
              <w:rPr>
                <w:rFonts w:ascii="Times New Roman" w:hAnsi="Times New Roman"/>
                <w:spacing w:val="-8"/>
                <w:sz w:val="24"/>
                <w:szCs w:val="24"/>
              </w:rPr>
              <w:t>Питома вага групи у загальній кількості</w:t>
            </w:r>
          </w:p>
        </w:tc>
        <w:tc>
          <w:tcPr>
            <w:tcW w:w="1134" w:type="dxa"/>
            <w:vAlign w:val="center"/>
          </w:tcPr>
          <w:p w:rsidR="00AC7308" w:rsidRPr="00484CD7" w:rsidRDefault="00AC7308" w:rsidP="001061B1">
            <w:pPr>
              <w:spacing w:after="0" w:line="240" w:lineRule="auto"/>
              <w:jc w:val="center"/>
              <w:rPr>
                <w:rFonts w:ascii="Times New Roman" w:hAnsi="Times New Roman"/>
                <w:spacing w:val="-8"/>
                <w:sz w:val="24"/>
                <w:szCs w:val="24"/>
              </w:rPr>
            </w:pPr>
            <w:r w:rsidRPr="00484CD7">
              <w:rPr>
                <w:rFonts w:ascii="Times New Roman" w:hAnsi="Times New Roman"/>
                <w:sz w:val="24"/>
                <w:szCs w:val="24"/>
              </w:rPr>
              <w:t>4,8</w:t>
            </w:r>
          </w:p>
        </w:tc>
        <w:tc>
          <w:tcPr>
            <w:tcW w:w="1276" w:type="dxa"/>
            <w:vAlign w:val="center"/>
          </w:tcPr>
          <w:p w:rsidR="00AC7308" w:rsidRPr="00484CD7" w:rsidRDefault="00AC7308" w:rsidP="001061B1">
            <w:pPr>
              <w:spacing w:after="0" w:line="240" w:lineRule="auto"/>
              <w:jc w:val="center"/>
              <w:rPr>
                <w:rFonts w:ascii="Times New Roman" w:hAnsi="Times New Roman"/>
                <w:spacing w:val="-8"/>
                <w:sz w:val="24"/>
                <w:szCs w:val="24"/>
              </w:rPr>
            </w:pPr>
            <w:r w:rsidRPr="00484CD7">
              <w:rPr>
                <w:rFonts w:ascii="Times New Roman" w:hAnsi="Times New Roman"/>
                <w:sz w:val="24"/>
                <w:szCs w:val="24"/>
              </w:rPr>
              <w:t>17,2</w:t>
            </w:r>
          </w:p>
        </w:tc>
        <w:tc>
          <w:tcPr>
            <w:tcW w:w="1134" w:type="dxa"/>
            <w:vAlign w:val="center"/>
          </w:tcPr>
          <w:p w:rsidR="00AC7308" w:rsidRPr="00484CD7" w:rsidRDefault="00AC7308" w:rsidP="001061B1">
            <w:pPr>
              <w:spacing w:after="0" w:line="240" w:lineRule="auto"/>
              <w:jc w:val="center"/>
              <w:rPr>
                <w:rFonts w:ascii="Times New Roman" w:hAnsi="Times New Roman"/>
                <w:spacing w:val="-8"/>
                <w:sz w:val="24"/>
                <w:szCs w:val="24"/>
              </w:rPr>
            </w:pPr>
            <w:r w:rsidRPr="00484CD7">
              <w:rPr>
                <w:rFonts w:ascii="Times New Roman" w:hAnsi="Times New Roman"/>
                <w:sz w:val="24"/>
                <w:szCs w:val="24"/>
              </w:rPr>
              <w:t>78,0</w:t>
            </w:r>
          </w:p>
        </w:tc>
        <w:tc>
          <w:tcPr>
            <w:tcW w:w="1134" w:type="dxa"/>
            <w:vAlign w:val="center"/>
          </w:tcPr>
          <w:p w:rsidR="00AC7308" w:rsidRPr="00484CD7" w:rsidRDefault="00AC7308" w:rsidP="001061B1">
            <w:pPr>
              <w:spacing w:after="0" w:line="240" w:lineRule="auto"/>
              <w:jc w:val="center"/>
              <w:rPr>
                <w:rFonts w:ascii="Times New Roman" w:hAnsi="Times New Roman"/>
                <w:spacing w:val="-8"/>
                <w:sz w:val="24"/>
                <w:szCs w:val="24"/>
                <w:lang w:val="en-US"/>
              </w:rPr>
            </w:pPr>
            <w:r w:rsidRPr="00484CD7">
              <w:rPr>
                <w:rFonts w:ascii="Times New Roman" w:hAnsi="Times New Roman"/>
                <w:spacing w:val="-8"/>
                <w:sz w:val="24"/>
                <w:szCs w:val="24"/>
                <w:lang w:val="en-US"/>
              </w:rPr>
              <w:t>0</w:t>
            </w:r>
          </w:p>
        </w:tc>
        <w:tc>
          <w:tcPr>
            <w:tcW w:w="1270" w:type="dxa"/>
            <w:shd w:val="clear" w:color="auto" w:fill="auto"/>
            <w:vAlign w:val="center"/>
          </w:tcPr>
          <w:p w:rsidR="00AC7308" w:rsidRPr="00484CD7" w:rsidRDefault="00AC7308" w:rsidP="001061B1">
            <w:pPr>
              <w:spacing w:after="0" w:line="240" w:lineRule="auto"/>
              <w:jc w:val="center"/>
              <w:rPr>
                <w:rFonts w:ascii="Times New Roman" w:hAnsi="Times New Roman"/>
                <w:spacing w:val="-8"/>
                <w:sz w:val="24"/>
                <w:szCs w:val="24"/>
              </w:rPr>
            </w:pPr>
            <w:r w:rsidRPr="00484CD7">
              <w:rPr>
                <w:rFonts w:ascii="Times New Roman" w:hAnsi="Times New Roman"/>
                <w:spacing w:val="-8"/>
                <w:sz w:val="24"/>
                <w:szCs w:val="24"/>
              </w:rPr>
              <w:t>100</w:t>
            </w:r>
          </w:p>
        </w:tc>
      </w:tr>
    </w:tbl>
    <w:p w:rsidR="00F947C4" w:rsidRPr="00F947C4" w:rsidRDefault="00F947C4" w:rsidP="00AC7308">
      <w:pPr>
        <w:spacing w:after="0" w:line="240" w:lineRule="auto"/>
        <w:ind w:firstLine="567"/>
        <w:jc w:val="both"/>
        <w:rPr>
          <w:rFonts w:ascii="Times New Roman" w:hAnsi="Times New Roman"/>
          <w:spacing w:val="-8"/>
          <w:sz w:val="12"/>
          <w:szCs w:val="12"/>
        </w:rPr>
      </w:pPr>
    </w:p>
    <w:p w:rsidR="00AC7308" w:rsidRPr="00F947C4" w:rsidRDefault="00AC7308" w:rsidP="00AC7308">
      <w:pPr>
        <w:spacing w:after="0" w:line="240" w:lineRule="auto"/>
        <w:ind w:firstLine="567"/>
        <w:jc w:val="both"/>
        <w:rPr>
          <w:rFonts w:ascii="Times New Roman" w:hAnsi="Times New Roman"/>
          <w:spacing w:val="-8"/>
        </w:rPr>
      </w:pPr>
      <w:r w:rsidRPr="00F947C4">
        <w:rPr>
          <w:rFonts w:ascii="Times New Roman" w:hAnsi="Times New Roman"/>
          <w:spacing w:val="-8"/>
        </w:rPr>
        <w:t>* інформація за 2021 рік з  офіційного сайту НБУ</w:t>
      </w:r>
      <w:r w:rsidRPr="00F947C4">
        <w:rPr>
          <w:rFonts w:ascii="Times New Roman" w:hAnsi="Times New Roman"/>
        </w:rPr>
        <w:t xml:space="preserve"> «</w:t>
      </w:r>
      <w:r w:rsidRPr="00F947C4">
        <w:rPr>
          <w:rFonts w:ascii="Times New Roman" w:hAnsi="Times New Roman"/>
          <w:spacing w:val="-8"/>
        </w:rPr>
        <w:t>кількість структурних підрозділів банків» (</w:t>
      </w:r>
      <w:hyperlink r:id="rId8">
        <w:r w:rsidRPr="00F947C4">
          <w:rPr>
            <w:rStyle w:val="af7"/>
            <w:rFonts w:ascii="Times New Roman" w:hAnsi="Times New Roman"/>
            <w:color w:val="auto"/>
            <w:spacing w:val="-8"/>
          </w:rPr>
          <w:t>https://bank.gov.ua/ua/statistic/supervision-statist</w:t>
        </w:r>
      </w:hyperlink>
      <w:r w:rsidRPr="00F947C4">
        <w:rPr>
          <w:rFonts w:ascii="Times New Roman" w:hAnsi="Times New Roman"/>
          <w:spacing w:val="-8"/>
        </w:rPr>
        <w:t xml:space="preserve">). </w:t>
      </w:r>
      <w:r w:rsidRPr="00F947C4">
        <w:rPr>
          <w:rFonts w:ascii="Times New Roman" w:hAnsi="Times New Roman"/>
          <w:iCs/>
          <w:spacing w:val="-8"/>
        </w:rPr>
        <w:t>Результати рейтингу банків станом на 1 півріччя 2020 року (http://icps.com.ua/reytynh-bankiv-ukrayiny---rezultaty-pivrichchya-2020-roku/).</w:t>
      </w:r>
      <w:r w:rsidRPr="00F947C4">
        <w:rPr>
          <w:rFonts w:ascii="Times New Roman" w:hAnsi="Times New Roman"/>
          <w:iCs/>
        </w:rPr>
        <w:t xml:space="preserve"> Інформація за 2021 рік з офіційного сайту Національної комісії з цінних паперів та фондового ринку «кількість депозитарних установ» https://www.nssmc.gov.ua/register/litsenzuvannia-ta-reestratsiia/custuodians/.</w:t>
      </w:r>
    </w:p>
    <w:p w:rsidR="00AC7308" w:rsidRDefault="00AC7308" w:rsidP="00AC7308">
      <w:pPr>
        <w:spacing w:after="0" w:line="240" w:lineRule="auto"/>
        <w:ind w:firstLine="567"/>
        <w:jc w:val="both"/>
        <w:rPr>
          <w:rFonts w:ascii="Times New Roman" w:hAnsi="Times New Roman"/>
          <w:spacing w:val="-8"/>
        </w:rPr>
      </w:pPr>
      <w:r w:rsidRPr="00F947C4">
        <w:rPr>
          <w:rFonts w:ascii="Times New Roman" w:hAnsi="Times New Roman"/>
          <w:spacing w:val="-8"/>
        </w:rPr>
        <w:t xml:space="preserve">** з урахуванням </w:t>
      </w:r>
      <w:proofErr w:type="spellStart"/>
      <w:r w:rsidRPr="00F947C4">
        <w:rPr>
          <w:rFonts w:ascii="Times New Roman" w:hAnsi="Times New Roman"/>
          <w:spacing w:val="-8"/>
        </w:rPr>
        <w:t>мікропідприємництва</w:t>
      </w:r>
      <w:proofErr w:type="spellEnd"/>
      <w:r w:rsidRPr="00F947C4">
        <w:rPr>
          <w:rFonts w:ascii="Times New Roman" w:hAnsi="Times New Roman"/>
          <w:spacing w:val="-8"/>
        </w:rPr>
        <w:t>.</w:t>
      </w:r>
    </w:p>
    <w:p w:rsidR="00F947C4" w:rsidRPr="00F947C4" w:rsidRDefault="00F947C4" w:rsidP="00AC7308">
      <w:pPr>
        <w:spacing w:after="0" w:line="240" w:lineRule="auto"/>
        <w:ind w:firstLine="567"/>
        <w:jc w:val="both"/>
        <w:rPr>
          <w:rFonts w:ascii="Times New Roman" w:hAnsi="Times New Roman"/>
          <w:spacing w:val="-8"/>
          <w:sz w:val="12"/>
          <w:szCs w:val="12"/>
        </w:rPr>
      </w:pPr>
    </w:p>
    <w:p w:rsidR="00AC7308" w:rsidRPr="000F015E" w:rsidRDefault="00AC7308" w:rsidP="00AC7308">
      <w:pPr>
        <w:spacing w:after="0" w:line="240" w:lineRule="auto"/>
        <w:ind w:firstLine="567"/>
        <w:jc w:val="both"/>
        <w:rPr>
          <w:rFonts w:ascii="Times New Roman" w:hAnsi="Times New Roman"/>
          <w:i/>
          <w:spacing w:val="-8"/>
          <w:sz w:val="12"/>
          <w:szCs w:val="12"/>
        </w:rPr>
      </w:pPr>
    </w:p>
    <w:tbl>
      <w:tblPr>
        <w:tblW w:w="963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3544"/>
        <w:gridCol w:w="4394"/>
      </w:tblGrid>
      <w:tr w:rsidR="00AC7308" w:rsidRPr="00484CD7" w:rsidTr="001061B1">
        <w:tc>
          <w:tcPr>
            <w:tcW w:w="1701" w:type="dxa"/>
            <w:tcBorders>
              <w:top w:val="outset" w:sz="6" w:space="0" w:color="auto"/>
              <w:left w:val="outset" w:sz="6" w:space="0" w:color="auto"/>
              <w:bottom w:val="outset" w:sz="6" w:space="0" w:color="auto"/>
              <w:right w:val="outset" w:sz="6" w:space="0" w:color="auto"/>
            </w:tcBorders>
          </w:tcPr>
          <w:p w:rsidR="00AC7308" w:rsidRPr="00484CD7" w:rsidRDefault="00AC7308" w:rsidP="001061B1">
            <w:pPr>
              <w:widowControl w:val="0"/>
              <w:spacing w:after="0" w:line="240" w:lineRule="auto"/>
              <w:jc w:val="center"/>
              <w:rPr>
                <w:rFonts w:ascii="Times New Roman" w:hAnsi="Times New Roman"/>
                <w:b/>
                <w:spacing w:val="-8"/>
                <w:sz w:val="24"/>
                <w:szCs w:val="24"/>
              </w:rPr>
            </w:pPr>
            <w:r w:rsidRPr="00484CD7">
              <w:rPr>
                <w:rFonts w:ascii="Times New Roman" w:hAnsi="Times New Roman"/>
                <w:b/>
                <w:spacing w:val="-8"/>
                <w:sz w:val="24"/>
                <w:szCs w:val="24"/>
              </w:rPr>
              <w:t>Вид альтернативи</w:t>
            </w:r>
          </w:p>
        </w:tc>
        <w:tc>
          <w:tcPr>
            <w:tcW w:w="3544" w:type="dxa"/>
            <w:tcBorders>
              <w:top w:val="outset" w:sz="6" w:space="0" w:color="auto"/>
              <w:left w:val="outset" w:sz="6" w:space="0" w:color="auto"/>
              <w:bottom w:val="outset" w:sz="6" w:space="0" w:color="auto"/>
              <w:right w:val="outset" w:sz="6" w:space="0" w:color="auto"/>
            </w:tcBorders>
          </w:tcPr>
          <w:p w:rsidR="00AC7308" w:rsidRPr="00484CD7" w:rsidRDefault="00AC7308" w:rsidP="001061B1">
            <w:pPr>
              <w:widowControl w:val="0"/>
              <w:spacing w:after="0" w:line="240" w:lineRule="auto"/>
              <w:jc w:val="center"/>
              <w:rPr>
                <w:rFonts w:ascii="Times New Roman" w:hAnsi="Times New Roman"/>
                <w:b/>
                <w:spacing w:val="-8"/>
                <w:sz w:val="24"/>
                <w:szCs w:val="24"/>
              </w:rPr>
            </w:pPr>
            <w:r w:rsidRPr="00484CD7">
              <w:rPr>
                <w:rFonts w:ascii="Times New Roman" w:hAnsi="Times New Roman"/>
                <w:b/>
                <w:spacing w:val="-8"/>
                <w:sz w:val="24"/>
                <w:szCs w:val="24"/>
              </w:rPr>
              <w:t>Вигоди</w:t>
            </w:r>
          </w:p>
        </w:tc>
        <w:tc>
          <w:tcPr>
            <w:tcW w:w="4394" w:type="dxa"/>
            <w:tcBorders>
              <w:top w:val="outset" w:sz="6" w:space="0" w:color="auto"/>
              <w:left w:val="outset" w:sz="6" w:space="0" w:color="auto"/>
              <w:bottom w:val="outset" w:sz="6" w:space="0" w:color="auto"/>
              <w:right w:val="outset" w:sz="6" w:space="0" w:color="auto"/>
            </w:tcBorders>
          </w:tcPr>
          <w:p w:rsidR="00AC7308" w:rsidRPr="00484CD7" w:rsidRDefault="00AC7308" w:rsidP="001061B1">
            <w:pPr>
              <w:widowControl w:val="0"/>
              <w:spacing w:after="0" w:line="240" w:lineRule="auto"/>
              <w:jc w:val="center"/>
              <w:rPr>
                <w:rFonts w:ascii="Times New Roman" w:hAnsi="Times New Roman"/>
                <w:b/>
                <w:spacing w:val="-8"/>
                <w:sz w:val="24"/>
                <w:szCs w:val="24"/>
              </w:rPr>
            </w:pPr>
            <w:r w:rsidRPr="00484CD7">
              <w:rPr>
                <w:rFonts w:ascii="Times New Roman" w:hAnsi="Times New Roman"/>
                <w:b/>
                <w:spacing w:val="-8"/>
                <w:sz w:val="24"/>
                <w:szCs w:val="24"/>
              </w:rPr>
              <w:t>Витрати</w:t>
            </w:r>
          </w:p>
        </w:tc>
      </w:tr>
      <w:tr w:rsidR="00AC7308" w:rsidRPr="00484CD7" w:rsidTr="001061B1">
        <w:tc>
          <w:tcPr>
            <w:tcW w:w="1701" w:type="dxa"/>
            <w:tcBorders>
              <w:top w:val="outset" w:sz="6" w:space="0" w:color="auto"/>
              <w:left w:val="outset" w:sz="6" w:space="0" w:color="auto"/>
              <w:bottom w:val="outset" w:sz="6" w:space="0" w:color="auto"/>
              <w:right w:val="outset" w:sz="6" w:space="0" w:color="auto"/>
            </w:tcBorders>
          </w:tcPr>
          <w:p w:rsidR="00AC7308" w:rsidRPr="00484CD7" w:rsidRDefault="00AC7308" w:rsidP="001061B1">
            <w:pPr>
              <w:spacing w:after="0" w:line="240" w:lineRule="auto"/>
              <w:jc w:val="both"/>
              <w:rPr>
                <w:rFonts w:ascii="Times New Roman" w:hAnsi="Times New Roman"/>
                <w:spacing w:val="-8"/>
                <w:sz w:val="24"/>
                <w:szCs w:val="24"/>
              </w:rPr>
            </w:pPr>
            <w:r w:rsidRPr="00484CD7">
              <w:rPr>
                <w:rFonts w:ascii="Times New Roman" w:hAnsi="Times New Roman"/>
                <w:spacing w:val="-8"/>
                <w:sz w:val="24"/>
                <w:szCs w:val="24"/>
              </w:rPr>
              <w:t xml:space="preserve">Відсутність регулювання </w:t>
            </w:r>
          </w:p>
        </w:tc>
        <w:tc>
          <w:tcPr>
            <w:tcW w:w="3544" w:type="dxa"/>
            <w:tcBorders>
              <w:top w:val="outset" w:sz="6" w:space="0" w:color="auto"/>
              <w:left w:val="outset" w:sz="6" w:space="0" w:color="auto"/>
              <w:bottom w:val="outset" w:sz="6" w:space="0" w:color="auto"/>
              <w:right w:val="outset" w:sz="6" w:space="0" w:color="auto"/>
            </w:tcBorders>
          </w:tcPr>
          <w:p w:rsidR="00AC7308" w:rsidRPr="00484CD7" w:rsidRDefault="00AC7308" w:rsidP="001061B1">
            <w:pPr>
              <w:spacing w:after="0" w:line="240" w:lineRule="auto"/>
              <w:jc w:val="both"/>
              <w:rPr>
                <w:rFonts w:ascii="Times New Roman" w:hAnsi="Times New Roman"/>
                <w:spacing w:val="-8"/>
                <w:sz w:val="24"/>
                <w:szCs w:val="24"/>
              </w:rPr>
            </w:pPr>
            <w:r w:rsidRPr="00484CD7">
              <w:rPr>
                <w:rFonts w:ascii="Times New Roman" w:hAnsi="Times New Roman"/>
                <w:spacing w:val="-8"/>
                <w:sz w:val="24"/>
                <w:szCs w:val="24"/>
              </w:rPr>
              <w:t>Відсутні</w:t>
            </w:r>
          </w:p>
        </w:tc>
        <w:tc>
          <w:tcPr>
            <w:tcW w:w="4394" w:type="dxa"/>
            <w:tcBorders>
              <w:top w:val="outset" w:sz="6" w:space="0" w:color="auto"/>
              <w:left w:val="outset" w:sz="6" w:space="0" w:color="auto"/>
              <w:bottom w:val="outset" w:sz="6" w:space="0" w:color="auto"/>
              <w:right w:val="outset" w:sz="6" w:space="0" w:color="auto"/>
            </w:tcBorders>
          </w:tcPr>
          <w:p w:rsidR="00AC7308" w:rsidRPr="00484CD7" w:rsidRDefault="00AC7308" w:rsidP="001061B1">
            <w:pPr>
              <w:spacing w:after="0" w:line="240" w:lineRule="auto"/>
              <w:jc w:val="both"/>
              <w:rPr>
                <w:rFonts w:ascii="Times New Roman" w:hAnsi="Times New Roman"/>
                <w:spacing w:val="-8"/>
                <w:sz w:val="24"/>
                <w:szCs w:val="24"/>
              </w:rPr>
            </w:pPr>
            <w:r w:rsidRPr="00484CD7">
              <w:rPr>
                <w:rFonts w:ascii="Times New Roman" w:hAnsi="Times New Roman"/>
                <w:spacing w:val="-8"/>
                <w:sz w:val="24"/>
                <w:szCs w:val="24"/>
              </w:rPr>
              <w:t>Відсутні</w:t>
            </w:r>
          </w:p>
          <w:p w:rsidR="00AC7308" w:rsidRPr="00484CD7" w:rsidRDefault="00AC7308" w:rsidP="001061B1">
            <w:pPr>
              <w:spacing w:after="0" w:line="240" w:lineRule="auto"/>
              <w:jc w:val="both"/>
              <w:rPr>
                <w:rFonts w:ascii="Times New Roman" w:hAnsi="Times New Roman"/>
                <w:spacing w:val="-8"/>
                <w:sz w:val="24"/>
                <w:szCs w:val="24"/>
              </w:rPr>
            </w:pPr>
          </w:p>
        </w:tc>
      </w:tr>
      <w:tr w:rsidR="00AC7308" w:rsidRPr="00484CD7" w:rsidTr="001061B1">
        <w:tc>
          <w:tcPr>
            <w:tcW w:w="1701" w:type="dxa"/>
            <w:tcBorders>
              <w:top w:val="outset" w:sz="6" w:space="0" w:color="auto"/>
              <w:left w:val="outset" w:sz="6" w:space="0" w:color="auto"/>
              <w:bottom w:val="outset" w:sz="6" w:space="0" w:color="auto"/>
              <w:right w:val="outset" w:sz="6" w:space="0" w:color="auto"/>
            </w:tcBorders>
          </w:tcPr>
          <w:p w:rsidR="00AC7308" w:rsidRPr="00484CD7" w:rsidRDefault="00AC7308" w:rsidP="001061B1">
            <w:pPr>
              <w:spacing w:after="0" w:line="240" w:lineRule="auto"/>
              <w:jc w:val="both"/>
              <w:rPr>
                <w:rFonts w:ascii="Times New Roman" w:hAnsi="Times New Roman"/>
                <w:spacing w:val="-8"/>
                <w:sz w:val="24"/>
                <w:szCs w:val="24"/>
              </w:rPr>
            </w:pPr>
            <w:r w:rsidRPr="00484CD7">
              <w:rPr>
                <w:rFonts w:ascii="Times New Roman" w:hAnsi="Times New Roman"/>
                <w:spacing w:val="-8"/>
                <w:sz w:val="24"/>
                <w:szCs w:val="24"/>
              </w:rPr>
              <w:lastRenderedPageBreak/>
              <w:t xml:space="preserve">Затвердження регуляторного </w:t>
            </w:r>
            <w:proofErr w:type="spellStart"/>
            <w:r w:rsidRPr="00484CD7">
              <w:rPr>
                <w:rFonts w:ascii="Times New Roman" w:hAnsi="Times New Roman"/>
                <w:spacing w:val="-8"/>
                <w:sz w:val="24"/>
                <w:szCs w:val="24"/>
              </w:rPr>
              <w:t>акта</w:t>
            </w:r>
            <w:proofErr w:type="spellEnd"/>
            <w:r w:rsidRPr="00484CD7">
              <w:rPr>
                <w:rFonts w:ascii="Times New Roman" w:hAnsi="Times New Roman"/>
                <w:spacing w:val="-8"/>
                <w:sz w:val="24"/>
                <w:szCs w:val="24"/>
              </w:rPr>
              <w:t xml:space="preserve"> </w:t>
            </w:r>
          </w:p>
        </w:tc>
        <w:tc>
          <w:tcPr>
            <w:tcW w:w="3544" w:type="dxa"/>
            <w:tcBorders>
              <w:top w:val="outset" w:sz="6" w:space="0" w:color="auto"/>
              <w:left w:val="outset" w:sz="6" w:space="0" w:color="auto"/>
              <w:bottom w:val="outset" w:sz="6" w:space="0" w:color="auto"/>
              <w:right w:val="outset" w:sz="6" w:space="0" w:color="auto"/>
            </w:tcBorders>
          </w:tcPr>
          <w:p w:rsidR="00AC7308" w:rsidRPr="00484CD7" w:rsidRDefault="00AC7308" w:rsidP="001061B1">
            <w:pPr>
              <w:widowControl w:val="0"/>
              <w:spacing w:after="0" w:line="240" w:lineRule="auto"/>
              <w:jc w:val="both"/>
              <w:rPr>
                <w:rFonts w:ascii="Times New Roman" w:hAnsi="Times New Roman"/>
                <w:spacing w:val="-8"/>
                <w:sz w:val="24"/>
                <w:szCs w:val="24"/>
              </w:rPr>
            </w:pPr>
            <w:r w:rsidRPr="00484CD7">
              <w:rPr>
                <w:rFonts w:ascii="Times New Roman" w:hAnsi="Times New Roman"/>
                <w:spacing w:val="-8"/>
                <w:sz w:val="24"/>
                <w:szCs w:val="24"/>
              </w:rPr>
              <w:t xml:space="preserve">Підвищення загального рівня прозорості фінансової системи України  </w:t>
            </w:r>
          </w:p>
        </w:tc>
        <w:tc>
          <w:tcPr>
            <w:tcW w:w="4394" w:type="dxa"/>
            <w:tcBorders>
              <w:top w:val="outset" w:sz="6" w:space="0" w:color="auto"/>
              <w:left w:val="outset" w:sz="6" w:space="0" w:color="auto"/>
              <w:bottom w:val="outset" w:sz="6" w:space="0" w:color="auto"/>
              <w:right w:val="outset" w:sz="6" w:space="0" w:color="auto"/>
            </w:tcBorders>
          </w:tcPr>
          <w:p w:rsidR="00AC7308" w:rsidRPr="00484CD7" w:rsidRDefault="00AC7308" w:rsidP="001061B1">
            <w:pPr>
              <w:widowControl w:val="0"/>
              <w:spacing w:after="0" w:line="240" w:lineRule="auto"/>
              <w:jc w:val="both"/>
              <w:rPr>
                <w:rFonts w:ascii="Times New Roman" w:hAnsi="Times New Roman"/>
                <w:spacing w:val="-8"/>
                <w:sz w:val="24"/>
                <w:szCs w:val="24"/>
              </w:rPr>
            </w:pPr>
            <w:r w:rsidRPr="00484CD7">
              <w:rPr>
                <w:rFonts w:ascii="Times New Roman" w:hAnsi="Times New Roman"/>
                <w:spacing w:val="-8"/>
                <w:sz w:val="24"/>
                <w:szCs w:val="24"/>
              </w:rPr>
              <w:t>Основні витрати суб’єктів господарювання у разі запровадження норм законопроекту пов’язані з тим, що суб’єктам господарювання необхідно буде заповнювати та передавати інформацію про відкритті банківські рахунки</w:t>
            </w:r>
            <w:r w:rsidRPr="00484CD7">
              <w:rPr>
                <w:rFonts w:ascii="Times New Roman" w:hAnsi="Times New Roman"/>
                <w:sz w:val="24"/>
                <w:szCs w:val="24"/>
              </w:rPr>
              <w:t xml:space="preserve">, рахунки у цінних паперах </w:t>
            </w:r>
            <w:r w:rsidRPr="00484CD7">
              <w:rPr>
                <w:rFonts w:ascii="Times New Roman" w:hAnsi="Times New Roman"/>
                <w:spacing w:val="-8"/>
                <w:sz w:val="24"/>
                <w:szCs w:val="24"/>
              </w:rPr>
              <w:t xml:space="preserve"> фізичних і юридичних осіб та індивідуальні банківські сейфи в електронному вигляді.</w:t>
            </w:r>
          </w:p>
          <w:p w:rsidR="00AC7308" w:rsidRPr="00484CD7" w:rsidRDefault="00AC7308" w:rsidP="001061B1">
            <w:pPr>
              <w:widowControl w:val="0"/>
              <w:spacing w:after="0" w:line="240" w:lineRule="auto"/>
              <w:jc w:val="both"/>
              <w:rPr>
                <w:rFonts w:ascii="Times New Roman" w:hAnsi="Times New Roman"/>
                <w:spacing w:val="-8"/>
                <w:sz w:val="24"/>
                <w:szCs w:val="24"/>
              </w:rPr>
            </w:pPr>
            <w:r w:rsidRPr="00484CD7">
              <w:rPr>
                <w:rFonts w:ascii="Times New Roman" w:hAnsi="Times New Roman"/>
                <w:spacing w:val="-8"/>
                <w:sz w:val="24"/>
                <w:szCs w:val="24"/>
              </w:rPr>
              <w:t>Суб’єкти господарювання витрачають незначний час для заповнення визначеної інформації на передають її до ДПС (в середньому 10 хвилин (0,17 год)).</w:t>
            </w:r>
          </w:p>
          <w:p w:rsidR="00AC7308" w:rsidRPr="00484CD7" w:rsidRDefault="00AC7308" w:rsidP="001061B1">
            <w:pPr>
              <w:widowControl w:val="0"/>
              <w:spacing w:after="0" w:line="240" w:lineRule="auto"/>
              <w:jc w:val="both"/>
              <w:rPr>
                <w:rFonts w:ascii="Times New Roman" w:hAnsi="Times New Roman"/>
                <w:spacing w:val="-8"/>
                <w:sz w:val="24"/>
                <w:szCs w:val="24"/>
              </w:rPr>
            </w:pPr>
            <w:r w:rsidRPr="00484CD7">
              <w:rPr>
                <w:rFonts w:ascii="Times New Roman" w:hAnsi="Times New Roman"/>
                <w:spacing w:val="-8"/>
                <w:sz w:val="24"/>
                <w:szCs w:val="24"/>
              </w:rPr>
              <w:t>Витрати на заповнення інформації юридичної особи складатимуть:</w:t>
            </w:r>
          </w:p>
          <w:p w:rsidR="00AC7308" w:rsidRPr="00484CD7" w:rsidRDefault="00AC7308" w:rsidP="001061B1">
            <w:pPr>
              <w:widowControl w:val="0"/>
              <w:spacing w:after="0" w:line="240" w:lineRule="auto"/>
              <w:jc w:val="both"/>
              <w:rPr>
                <w:rFonts w:ascii="Times New Roman" w:hAnsi="Times New Roman"/>
                <w:spacing w:val="-8"/>
                <w:sz w:val="24"/>
                <w:szCs w:val="24"/>
                <w:lang w:val="ru-RU"/>
              </w:rPr>
            </w:pPr>
            <w:r w:rsidRPr="00484CD7">
              <w:rPr>
                <w:rFonts w:ascii="Times New Roman" w:hAnsi="Times New Roman"/>
                <w:spacing w:val="-8"/>
                <w:sz w:val="24"/>
                <w:szCs w:val="24"/>
              </w:rPr>
              <w:t>1 с. с. в.</w:t>
            </w:r>
            <w:r w:rsidRPr="00484CD7">
              <w:rPr>
                <w:rFonts w:ascii="Times New Roman" w:hAnsi="Times New Roman"/>
                <w:spacing w:val="-8"/>
                <w:sz w:val="24"/>
                <w:szCs w:val="24"/>
                <w:lang w:val="ru-RU"/>
              </w:rPr>
              <w:t xml:space="preserve"> ю. о. Х 0,17 год Х </w:t>
            </w:r>
            <w:r w:rsidRPr="00484CD7">
              <w:rPr>
                <w:rFonts w:ascii="Times New Roman" w:hAnsi="Times New Roman"/>
                <w:sz w:val="24"/>
                <w:szCs w:val="24"/>
                <w:lang w:val="ru-RU"/>
              </w:rPr>
              <w:t>39,26</w:t>
            </w:r>
            <w:r w:rsidRPr="00484CD7">
              <w:rPr>
                <w:rFonts w:ascii="Times New Roman" w:hAnsi="Times New Roman"/>
                <w:spacing w:val="-8"/>
                <w:sz w:val="24"/>
                <w:szCs w:val="24"/>
                <w:lang w:val="ru-RU"/>
              </w:rPr>
              <w:t xml:space="preserve"> </w:t>
            </w:r>
            <w:proofErr w:type="spellStart"/>
            <w:r w:rsidRPr="00484CD7">
              <w:rPr>
                <w:rFonts w:ascii="Times New Roman" w:hAnsi="Times New Roman"/>
                <w:spacing w:val="-8"/>
                <w:sz w:val="24"/>
                <w:szCs w:val="24"/>
                <w:lang w:val="ru-RU"/>
              </w:rPr>
              <w:t>грн</w:t>
            </w:r>
            <w:proofErr w:type="spellEnd"/>
            <w:r w:rsidRPr="00484CD7">
              <w:rPr>
                <w:rFonts w:ascii="Times New Roman" w:hAnsi="Times New Roman"/>
                <w:spacing w:val="-8"/>
                <w:sz w:val="24"/>
                <w:szCs w:val="24"/>
                <w:lang w:val="ru-RU"/>
              </w:rPr>
              <w:t xml:space="preserve">/год = </w:t>
            </w:r>
            <w:r w:rsidRPr="00484CD7">
              <w:rPr>
                <w:rFonts w:ascii="Times New Roman" w:hAnsi="Times New Roman"/>
                <w:sz w:val="24"/>
                <w:szCs w:val="24"/>
                <w:lang w:val="ru-RU"/>
              </w:rPr>
              <w:t>6,67</w:t>
            </w:r>
            <w:r w:rsidRPr="00484CD7">
              <w:rPr>
                <w:rFonts w:ascii="Times New Roman" w:hAnsi="Times New Roman"/>
                <w:spacing w:val="-8"/>
                <w:sz w:val="24"/>
                <w:szCs w:val="24"/>
                <w:lang w:val="ru-RU"/>
              </w:rPr>
              <w:t xml:space="preserve"> </w:t>
            </w:r>
            <w:proofErr w:type="spellStart"/>
            <w:r w:rsidRPr="00484CD7">
              <w:rPr>
                <w:rFonts w:ascii="Times New Roman" w:hAnsi="Times New Roman"/>
                <w:spacing w:val="-8"/>
                <w:sz w:val="24"/>
                <w:szCs w:val="24"/>
                <w:lang w:val="ru-RU"/>
              </w:rPr>
              <w:t>грн</w:t>
            </w:r>
            <w:proofErr w:type="spellEnd"/>
          </w:p>
        </w:tc>
      </w:tr>
    </w:tbl>
    <w:p w:rsidR="00AC7308" w:rsidRPr="00484CD7" w:rsidRDefault="00AC7308" w:rsidP="00AC7308">
      <w:pPr>
        <w:widowControl w:val="0"/>
        <w:tabs>
          <w:tab w:val="left" w:pos="993"/>
        </w:tabs>
        <w:spacing w:before="120" w:after="120" w:line="240" w:lineRule="auto"/>
        <w:jc w:val="both"/>
        <w:outlineLvl w:val="2"/>
        <w:rPr>
          <w:rFonts w:ascii="Times New Roman" w:hAnsi="Times New Roman"/>
          <w:b/>
          <w:bCs/>
          <w:spacing w:val="-8"/>
          <w:sz w:val="24"/>
          <w:szCs w:val="24"/>
          <w:highlight w:val="yellow"/>
          <w:lang w:val="ru-RU"/>
        </w:rPr>
      </w:pPr>
    </w:p>
    <w:tbl>
      <w:tblPr>
        <w:tblStyle w:val="afb"/>
        <w:tblW w:w="9639" w:type="dxa"/>
        <w:tblInd w:w="-5" w:type="dxa"/>
        <w:tblLook w:val="04A0" w:firstRow="1" w:lastRow="0" w:firstColumn="1" w:lastColumn="0" w:noHBand="0" w:noVBand="1"/>
      </w:tblPr>
      <w:tblGrid>
        <w:gridCol w:w="7938"/>
        <w:gridCol w:w="1701"/>
      </w:tblGrid>
      <w:tr w:rsidR="00AC7308" w:rsidRPr="00484CD7" w:rsidTr="001061B1">
        <w:tc>
          <w:tcPr>
            <w:tcW w:w="7938" w:type="dxa"/>
          </w:tcPr>
          <w:p w:rsidR="00AC7308" w:rsidRPr="00484CD7" w:rsidRDefault="00AC7308" w:rsidP="001061B1">
            <w:pPr>
              <w:pStyle w:val="a3"/>
              <w:spacing w:line="240" w:lineRule="auto"/>
              <w:ind w:left="0"/>
              <w:jc w:val="center"/>
              <w:rPr>
                <w:rFonts w:ascii="Times New Roman" w:hAnsi="Times New Roman"/>
                <w:b/>
                <w:bCs/>
                <w:sz w:val="24"/>
                <w:szCs w:val="24"/>
                <w:shd w:val="clear" w:color="auto" w:fill="FFFFFF"/>
              </w:rPr>
            </w:pPr>
            <w:r w:rsidRPr="00484CD7">
              <w:rPr>
                <w:rFonts w:ascii="Times New Roman" w:hAnsi="Times New Roman"/>
                <w:b/>
                <w:sz w:val="24"/>
                <w:szCs w:val="24"/>
              </w:rPr>
              <w:t>Сумарні витрати за альтернативами</w:t>
            </w:r>
          </w:p>
        </w:tc>
        <w:tc>
          <w:tcPr>
            <w:tcW w:w="1701" w:type="dxa"/>
          </w:tcPr>
          <w:p w:rsidR="00AC7308" w:rsidRPr="00484CD7" w:rsidRDefault="00AC7308" w:rsidP="001061B1">
            <w:pPr>
              <w:pStyle w:val="a3"/>
              <w:spacing w:line="240" w:lineRule="auto"/>
              <w:ind w:left="0"/>
              <w:jc w:val="center"/>
              <w:rPr>
                <w:rFonts w:ascii="Times New Roman" w:hAnsi="Times New Roman"/>
                <w:b/>
                <w:bCs/>
                <w:sz w:val="24"/>
                <w:szCs w:val="24"/>
                <w:shd w:val="clear" w:color="auto" w:fill="FFFFFF"/>
              </w:rPr>
            </w:pPr>
            <w:r w:rsidRPr="00484CD7">
              <w:rPr>
                <w:rFonts w:ascii="Times New Roman" w:hAnsi="Times New Roman"/>
                <w:b/>
                <w:bCs/>
                <w:sz w:val="24"/>
                <w:szCs w:val="24"/>
                <w:shd w:val="clear" w:color="auto" w:fill="FFFFFF"/>
              </w:rPr>
              <w:t>Сума витрат, гривень</w:t>
            </w:r>
          </w:p>
        </w:tc>
      </w:tr>
      <w:tr w:rsidR="00AC7308" w:rsidTr="001061B1">
        <w:tc>
          <w:tcPr>
            <w:tcW w:w="7938" w:type="dxa"/>
          </w:tcPr>
          <w:p w:rsidR="00AC7308" w:rsidRDefault="00AC7308" w:rsidP="001061B1">
            <w:pPr>
              <w:pStyle w:val="a3"/>
              <w:spacing w:line="240" w:lineRule="auto"/>
              <w:ind w:left="0"/>
              <w:rPr>
                <w:rFonts w:ascii="Times New Roman" w:hAnsi="Times New Roman"/>
                <w:b/>
              </w:rPr>
            </w:pPr>
            <w:r w:rsidRPr="0099687A">
              <w:rPr>
                <w:rFonts w:ascii="Times New Roman" w:hAnsi="Times New Roman"/>
                <w:spacing w:val="-8"/>
                <w:sz w:val="24"/>
                <w:szCs w:val="24"/>
              </w:rPr>
              <w:t>Відсутність регулювання</w:t>
            </w:r>
          </w:p>
        </w:tc>
        <w:tc>
          <w:tcPr>
            <w:tcW w:w="1701" w:type="dxa"/>
          </w:tcPr>
          <w:p w:rsidR="00AC7308" w:rsidRDefault="00AC7308" w:rsidP="001061B1">
            <w:pPr>
              <w:pStyle w:val="a3"/>
              <w:spacing w:line="240" w:lineRule="auto"/>
              <w:ind w:left="0"/>
              <w:jc w:val="center"/>
              <w:rPr>
                <w:rFonts w:ascii="Times New Roman" w:hAnsi="Times New Roman"/>
                <w:b/>
                <w:bCs/>
                <w:shd w:val="clear" w:color="auto" w:fill="FFFFFF"/>
              </w:rPr>
            </w:pPr>
            <w:r>
              <w:rPr>
                <w:rFonts w:ascii="Times New Roman" w:hAnsi="Times New Roman"/>
                <w:bCs/>
                <w:sz w:val="22"/>
                <w:szCs w:val="22"/>
                <w:shd w:val="clear" w:color="auto" w:fill="FFFFFF"/>
              </w:rPr>
              <w:t>-</w:t>
            </w:r>
          </w:p>
        </w:tc>
      </w:tr>
      <w:tr w:rsidR="00AC7308" w:rsidTr="001061B1">
        <w:tc>
          <w:tcPr>
            <w:tcW w:w="7938" w:type="dxa"/>
          </w:tcPr>
          <w:p w:rsidR="00AC7308" w:rsidRDefault="00AC7308" w:rsidP="001061B1">
            <w:pPr>
              <w:pStyle w:val="a3"/>
              <w:spacing w:after="0" w:line="240" w:lineRule="auto"/>
              <w:ind w:left="0"/>
              <w:jc w:val="both"/>
              <w:rPr>
                <w:rFonts w:ascii="Times New Roman" w:hAnsi="Times New Roman"/>
                <w:spacing w:val="-8"/>
                <w:sz w:val="24"/>
                <w:szCs w:val="24"/>
              </w:rPr>
            </w:pPr>
            <w:r w:rsidRPr="0099687A">
              <w:rPr>
                <w:rFonts w:ascii="Times New Roman" w:hAnsi="Times New Roman"/>
                <w:spacing w:val="-8"/>
                <w:sz w:val="24"/>
                <w:szCs w:val="24"/>
              </w:rPr>
              <w:t xml:space="preserve">Затвердження регуляторного </w:t>
            </w:r>
            <w:proofErr w:type="spellStart"/>
            <w:r w:rsidRPr="0099687A">
              <w:rPr>
                <w:rFonts w:ascii="Times New Roman" w:hAnsi="Times New Roman"/>
                <w:spacing w:val="-8"/>
                <w:sz w:val="24"/>
                <w:szCs w:val="24"/>
              </w:rPr>
              <w:t>акта</w:t>
            </w:r>
            <w:proofErr w:type="spellEnd"/>
            <w:r w:rsidRPr="0099687A">
              <w:rPr>
                <w:rFonts w:ascii="Times New Roman" w:hAnsi="Times New Roman"/>
                <w:spacing w:val="-8"/>
                <w:sz w:val="24"/>
                <w:szCs w:val="24"/>
              </w:rPr>
              <w:t xml:space="preserve"> </w:t>
            </w:r>
          </w:p>
          <w:p w:rsidR="00AC7308" w:rsidRPr="002E5355" w:rsidRDefault="00AC7308" w:rsidP="001061B1">
            <w:pPr>
              <w:pStyle w:val="a3"/>
              <w:spacing w:after="0" w:line="240" w:lineRule="auto"/>
              <w:ind w:left="0"/>
              <w:jc w:val="both"/>
              <w:rPr>
                <w:rFonts w:ascii="Times New Roman" w:hAnsi="Times New Roman"/>
                <w:spacing w:val="-8"/>
                <w:sz w:val="24"/>
                <w:szCs w:val="24"/>
              </w:rPr>
            </w:pPr>
            <w:r w:rsidRPr="002E5355">
              <w:rPr>
                <w:rFonts w:ascii="Times New Roman" w:hAnsi="Times New Roman"/>
                <w:spacing w:val="-8"/>
                <w:sz w:val="24"/>
                <w:szCs w:val="24"/>
              </w:rPr>
              <w:t xml:space="preserve">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w:t>
            </w:r>
            <w:proofErr w:type="spellStart"/>
            <w:r w:rsidRPr="002E5355">
              <w:rPr>
                <w:rFonts w:ascii="Times New Roman" w:hAnsi="Times New Roman"/>
                <w:spacing w:val="-8"/>
                <w:sz w:val="24"/>
                <w:szCs w:val="24"/>
              </w:rPr>
              <w:t>акта</w:t>
            </w:r>
            <w:proofErr w:type="spellEnd"/>
            <w:r w:rsidRPr="002E5355">
              <w:rPr>
                <w:rFonts w:ascii="Times New Roman" w:hAnsi="Times New Roman"/>
                <w:spacing w:val="-8"/>
                <w:sz w:val="24"/>
                <w:szCs w:val="24"/>
              </w:rPr>
              <w:t xml:space="preserve"> (рядок 11 таблиці «Сумарні витрати суб’єктів господарювання великого і середнього підприємництва, на виконання регулювання»)</w:t>
            </w:r>
          </w:p>
        </w:tc>
        <w:tc>
          <w:tcPr>
            <w:tcW w:w="1701" w:type="dxa"/>
            <w:vAlign w:val="center"/>
          </w:tcPr>
          <w:p w:rsidR="00AC7308" w:rsidRDefault="00AC7308" w:rsidP="001061B1">
            <w:pPr>
              <w:pStyle w:val="a3"/>
              <w:spacing w:line="240" w:lineRule="auto"/>
              <w:ind w:left="0"/>
              <w:jc w:val="center"/>
              <w:rPr>
                <w:rFonts w:ascii="Times New Roman" w:hAnsi="Times New Roman"/>
                <w:bCs/>
                <w:sz w:val="22"/>
                <w:szCs w:val="22"/>
                <w:shd w:val="clear" w:color="auto" w:fill="FFFFFF"/>
              </w:rPr>
            </w:pPr>
            <w:r>
              <w:rPr>
                <w:rFonts w:ascii="Times New Roman" w:hAnsi="Times New Roman"/>
                <w:bCs/>
                <w:sz w:val="22"/>
                <w:szCs w:val="22"/>
                <w:shd w:val="clear" w:color="auto" w:fill="FFFFFF"/>
                <w:lang w:val="en-US"/>
              </w:rPr>
              <w:t>2</w:t>
            </w:r>
            <w:r>
              <w:rPr>
                <w:rFonts w:ascii="Times New Roman" w:hAnsi="Times New Roman"/>
                <w:sz w:val="22"/>
                <w:szCs w:val="22"/>
                <w:shd w:val="clear" w:color="auto" w:fill="FFFFFF"/>
                <w:lang w:val="en-US"/>
              </w:rPr>
              <w:t>73,47</w:t>
            </w:r>
          </w:p>
        </w:tc>
      </w:tr>
    </w:tbl>
    <w:p w:rsidR="00AC7308" w:rsidRDefault="00AC7308" w:rsidP="00AC7308">
      <w:pPr>
        <w:pStyle w:val="a3"/>
        <w:widowControl w:val="0"/>
        <w:numPr>
          <w:ilvl w:val="0"/>
          <w:numId w:val="4"/>
        </w:numPr>
        <w:tabs>
          <w:tab w:val="left" w:pos="993"/>
        </w:tabs>
        <w:spacing w:before="240" w:after="120" w:line="240" w:lineRule="auto"/>
        <w:ind w:left="0" w:firstLine="567"/>
        <w:jc w:val="both"/>
        <w:outlineLvl w:val="2"/>
        <w:rPr>
          <w:rFonts w:ascii="Times New Roman" w:hAnsi="Times New Roman"/>
          <w:b/>
          <w:bCs/>
          <w:spacing w:val="-8"/>
          <w:sz w:val="28"/>
          <w:szCs w:val="28"/>
        </w:rPr>
      </w:pPr>
      <w:r>
        <w:rPr>
          <w:rFonts w:ascii="Times New Roman" w:hAnsi="Times New Roman"/>
          <w:b/>
          <w:bCs/>
          <w:spacing w:val="-8"/>
          <w:sz w:val="28"/>
          <w:szCs w:val="28"/>
        </w:rPr>
        <w:t>Вибір найбільш оптимального альтернативного способу досягнення цілей</w:t>
      </w:r>
    </w:p>
    <w:tbl>
      <w:tblPr>
        <w:tblpPr w:leftFromText="180" w:rightFromText="180" w:vertAnchor="text" w:horzAnchor="margin" w:tblpY="195"/>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2268"/>
        <w:gridCol w:w="4677"/>
      </w:tblGrid>
      <w:tr w:rsidR="00AC7308" w:rsidRPr="00484CD7" w:rsidTr="001061B1">
        <w:tc>
          <w:tcPr>
            <w:tcW w:w="2689" w:type="dxa"/>
            <w:vAlign w:val="center"/>
          </w:tcPr>
          <w:p w:rsidR="00AC7308" w:rsidRPr="00484CD7" w:rsidRDefault="00AC7308" w:rsidP="001061B1">
            <w:pPr>
              <w:widowControl w:val="0"/>
              <w:spacing w:after="0" w:line="240" w:lineRule="auto"/>
              <w:jc w:val="center"/>
              <w:rPr>
                <w:rFonts w:ascii="Times New Roman" w:hAnsi="Times New Roman"/>
                <w:spacing w:val="-8"/>
                <w:sz w:val="24"/>
                <w:szCs w:val="24"/>
              </w:rPr>
            </w:pPr>
            <w:r w:rsidRPr="00484CD7">
              <w:rPr>
                <w:rFonts w:ascii="Times New Roman" w:hAnsi="Times New Roman"/>
                <w:spacing w:val="-8"/>
                <w:sz w:val="24"/>
                <w:szCs w:val="24"/>
              </w:rPr>
              <w:t>Рейтинг результативності (досягнення цілей під час вирішення проблеми)</w:t>
            </w:r>
          </w:p>
        </w:tc>
        <w:tc>
          <w:tcPr>
            <w:tcW w:w="2268" w:type="dxa"/>
            <w:vAlign w:val="center"/>
          </w:tcPr>
          <w:p w:rsidR="00AC7308" w:rsidRPr="00484CD7" w:rsidRDefault="00AC7308" w:rsidP="001061B1">
            <w:pPr>
              <w:widowControl w:val="0"/>
              <w:spacing w:after="0" w:line="240" w:lineRule="auto"/>
              <w:ind w:left="-45"/>
              <w:jc w:val="center"/>
              <w:rPr>
                <w:rFonts w:ascii="Times New Roman" w:hAnsi="Times New Roman"/>
                <w:spacing w:val="-8"/>
                <w:sz w:val="24"/>
                <w:szCs w:val="24"/>
              </w:rPr>
            </w:pPr>
            <w:r w:rsidRPr="00484CD7">
              <w:rPr>
                <w:rFonts w:ascii="Times New Roman" w:hAnsi="Times New Roman"/>
                <w:spacing w:val="-8"/>
                <w:sz w:val="24"/>
                <w:szCs w:val="24"/>
              </w:rPr>
              <w:t>Бал результативності (за чотирибальною системою оцінки)</w:t>
            </w:r>
          </w:p>
        </w:tc>
        <w:tc>
          <w:tcPr>
            <w:tcW w:w="4677" w:type="dxa"/>
            <w:vAlign w:val="center"/>
          </w:tcPr>
          <w:p w:rsidR="00AC7308" w:rsidRPr="00484CD7" w:rsidRDefault="00AC7308" w:rsidP="001061B1">
            <w:pPr>
              <w:widowControl w:val="0"/>
              <w:spacing w:after="0" w:line="240" w:lineRule="auto"/>
              <w:jc w:val="center"/>
              <w:rPr>
                <w:rFonts w:ascii="Times New Roman" w:hAnsi="Times New Roman"/>
                <w:spacing w:val="-8"/>
                <w:sz w:val="24"/>
                <w:szCs w:val="24"/>
              </w:rPr>
            </w:pPr>
            <w:r w:rsidRPr="00484CD7">
              <w:rPr>
                <w:rFonts w:ascii="Times New Roman" w:hAnsi="Times New Roman"/>
                <w:spacing w:val="-8"/>
                <w:sz w:val="24"/>
                <w:szCs w:val="24"/>
              </w:rPr>
              <w:t xml:space="preserve">Коментарі щодо присвоєння відповідного </w:t>
            </w:r>
            <w:proofErr w:type="spellStart"/>
            <w:r w:rsidRPr="00484CD7">
              <w:rPr>
                <w:rFonts w:ascii="Times New Roman" w:hAnsi="Times New Roman"/>
                <w:spacing w:val="-8"/>
                <w:sz w:val="24"/>
                <w:szCs w:val="24"/>
              </w:rPr>
              <w:t>бала</w:t>
            </w:r>
            <w:proofErr w:type="spellEnd"/>
          </w:p>
        </w:tc>
      </w:tr>
      <w:tr w:rsidR="00AC7308" w:rsidRPr="00484CD7" w:rsidTr="001061B1">
        <w:tc>
          <w:tcPr>
            <w:tcW w:w="2689" w:type="dxa"/>
          </w:tcPr>
          <w:p w:rsidR="00AC7308" w:rsidRPr="00484CD7" w:rsidRDefault="00AC7308" w:rsidP="001061B1">
            <w:pPr>
              <w:spacing w:after="0" w:line="240" w:lineRule="auto"/>
              <w:jc w:val="both"/>
              <w:rPr>
                <w:rFonts w:ascii="Times New Roman" w:hAnsi="Times New Roman"/>
                <w:spacing w:val="-8"/>
                <w:sz w:val="24"/>
                <w:szCs w:val="24"/>
              </w:rPr>
            </w:pPr>
            <w:r w:rsidRPr="00484CD7">
              <w:rPr>
                <w:rFonts w:ascii="Times New Roman" w:hAnsi="Times New Roman"/>
                <w:spacing w:val="-8"/>
                <w:sz w:val="24"/>
                <w:szCs w:val="24"/>
              </w:rPr>
              <w:t xml:space="preserve">Відсутність регулювання </w:t>
            </w:r>
          </w:p>
        </w:tc>
        <w:tc>
          <w:tcPr>
            <w:tcW w:w="2268" w:type="dxa"/>
            <w:vAlign w:val="center"/>
          </w:tcPr>
          <w:p w:rsidR="00AC7308" w:rsidRPr="00484CD7" w:rsidRDefault="00AC7308" w:rsidP="001061B1">
            <w:pPr>
              <w:spacing w:after="0" w:line="240" w:lineRule="auto"/>
              <w:ind w:firstLine="112"/>
              <w:jc w:val="center"/>
              <w:rPr>
                <w:rFonts w:ascii="Times New Roman" w:hAnsi="Times New Roman"/>
                <w:spacing w:val="-8"/>
                <w:sz w:val="24"/>
                <w:szCs w:val="24"/>
              </w:rPr>
            </w:pPr>
            <w:r w:rsidRPr="00484CD7">
              <w:rPr>
                <w:rFonts w:ascii="Times New Roman" w:hAnsi="Times New Roman"/>
                <w:spacing w:val="-8"/>
                <w:sz w:val="24"/>
                <w:szCs w:val="24"/>
              </w:rPr>
              <w:t>1</w:t>
            </w:r>
          </w:p>
        </w:tc>
        <w:tc>
          <w:tcPr>
            <w:tcW w:w="4677" w:type="dxa"/>
          </w:tcPr>
          <w:p w:rsidR="00AC7308" w:rsidRPr="00484CD7" w:rsidRDefault="00AC7308" w:rsidP="001061B1">
            <w:pPr>
              <w:spacing w:after="0" w:line="240" w:lineRule="auto"/>
              <w:jc w:val="both"/>
              <w:rPr>
                <w:rFonts w:ascii="Times New Roman" w:hAnsi="Times New Roman"/>
                <w:spacing w:val="-8"/>
                <w:sz w:val="24"/>
                <w:szCs w:val="24"/>
              </w:rPr>
            </w:pPr>
            <w:r w:rsidRPr="00484CD7">
              <w:rPr>
                <w:rFonts w:ascii="Times New Roman" w:hAnsi="Times New Roman"/>
                <w:spacing w:val="-8"/>
                <w:sz w:val="24"/>
                <w:szCs w:val="24"/>
              </w:rPr>
              <w:t>Невиконання норм Угоди про асоціацію щодо імпле</w:t>
            </w:r>
            <w:r w:rsidR="00646BB6">
              <w:rPr>
                <w:rFonts w:ascii="Times New Roman" w:hAnsi="Times New Roman"/>
                <w:spacing w:val="-8"/>
                <w:sz w:val="24"/>
                <w:szCs w:val="24"/>
              </w:rPr>
              <w:t>ментації міжнародних стандартів</w:t>
            </w:r>
            <w:r w:rsidRPr="00484CD7">
              <w:rPr>
                <w:rFonts w:ascii="Times New Roman" w:hAnsi="Times New Roman"/>
                <w:spacing w:val="-8"/>
                <w:sz w:val="24"/>
                <w:szCs w:val="24"/>
              </w:rPr>
              <w:t xml:space="preserve"> </w:t>
            </w:r>
          </w:p>
        </w:tc>
      </w:tr>
      <w:tr w:rsidR="00AC7308" w:rsidRPr="00484CD7" w:rsidTr="001061B1">
        <w:tc>
          <w:tcPr>
            <w:tcW w:w="2689" w:type="dxa"/>
          </w:tcPr>
          <w:p w:rsidR="00AC7308" w:rsidRPr="00484CD7" w:rsidRDefault="00AC7308" w:rsidP="001061B1">
            <w:pPr>
              <w:spacing w:after="0" w:line="240" w:lineRule="auto"/>
              <w:jc w:val="both"/>
              <w:rPr>
                <w:rFonts w:ascii="Times New Roman" w:hAnsi="Times New Roman"/>
                <w:spacing w:val="-8"/>
                <w:sz w:val="24"/>
                <w:szCs w:val="24"/>
              </w:rPr>
            </w:pPr>
            <w:r w:rsidRPr="00484CD7">
              <w:rPr>
                <w:rFonts w:ascii="Times New Roman" w:hAnsi="Times New Roman"/>
                <w:spacing w:val="-8"/>
                <w:sz w:val="24"/>
                <w:szCs w:val="24"/>
              </w:rPr>
              <w:t xml:space="preserve">Затвердження регуляторного </w:t>
            </w:r>
            <w:proofErr w:type="spellStart"/>
            <w:r w:rsidRPr="00484CD7">
              <w:rPr>
                <w:rFonts w:ascii="Times New Roman" w:hAnsi="Times New Roman"/>
                <w:spacing w:val="-8"/>
                <w:sz w:val="24"/>
                <w:szCs w:val="24"/>
              </w:rPr>
              <w:t>акта</w:t>
            </w:r>
            <w:proofErr w:type="spellEnd"/>
            <w:r w:rsidRPr="00484CD7">
              <w:rPr>
                <w:rFonts w:ascii="Times New Roman" w:hAnsi="Times New Roman"/>
                <w:spacing w:val="-8"/>
                <w:sz w:val="24"/>
                <w:szCs w:val="24"/>
              </w:rPr>
              <w:t xml:space="preserve"> </w:t>
            </w:r>
          </w:p>
        </w:tc>
        <w:tc>
          <w:tcPr>
            <w:tcW w:w="2268" w:type="dxa"/>
            <w:vAlign w:val="center"/>
          </w:tcPr>
          <w:p w:rsidR="00AC7308" w:rsidRPr="00484CD7" w:rsidRDefault="00AC7308" w:rsidP="001061B1">
            <w:pPr>
              <w:spacing w:after="0" w:line="240" w:lineRule="auto"/>
              <w:ind w:firstLine="112"/>
              <w:jc w:val="center"/>
              <w:rPr>
                <w:rFonts w:ascii="Times New Roman" w:hAnsi="Times New Roman"/>
                <w:spacing w:val="-8"/>
                <w:sz w:val="24"/>
                <w:szCs w:val="24"/>
              </w:rPr>
            </w:pPr>
            <w:r w:rsidRPr="00484CD7">
              <w:rPr>
                <w:rFonts w:ascii="Times New Roman" w:hAnsi="Times New Roman"/>
                <w:spacing w:val="-8"/>
                <w:sz w:val="24"/>
                <w:szCs w:val="24"/>
              </w:rPr>
              <w:t>4</w:t>
            </w:r>
          </w:p>
        </w:tc>
        <w:tc>
          <w:tcPr>
            <w:tcW w:w="4677" w:type="dxa"/>
          </w:tcPr>
          <w:p w:rsidR="00AC7308" w:rsidRPr="00484CD7" w:rsidRDefault="00AC7308" w:rsidP="001061B1">
            <w:pPr>
              <w:spacing w:after="0" w:line="240" w:lineRule="auto"/>
              <w:jc w:val="both"/>
              <w:rPr>
                <w:rFonts w:ascii="Times New Roman" w:hAnsi="Times New Roman"/>
                <w:spacing w:val="-8"/>
                <w:sz w:val="24"/>
                <w:szCs w:val="24"/>
              </w:rPr>
            </w:pPr>
            <w:r w:rsidRPr="00484CD7">
              <w:rPr>
                <w:rFonts w:ascii="Times New Roman" w:hAnsi="Times New Roman"/>
                <w:spacing w:val="-8"/>
                <w:sz w:val="24"/>
                <w:szCs w:val="24"/>
              </w:rPr>
              <w:t>Прогрес у розбудові національної системи фінансового моніторингу та підтвердження зростання ефективності дій учасн</w:t>
            </w:r>
            <w:r w:rsidR="00646BB6">
              <w:rPr>
                <w:rFonts w:ascii="Times New Roman" w:hAnsi="Times New Roman"/>
                <w:spacing w:val="-8"/>
                <w:sz w:val="24"/>
                <w:szCs w:val="24"/>
              </w:rPr>
              <w:t xml:space="preserve">иків </w:t>
            </w:r>
            <w:proofErr w:type="spellStart"/>
            <w:r w:rsidR="00646BB6">
              <w:rPr>
                <w:rFonts w:ascii="Times New Roman" w:hAnsi="Times New Roman"/>
                <w:spacing w:val="-8"/>
                <w:sz w:val="24"/>
                <w:szCs w:val="24"/>
              </w:rPr>
              <w:t>антилегалізаційної</w:t>
            </w:r>
            <w:proofErr w:type="spellEnd"/>
            <w:r w:rsidR="00646BB6">
              <w:rPr>
                <w:rFonts w:ascii="Times New Roman" w:hAnsi="Times New Roman"/>
                <w:spacing w:val="-8"/>
                <w:sz w:val="24"/>
                <w:szCs w:val="24"/>
              </w:rPr>
              <w:t xml:space="preserve"> системи</w:t>
            </w:r>
          </w:p>
        </w:tc>
      </w:tr>
    </w:tbl>
    <w:p w:rsidR="00AC7308" w:rsidRPr="00484CD7" w:rsidRDefault="00AC7308" w:rsidP="00AC7308">
      <w:pPr>
        <w:widowControl w:val="0"/>
        <w:tabs>
          <w:tab w:val="left" w:pos="993"/>
        </w:tabs>
        <w:spacing w:after="0" w:line="240" w:lineRule="auto"/>
        <w:jc w:val="both"/>
        <w:outlineLvl w:val="2"/>
        <w:rPr>
          <w:rFonts w:ascii="Times New Roman" w:hAnsi="Times New Roman"/>
          <w:b/>
          <w:bCs/>
          <w:spacing w:val="-8"/>
          <w:sz w:val="24"/>
          <w:szCs w:val="24"/>
          <w:highlight w:val="yellow"/>
        </w:rPr>
      </w:pPr>
    </w:p>
    <w:tbl>
      <w:tblPr>
        <w:tblW w:w="963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2909"/>
        <w:gridCol w:w="2644"/>
        <w:gridCol w:w="2242"/>
      </w:tblGrid>
      <w:tr w:rsidR="00AC7308" w:rsidRPr="00484CD7" w:rsidTr="001061B1">
        <w:tc>
          <w:tcPr>
            <w:tcW w:w="1701" w:type="dxa"/>
            <w:tcBorders>
              <w:top w:val="outset" w:sz="6" w:space="0" w:color="auto"/>
              <w:left w:val="outset" w:sz="6" w:space="0" w:color="auto"/>
              <w:bottom w:val="single" w:sz="4" w:space="0" w:color="auto"/>
              <w:right w:val="outset" w:sz="6" w:space="0" w:color="auto"/>
            </w:tcBorders>
          </w:tcPr>
          <w:p w:rsidR="00AC7308" w:rsidRPr="00484CD7" w:rsidRDefault="00AC7308" w:rsidP="001061B1">
            <w:pPr>
              <w:widowControl w:val="0"/>
              <w:spacing w:after="0" w:line="240" w:lineRule="auto"/>
              <w:jc w:val="center"/>
              <w:rPr>
                <w:rFonts w:ascii="Times New Roman" w:hAnsi="Times New Roman"/>
                <w:spacing w:val="-8"/>
                <w:sz w:val="24"/>
                <w:szCs w:val="24"/>
              </w:rPr>
            </w:pPr>
            <w:r w:rsidRPr="00484CD7">
              <w:rPr>
                <w:rFonts w:ascii="Times New Roman" w:hAnsi="Times New Roman"/>
                <w:spacing w:val="-8"/>
                <w:sz w:val="24"/>
                <w:szCs w:val="24"/>
              </w:rPr>
              <w:t>Рейтинг результативності</w:t>
            </w:r>
          </w:p>
        </w:tc>
        <w:tc>
          <w:tcPr>
            <w:tcW w:w="2977" w:type="dxa"/>
            <w:tcBorders>
              <w:top w:val="outset" w:sz="6" w:space="0" w:color="auto"/>
              <w:left w:val="outset" w:sz="6" w:space="0" w:color="auto"/>
              <w:bottom w:val="single" w:sz="4" w:space="0" w:color="auto"/>
              <w:right w:val="outset" w:sz="6" w:space="0" w:color="auto"/>
            </w:tcBorders>
          </w:tcPr>
          <w:p w:rsidR="00AC7308" w:rsidRPr="00484CD7" w:rsidRDefault="00AC7308" w:rsidP="001061B1">
            <w:pPr>
              <w:widowControl w:val="0"/>
              <w:spacing w:after="0" w:line="240" w:lineRule="auto"/>
              <w:jc w:val="center"/>
              <w:rPr>
                <w:rFonts w:ascii="Times New Roman" w:hAnsi="Times New Roman"/>
                <w:spacing w:val="-8"/>
                <w:sz w:val="24"/>
                <w:szCs w:val="24"/>
              </w:rPr>
            </w:pPr>
            <w:r w:rsidRPr="00484CD7">
              <w:rPr>
                <w:rFonts w:ascii="Times New Roman" w:hAnsi="Times New Roman"/>
                <w:spacing w:val="-8"/>
                <w:sz w:val="24"/>
                <w:szCs w:val="24"/>
              </w:rPr>
              <w:t>Вигоди (підсумок)</w:t>
            </w:r>
          </w:p>
        </w:tc>
        <w:tc>
          <w:tcPr>
            <w:tcW w:w="2693" w:type="dxa"/>
            <w:tcBorders>
              <w:top w:val="outset" w:sz="6" w:space="0" w:color="auto"/>
              <w:left w:val="outset" w:sz="6" w:space="0" w:color="auto"/>
              <w:bottom w:val="single" w:sz="4" w:space="0" w:color="auto"/>
              <w:right w:val="outset" w:sz="6" w:space="0" w:color="auto"/>
            </w:tcBorders>
          </w:tcPr>
          <w:p w:rsidR="00AC7308" w:rsidRPr="00484CD7" w:rsidRDefault="00AC7308" w:rsidP="001061B1">
            <w:pPr>
              <w:widowControl w:val="0"/>
              <w:spacing w:after="0" w:line="240" w:lineRule="auto"/>
              <w:jc w:val="center"/>
              <w:rPr>
                <w:rFonts w:ascii="Times New Roman" w:hAnsi="Times New Roman"/>
                <w:spacing w:val="-8"/>
                <w:sz w:val="24"/>
                <w:szCs w:val="24"/>
              </w:rPr>
            </w:pPr>
            <w:r w:rsidRPr="00484CD7">
              <w:rPr>
                <w:rFonts w:ascii="Times New Roman" w:hAnsi="Times New Roman"/>
                <w:spacing w:val="-8"/>
                <w:sz w:val="24"/>
                <w:szCs w:val="24"/>
              </w:rPr>
              <w:t>Витрати (підсумок)</w:t>
            </w:r>
          </w:p>
        </w:tc>
        <w:tc>
          <w:tcPr>
            <w:tcW w:w="2268" w:type="dxa"/>
            <w:tcBorders>
              <w:top w:val="outset" w:sz="6" w:space="0" w:color="auto"/>
              <w:left w:val="outset" w:sz="6" w:space="0" w:color="auto"/>
              <w:bottom w:val="single" w:sz="4" w:space="0" w:color="auto"/>
              <w:right w:val="outset" w:sz="6" w:space="0" w:color="auto"/>
            </w:tcBorders>
          </w:tcPr>
          <w:p w:rsidR="00AC7308" w:rsidRPr="00484CD7" w:rsidRDefault="00AC7308" w:rsidP="001061B1">
            <w:pPr>
              <w:widowControl w:val="0"/>
              <w:spacing w:after="0" w:line="240" w:lineRule="auto"/>
              <w:jc w:val="center"/>
              <w:rPr>
                <w:rFonts w:ascii="Times New Roman" w:hAnsi="Times New Roman"/>
                <w:spacing w:val="-8"/>
                <w:sz w:val="24"/>
                <w:szCs w:val="24"/>
              </w:rPr>
            </w:pPr>
            <w:r w:rsidRPr="00484CD7">
              <w:rPr>
                <w:rFonts w:ascii="Times New Roman" w:hAnsi="Times New Roman"/>
                <w:spacing w:val="-8"/>
                <w:sz w:val="24"/>
                <w:szCs w:val="24"/>
              </w:rPr>
              <w:t>Обґрунтування відповідного місця альтернативи у рейтингу</w:t>
            </w:r>
          </w:p>
        </w:tc>
      </w:tr>
      <w:tr w:rsidR="00AC7308" w:rsidRPr="00484CD7" w:rsidTr="001061B1">
        <w:tc>
          <w:tcPr>
            <w:tcW w:w="1701" w:type="dxa"/>
            <w:tcBorders>
              <w:top w:val="single" w:sz="4" w:space="0" w:color="auto"/>
              <w:left w:val="single" w:sz="4" w:space="0" w:color="auto"/>
              <w:bottom w:val="single" w:sz="4" w:space="0" w:color="auto"/>
              <w:right w:val="single" w:sz="4" w:space="0" w:color="auto"/>
            </w:tcBorders>
          </w:tcPr>
          <w:p w:rsidR="00AC7308" w:rsidRPr="00484CD7" w:rsidRDefault="00AC7308" w:rsidP="001061B1">
            <w:pPr>
              <w:spacing w:after="0" w:line="240" w:lineRule="auto"/>
              <w:jc w:val="both"/>
              <w:rPr>
                <w:rFonts w:ascii="Times New Roman" w:hAnsi="Times New Roman"/>
                <w:spacing w:val="-8"/>
                <w:sz w:val="24"/>
                <w:szCs w:val="24"/>
              </w:rPr>
            </w:pPr>
            <w:r w:rsidRPr="00484CD7">
              <w:rPr>
                <w:rFonts w:ascii="Times New Roman" w:hAnsi="Times New Roman"/>
                <w:spacing w:val="-8"/>
                <w:sz w:val="24"/>
                <w:szCs w:val="24"/>
              </w:rPr>
              <w:t xml:space="preserve">Відсутність регулювання </w:t>
            </w:r>
          </w:p>
        </w:tc>
        <w:tc>
          <w:tcPr>
            <w:tcW w:w="2977" w:type="dxa"/>
            <w:tcBorders>
              <w:top w:val="single" w:sz="4" w:space="0" w:color="auto"/>
              <w:left w:val="single" w:sz="4" w:space="0" w:color="auto"/>
              <w:bottom w:val="single" w:sz="4" w:space="0" w:color="auto"/>
              <w:right w:val="single" w:sz="4" w:space="0" w:color="auto"/>
            </w:tcBorders>
          </w:tcPr>
          <w:p w:rsidR="00AC7308" w:rsidRPr="00484CD7" w:rsidRDefault="00646BB6" w:rsidP="001061B1">
            <w:pPr>
              <w:spacing w:after="0" w:line="240" w:lineRule="auto"/>
              <w:jc w:val="both"/>
              <w:rPr>
                <w:rFonts w:ascii="Times New Roman" w:hAnsi="Times New Roman"/>
                <w:spacing w:val="-8"/>
                <w:sz w:val="24"/>
                <w:szCs w:val="24"/>
              </w:rPr>
            </w:pPr>
            <w:r>
              <w:rPr>
                <w:rFonts w:ascii="Times New Roman" w:hAnsi="Times New Roman"/>
                <w:spacing w:val="-8"/>
                <w:sz w:val="24"/>
                <w:szCs w:val="24"/>
                <w:lang w:eastAsia="uk-UA"/>
              </w:rPr>
              <w:t>Відсутні</w:t>
            </w:r>
          </w:p>
        </w:tc>
        <w:tc>
          <w:tcPr>
            <w:tcW w:w="2693" w:type="dxa"/>
            <w:tcBorders>
              <w:top w:val="single" w:sz="4" w:space="0" w:color="auto"/>
              <w:left w:val="single" w:sz="4" w:space="0" w:color="auto"/>
              <w:bottom w:val="single" w:sz="4" w:space="0" w:color="auto"/>
              <w:right w:val="single" w:sz="4" w:space="0" w:color="auto"/>
            </w:tcBorders>
          </w:tcPr>
          <w:p w:rsidR="00AC7308" w:rsidRPr="00484CD7" w:rsidRDefault="00646BB6" w:rsidP="001061B1">
            <w:pPr>
              <w:spacing w:after="0" w:line="240" w:lineRule="auto"/>
              <w:jc w:val="both"/>
              <w:rPr>
                <w:rFonts w:ascii="Times New Roman" w:hAnsi="Times New Roman"/>
                <w:spacing w:val="-8"/>
                <w:sz w:val="24"/>
                <w:szCs w:val="24"/>
              </w:rPr>
            </w:pPr>
            <w:r>
              <w:rPr>
                <w:rFonts w:ascii="Times New Roman" w:hAnsi="Times New Roman"/>
                <w:spacing w:val="-8"/>
                <w:sz w:val="24"/>
                <w:szCs w:val="24"/>
                <w:lang w:eastAsia="uk-UA"/>
              </w:rPr>
              <w:t>Відсутні</w:t>
            </w:r>
          </w:p>
        </w:tc>
        <w:tc>
          <w:tcPr>
            <w:tcW w:w="2268" w:type="dxa"/>
            <w:tcBorders>
              <w:top w:val="single" w:sz="4" w:space="0" w:color="auto"/>
              <w:left w:val="single" w:sz="4" w:space="0" w:color="auto"/>
              <w:bottom w:val="single" w:sz="4" w:space="0" w:color="auto"/>
              <w:right w:val="single" w:sz="4" w:space="0" w:color="auto"/>
            </w:tcBorders>
          </w:tcPr>
          <w:p w:rsidR="00AC7308" w:rsidRPr="00484CD7" w:rsidRDefault="00AC7308" w:rsidP="001061B1">
            <w:pPr>
              <w:widowControl w:val="0"/>
              <w:spacing w:after="0" w:line="240" w:lineRule="auto"/>
              <w:jc w:val="center"/>
              <w:rPr>
                <w:rFonts w:ascii="Times New Roman" w:hAnsi="Times New Roman"/>
                <w:spacing w:val="-8"/>
                <w:sz w:val="24"/>
                <w:szCs w:val="24"/>
              </w:rPr>
            </w:pPr>
            <w:r w:rsidRPr="00484CD7">
              <w:rPr>
                <w:rFonts w:ascii="Times New Roman" w:hAnsi="Times New Roman"/>
                <w:spacing w:val="-8"/>
                <w:sz w:val="24"/>
                <w:szCs w:val="24"/>
              </w:rPr>
              <w:t xml:space="preserve">1 - цілі прийняття регуляторного </w:t>
            </w:r>
            <w:proofErr w:type="spellStart"/>
            <w:r w:rsidRPr="00484CD7">
              <w:rPr>
                <w:rFonts w:ascii="Times New Roman" w:hAnsi="Times New Roman"/>
                <w:spacing w:val="-8"/>
                <w:sz w:val="24"/>
                <w:szCs w:val="24"/>
              </w:rPr>
              <w:t>акта</w:t>
            </w:r>
            <w:proofErr w:type="spellEnd"/>
            <w:r w:rsidRPr="00484CD7">
              <w:rPr>
                <w:rFonts w:ascii="Times New Roman" w:hAnsi="Times New Roman"/>
                <w:spacing w:val="-8"/>
                <w:sz w:val="24"/>
                <w:szCs w:val="24"/>
              </w:rPr>
              <w:t xml:space="preserve"> </w:t>
            </w:r>
            <w:r w:rsidRPr="00484CD7">
              <w:rPr>
                <w:rFonts w:ascii="Times New Roman" w:hAnsi="Times New Roman"/>
                <w:spacing w:val="-8"/>
                <w:sz w:val="24"/>
                <w:szCs w:val="24"/>
              </w:rPr>
              <w:lastRenderedPageBreak/>
              <w:t>не можуть бути досягнут</w:t>
            </w:r>
            <w:r w:rsidR="00646BB6">
              <w:rPr>
                <w:rFonts w:ascii="Times New Roman" w:hAnsi="Times New Roman"/>
                <w:spacing w:val="-8"/>
                <w:sz w:val="24"/>
                <w:szCs w:val="24"/>
              </w:rPr>
              <w:t>і (проблема продовжує існувати)</w:t>
            </w:r>
          </w:p>
        </w:tc>
      </w:tr>
      <w:tr w:rsidR="00AC7308" w:rsidRPr="00484CD7" w:rsidTr="001061B1">
        <w:tc>
          <w:tcPr>
            <w:tcW w:w="1701" w:type="dxa"/>
            <w:tcBorders>
              <w:top w:val="single" w:sz="4" w:space="0" w:color="auto"/>
              <w:left w:val="outset" w:sz="6" w:space="0" w:color="auto"/>
              <w:bottom w:val="outset" w:sz="6" w:space="0" w:color="auto"/>
              <w:right w:val="outset" w:sz="6" w:space="0" w:color="auto"/>
            </w:tcBorders>
          </w:tcPr>
          <w:p w:rsidR="00AC7308" w:rsidRPr="00484CD7" w:rsidRDefault="00AC7308" w:rsidP="001061B1">
            <w:pPr>
              <w:spacing w:after="0" w:line="240" w:lineRule="auto"/>
              <w:rPr>
                <w:rFonts w:ascii="Times New Roman" w:hAnsi="Times New Roman"/>
                <w:spacing w:val="-8"/>
                <w:sz w:val="24"/>
                <w:szCs w:val="24"/>
              </w:rPr>
            </w:pPr>
            <w:r w:rsidRPr="00484CD7">
              <w:rPr>
                <w:rFonts w:ascii="Times New Roman" w:hAnsi="Times New Roman"/>
                <w:spacing w:val="-8"/>
                <w:sz w:val="24"/>
                <w:szCs w:val="24"/>
              </w:rPr>
              <w:lastRenderedPageBreak/>
              <w:t xml:space="preserve">Затвердження регуляторного </w:t>
            </w:r>
            <w:proofErr w:type="spellStart"/>
            <w:r w:rsidRPr="00484CD7">
              <w:rPr>
                <w:rFonts w:ascii="Times New Roman" w:hAnsi="Times New Roman"/>
                <w:spacing w:val="-8"/>
                <w:sz w:val="24"/>
                <w:szCs w:val="24"/>
              </w:rPr>
              <w:t>акта</w:t>
            </w:r>
            <w:proofErr w:type="spellEnd"/>
          </w:p>
        </w:tc>
        <w:tc>
          <w:tcPr>
            <w:tcW w:w="2977" w:type="dxa"/>
            <w:tcBorders>
              <w:top w:val="single" w:sz="4" w:space="0" w:color="auto"/>
              <w:left w:val="outset" w:sz="6" w:space="0" w:color="auto"/>
              <w:bottom w:val="outset" w:sz="6" w:space="0" w:color="auto"/>
              <w:right w:val="outset" w:sz="6" w:space="0" w:color="auto"/>
            </w:tcBorders>
          </w:tcPr>
          <w:p w:rsidR="00AC7308" w:rsidRPr="00484CD7" w:rsidRDefault="00AC7308" w:rsidP="001061B1">
            <w:pPr>
              <w:tabs>
                <w:tab w:val="left" w:pos="325"/>
              </w:tabs>
              <w:spacing w:after="0" w:line="240" w:lineRule="auto"/>
              <w:jc w:val="both"/>
              <w:rPr>
                <w:rFonts w:ascii="Times New Roman" w:hAnsi="Times New Roman"/>
                <w:b/>
                <w:bCs/>
                <w:spacing w:val="-8"/>
                <w:sz w:val="24"/>
                <w:szCs w:val="24"/>
              </w:rPr>
            </w:pPr>
            <w:r w:rsidRPr="00484CD7">
              <w:rPr>
                <w:rFonts w:ascii="Times New Roman" w:hAnsi="Times New Roman"/>
                <w:spacing w:val="-8"/>
                <w:sz w:val="24"/>
                <w:szCs w:val="24"/>
              </w:rPr>
              <w:t xml:space="preserve">Підвищення загального рівня прозорості фінансової системи України  </w:t>
            </w:r>
          </w:p>
        </w:tc>
        <w:tc>
          <w:tcPr>
            <w:tcW w:w="2693" w:type="dxa"/>
            <w:tcBorders>
              <w:top w:val="single" w:sz="4" w:space="0" w:color="auto"/>
              <w:left w:val="outset" w:sz="6" w:space="0" w:color="auto"/>
              <w:bottom w:val="outset" w:sz="6" w:space="0" w:color="auto"/>
              <w:right w:val="outset" w:sz="6" w:space="0" w:color="auto"/>
            </w:tcBorders>
          </w:tcPr>
          <w:p w:rsidR="00AC7308" w:rsidRPr="00484CD7" w:rsidRDefault="00AC7308" w:rsidP="00646BB6">
            <w:pPr>
              <w:spacing w:after="0" w:line="240" w:lineRule="auto"/>
              <w:jc w:val="both"/>
              <w:rPr>
                <w:rFonts w:ascii="Times New Roman" w:hAnsi="Times New Roman"/>
                <w:spacing w:val="-8"/>
                <w:sz w:val="24"/>
                <w:szCs w:val="24"/>
              </w:rPr>
            </w:pPr>
            <w:r w:rsidRPr="00484CD7">
              <w:rPr>
                <w:rFonts w:ascii="Times New Roman" w:hAnsi="Times New Roman"/>
                <w:spacing w:val="-8"/>
                <w:sz w:val="24"/>
                <w:szCs w:val="24"/>
              </w:rPr>
              <w:t>Витрати на заповнення та передачу інформації про відкритті банківські рахунки</w:t>
            </w:r>
            <w:r w:rsidRPr="00484CD7">
              <w:rPr>
                <w:rFonts w:ascii="Times New Roman" w:hAnsi="Times New Roman"/>
                <w:sz w:val="24"/>
                <w:szCs w:val="24"/>
              </w:rPr>
              <w:t xml:space="preserve">, рахунки у цінних паперах </w:t>
            </w:r>
            <w:r w:rsidRPr="00484CD7">
              <w:rPr>
                <w:rFonts w:ascii="Times New Roman" w:hAnsi="Times New Roman"/>
                <w:spacing w:val="-8"/>
                <w:sz w:val="24"/>
                <w:szCs w:val="24"/>
              </w:rPr>
              <w:t xml:space="preserve"> фізичних і юридичних осіб та індивідуальні банківські сейфи в електронному вигляді до Єдиного реєстру</w:t>
            </w:r>
          </w:p>
        </w:tc>
        <w:tc>
          <w:tcPr>
            <w:tcW w:w="2268" w:type="dxa"/>
            <w:tcBorders>
              <w:top w:val="single" w:sz="4" w:space="0" w:color="auto"/>
              <w:left w:val="outset" w:sz="6" w:space="0" w:color="auto"/>
              <w:bottom w:val="outset" w:sz="6" w:space="0" w:color="auto"/>
              <w:right w:val="outset" w:sz="6" w:space="0" w:color="auto"/>
            </w:tcBorders>
          </w:tcPr>
          <w:p w:rsidR="00AC7308" w:rsidRPr="00484CD7" w:rsidRDefault="00AC7308" w:rsidP="00646BB6">
            <w:pPr>
              <w:spacing w:after="0" w:line="240" w:lineRule="auto"/>
              <w:ind w:firstLine="113"/>
              <w:jc w:val="center"/>
              <w:rPr>
                <w:rFonts w:ascii="Times New Roman" w:hAnsi="Times New Roman"/>
                <w:spacing w:val="-8"/>
                <w:sz w:val="24"/>
                <w:szCs w:val="24"/>
              </w:rPr>
            </w:pPr>
            <w:r w:rsidRPr="00484CD7">
              <w:rPr>
                <w:rFonts w:ascii="Times New Roman" w:hAnsi="Times New Roman"/>
                <w:spacing w:val="-8"/>
                <w:sz w:val="24"/>
                <w:szCs w:val="24"/>
              </w:rPr>
              <w:t xml:space="preserve">4 - цілі прийняття регуляторного </w:t>
            </w:r>
            <w:proofErr w:type="spellStart"/>
            <w:r w:rsidRPr="00484CD7">
              <w:rPr>
                <w:rFonts w:ascii="Times New Roman" w:hAnsi="Times New Roman"/>
                <w:spacing w:val="-8"/>
                <w:sz w:val="24"/>
                <w:szCs w:val="24"/>
              </w:rPr>
              <w:t>акта</w:t>
            </w:r>
            <w:proofErr w:type="spellEnd"/>
            <w:r w:rsidRPr="00484CD7">
              <w:rPr>
                <w:rFonts w:ascii="Times New Roman" w:hAnsi="Times New Roman"/>
                <w:spacing w:val="-8"/>
                <w:sz w:val="24"/>
                <w:szCs w:val="24"/>
              </w:rPr>
              <w:t xml:space="preserve"> можуть бути досягнуті повною мірою (пр</w:t>
            </w:r>
            <w:r w:rsidR="00646BB6">
              <w:rPr>
                <w:rFonts w:ascii="Times New Roman" w:hAnsi="Times New Roman"/>
                <w:spacing w:val="-8"/>
                <w:sz w:val="24"/>
                <w:szCs w:val="24"/>
              </w:rPr>
              <w:t>облема більше існувати не буде)</w:t>
            </w:r>
          </w:p>
        </w:tc>
      </w:tr>
    </w:tbl>
    <w:p w:rsidR="00AC7308" w:rsidRDefault="00AC7308" w:rsidP="00AC7308">
      <w:pPr>
        <w:widowControl w:val="0"/>
        <w:spacing w:before="240" w:after="60" w:line="240" w:lineRule="auto"/>
        <w:ind w:left="23" w:right="23" w:firstLine="544"/>
        <w:jc w:val="both"/>
        <w:rPr>
          <w:rFonts w:ascii="Times New Roman" w:hAnsi="Times New Roman"/>
          <w:spacing w:val="-8"/>
          <w:sz w:val="28"/>
          <w:szCs w:val="28"/>
          <w:lang w:eastAsia="uk-UA"/>
        </w:rPr>
      </w:pPr>
      <w:r>
        <w:rPr>
          <w:rFonts w:ascii="Times New Roman" w:hAnsi="Times New Roman"/>
          <w:b/>
          <w:bCs/>
          <w:spacing w:val="-8"/>
          <w:sz w:val="28"/>
          <w:szCs w:val="28"/>
          <w:shd w:val="clear" w:color="auto" w:fill="FFFFFF"/>
          <w:lang w:eastAsia="uk-UA"/>
        </w:rPr>
        <w:t>V. Механізми та заходи, які забезпечать розв’язання визначеної проблеми</w:t>
      </w:r>
    </w:p>
    <w:p w:rsidR="00AC7308" w:rsidRDefault="00AC7308" w:rsidP="00AC7308">
      <w:pPr>
        <w:widowControl w:val="0"/>
        <w:spacing w:after="0" w:line="240" w:lineRule="auto"/>
        <w:ind w:left="23" w:right="23" w:firstLine="544"/>
        <w:jc w:val="both"/>
        <w:rPr>
          <w:rFonts w:ascii="Times New Roman" w:hAnsi="Times New Roman"/>
          <w:i/>
          <w:spacing w:val="-8"/>
          <w:sz w:val="28"/>
          <w:szCs w:val="28"/>
          <w:shd w:val="clear" w:color="auto" w:fill="FFFFFF"/>
          <w:lang w:eastAsia="uk-UA"/>
        </w:rPr>
      </w:pPr>
      <w:r>
        <w:rPr>
          <w:rFonts w:ascii="Times New Roman" w:hAnsi="Times New Roman"/>
          <w:i/>
          <w:spacing w:val="-8"/>
          <w:sz w:val="28"/>
          <w:szCs w:val="28"/>
          <w:shd w:val="clear" w:color="auto" w:fill="FFFFFF"/>
          <w:lang w:eastAsia="uk-UA"/>
        </w:rPr>
        <w:t xml:space="preserve">Механізм дії регуляторного </w:t>
      </w:r>
      <w:proofErr w:type="spellStart"/>
      <w:r>
        <w:rPr>
          <w:rFonts w:ascii="Times New Roman" w:hAnsi="Times New Roman"/>
          <w:i/>
          <w:spacing w:val="-8"/>
          <w:sz w:val="28"/>
          <w:szCs w:val="28"/>
          <w:shd w:val="clear" w:color="auto" w:fill="FFFFFF"/>
          <w:lang w:eastAsia="uk-UA"/>
        </w:rPr>
        <w:t>акта</w:t>
      </w:r>
      <w:proofErr w:type="spellEnd"/>
      <w:r>
        <w:rPr>
          <w:rFonts w:ascii="Times New Roman" w:hAnsi="Times New Roman"/>
          <w:i/>
          <w:spacing w:val="-8"/>
          <w:sz w:val="28"/>
          <w:szCs w:val="28"/>
          <w:shd w:val="clear" w:color="auto" w:fill="FFFFFF"/>
          <w:lang w:eastAsia="uk-UA"/>
        </w:rPr>
        <w:t xml:space="preserve">. </w:t>
      </w:r>
    </w:p>
    <w:p w:rsidR="00AC7308" w:rsidRDefault="00AC7308" w:rsidP="00AC7308">
      <w:pPr>
        <w:widowControl w:val="0"/>
        <w:spacing w:after="0" w:line="240" w:lineRule="auto"/>
        <w:ind w:left="23" w:right="23" w:firstLine="544"/>
        <w:jc w:val="both"/>
        <w:rPr>
          <w:rFonts w:ascii="Times New Roman" w:hAnsi="Times New Roman"/>
          <w:spacing w:val="-8"/>
          <w:sz w:val="28"/>
          <w:szCs w:val="28"/>
          <w:shd w:val="clear" w:color="auto" w:fill="FFFFFF"/>
          <w:lang w:eastAsia="uk-UA"/>
        </w:rPr>
      </w:pPr>
      <w:r>
        <w:rPr>
          <w:rFonts w:ascii="Times New Roman" w:hAnsi="Times New Roman"/>
          <w:spacing w:val="-8"/>
          <w:sz w:val="28"/>
          <w:szCs w:val="28"/>
          <w:shd w:val="clear" w:color="auto" w:fill="FFFFFF"/>
          <w:lang w:eastAsia="uk-UA"/>
        </w:rPr>
        <w:t>Прийняття законопроекту створить умови для ведення Єдиного реєстру як єдиної державної інформаційної системи.</w:t>
      </w:r>
    </w:p>
    <w:p w:rsidR="00AC7308" w:rsidRDefault="00AC7308" w:rsidP="00AC7308">
      <w:pPr>
        <w:widowControl w:val="0"/>
        <w:spacing w:before="60" w:after="0" w:line="240" w:lineRule="auto"/>
        <w:ind w:left="23" w:right="23" w:firstLine="544"/>
        <w:jc w:val="both"/>
        <w:rPr>
          <w:rFonts w:ascii="Times New Roman" w:hAnsi="Times New Roman"/>
          <w:i/>
          <w:spacing w:val="-8"/>
          <w:sz w:val="28"/>
          <w:szCs w:val="28"/>
          <w:shd w:val="clear" w:color="auto" w:fill="FFFFFF"/>
          <w:lang w:eastAsia="uk-UA"/>
        </w:rPr>
      </w:pPr>
      <w:r>
        <w:rPr>
          <w:rFonts w:ascii="Times New Roman" w:hAnsi="Times New Roman"/>
          <w:i/>
          <w:spacing w:val="-8"/>
          <w:sz w:val="28"/>
          <w:szCs w:val="28"/>
          <w:shd w:val="clear" w:color="auto" w:fill="FFFFFF"/>
          <w:lang w:eastAsia="uk-UA"/>
        </w:rPr>
        <w:t xml:space="preserve">Організаційні заходи впровадження регуляторного </w:t>
      </w:r>
      <w:proofErr w:type="spellStart"/>
      <w:r>
        <w:rPr>
          <w:rFonts w:ascii="Times New Roman" w:hAnsi="Times New Roman"/>
          <w:i/>
          <w:spacing w:val="-8"/>
          <w:sz w:val="28"/>
          <w:szCs w:val="28"/>
          <w:shd w:val="clear" w:color="auto" w:fill="FFFFFF"/>
          <w:lang w:eastAsia="uk-UA"/>
        </w:rPr>
        <w:t>акта</w:t>
      </w:r>
      <w:proofErr w:type="spellEnd"/>
      <w:r>
        <w:rPr>
          <w:rFonts w:ascii="Times New Roman" w:hAnsi="Times New Roman"/>
          <w:i/>
          <w:spacing w:val="-8"/>
          <w:sz w:val="28"/>
          <w:szCs w:val="28"/>
          <w:shd w:val="clear" w:color="auto" w:fill="FFFFFF"/>
          <w:lang w:eastAsia="uk-UA"/>
        </w:rPr>
        <w:t xml:space="preserve"> в дію. </w:t>
      </w:r>
    </w:p>
    <w:p w:rsidR="00AC7308" w:rsidRDefault="00AC7308" w:rsidP="00AC7308">
      <w:pPr>
        <w:widowControl w:val="0"/>
        <w:spacing w:after="0" w:line="240" w:lineRule="auto"/>
        <w:ind w:left="23" w:right="23" w:firstLine="544"/>
        <w:jc w:val="both"/>
        <w:rPr>
          <w:rFonts w:ascii="Times New Roman" w:hAnsi="Times New Roman"/>
          <w:spacing w:val="-8"/>
          <w:sz w:val="28"/>
          <w:szCs w:val="28"/>
          <w:shd w:val="clear" w:color="auto" w:fill="FFFFFF"/>
          <w:lang w:eastAsia="uk-UA"/>
        </w:rPr>
      </w:pPr>
      <w:r>
        <w:rPr>
          <w:rFonts w:ascii="Times New Roman" w:hAnsi="Times New Roman"/>
          <w:spacing w:val="-8"/>
          <w:sz w:val="28"/>
          <w:szCs w:val="28"/>
          <w:shd w:val="clear" w:color="auto" w:fill="FFFFFF"/>
          <w:lang w:eastAsia="uk-UA"/>
        </w:rPr>
        <w:t xml:space="preserve">Для впровадження цього регуляторного </w:t>
      </w:r>
      <w:proofErr w:type="spellStart"/>
      <w:r>
        <w:rPr>
          <w:rFonts w:ascii="Times New Roman" w:hAnsi="Times New Roman"/>
          <w:spacing w:val="-8"/>
          <w:sz w:val="28"/>
          <w:szCs w:val="28"/>
          <w:shd w:val="clear" w:color="auto" w:fill="FFFFFF"/>
          <w:lang w:eastAsia="uk-UA"/>
        </w:rPr>
        <w:t>акта</w:t>
      </w:r>
      <w:proofErr w:type="spellEnd"/>
      <w:r>
        <w:rPr>
          <w:rFonts w:ascii="Times New Roman" w:hAnsi="Times New Roman"/>
          <w:spacing w:val="-8"/>
          <w:sz w:val="28"/>
          <w:szCs w:val="28"/>
          <w:shd w:val="clear" w:color="auto" w:fill="FFFFFF"/>
          <w:lang w:eastAsia="uk-UA"/>
        </w:rPr>
        <w:t xml:space="preserve"> необхідно забезпечити інформування суб’єктів господарювання про вимоги регуляторного </w:t>
      </w:r>
      <w:proofErr w:type="spellStart"/>
      <w:r>
        <w:rPr>
          <w:rFonts w:ascii="Times New Roman" w:hAnsi="Times New Roman"/>
          <w:spacing w:val="-8"/>
          <w:sz w:val="28"/>
          <w:szCs w:val="28"/>
          <w:shd w:val="clear" w:color="auto" w:fill="FFFFFF"/>
          <w:lang w:eastAsia="uk-UA"/>
        </w:rPr>
        <w:t>акта</w:t>
      </w:r>
      <w:proofErr w:type="spellEnd"/>
      <w:r>
        <w:rPr>
          <w:rFonts w:ascii="Times New Roman" w:hAnsi="Times New Roman"/>
          <w:spacing w:val="-8"/>
          <w:sz w:val="28"/>
          <w:szCs w:val="28"/>
          <w:shd w:val="clear" w:color="auto" w:fill="FFFFFF"/>
          <w:lang w:eastAsia="uk-UA"/>
        </w:rPr>
        <w:t xml:space="preserve"> шляхом його оприлюднення в засобах масової інформації та на офіційному </w:t>
      </w:r>
      <w:proofErr w:type="spellStart"/>
      <w:r>
        <w:rPr>
          <w:rFonts w:ascii="Times New Roman" w:hAnsi="Times New Roman"/>
          <w:spacing w:val="-8"/>
          <w:sz w:val="28"/>
          <w:szCs w:val="28"/>
          <w:shd w:val="clear" w:color="auto" w:fill="FFFFFF"/>
          <w:lang w:eastAsia="uk-UA"/>
        </w:rPr>
        <w:t>вебсайті</w:t>
      </w:r>
      <w:proofErr w:type="spellEnd"/>
      <w:r>
        <w:rPr>
          <w:rFonts w:ascii="Times New Roman" w:hAnsi="Times New Roman"/>
          <w:spacing w:val="-8"/>
          <w:sz w:val="28"/>
          <w:szCs w:val="28"/>
          <w:shd w:val="clear" w:color="auto" w:fill="FFFFFF"/>
          <w:lang w:eastAsia="uk-UA"/>
        </w:rPr>
        <w:t xml:space="preserve"> Міністерства фінансів України.</w:t>
      </w:r>
    </w:p>
    <w:p w:rsidR="00AC7308" w:rsidRDefault="00AC7308" w:rsidP="00AC7308">
      <w:pPr>
        <w:widowControl w:val="0"/>
        <w:spacing w:after="0" w:line="240" w:lineRule="auto"/>
        <w:ind w:left="23" w:right="23" w:firstLine="544"/>
        <w:jc w:val="both"/>
        <w:rPr>
          <w:rFonts w:ascii="Times New Roman" w:hAnsi="Times New Roman"/>
          <w:spacing w:val="-8"/>
          <w:sz w:val="28"/>
          <w:szCs w:val="28"/>
          <w:shd w:val="clear" w:color="auto" w:fill="FFFFFF"/>
          <w:lang w:eastAsia="uk-UA"/>
        </w:rPr>
      </w:pPr>
      <w:r>
        <w:rPr>
          <w:rFonts w:ascii="Times New Roman" w:hAnsi="Times New Roman"/>
          <w:spacing w:val="-8"/>
          <w:sz w:val="28"/>
          <w:szCs w:val="28"/>
          <w:shd w:val="clear" w:color="auto" w:fill="FFFFFF"/>
          <w:lang w:eastAsia="uk-UA"/>
        </w:rPr>
        <w:t xml:space="preserve">Негативний вплив зовнішніх факторів на дію цього регуляторного </w:t>
      </w:r>
      <w:proofErr w:type="spellStart"/>
      <w:r>
        <w:rPr>
          <w:rFonts w:ascii="Times New Roman" w:hAnsi="Times New Roman"/>
          <w:spacing w:val="-8"/>
          <w:sz w:val="28"/>
          <w:szCs w:val="28"/>
          <w:shd w:val="clear" w:color="auto" w:fill="FFFFFF"/>
          <w:lang w:eastAsia="uk-UA"/>
        </w:rPr>
        <w:t>акта</w:t>
      </w:r>
      <w:proofErr w:type="spellEnd"/>
      <w:r>
        <w:rPr>
          <w:rFonts w:ascii="Times New Roman" w:hAnsi="Times New Roman"/>
          <w:spacing w:val="-8"/>
          <w:sz w:val="28"/>
          <w:szCs w:val="28"/>
          <w:shd w:val="clear" w:color="auto" w:fill="FFFFFF"/>
          <w:lang w:eastAsia="uk-UA"/>
        </w:rPr>
        <w:t xml:space="preserve"> відсутній.</w:t>
      </w:r>
    </w:p>
    <w:p w:rsidR="00AC7308" w:rsidRDefault="00AC7308" w:rsidP="00AC7308">
      <w:pPr>
        <w:widowControl w:val="0"/>
        <w:spacing w:before="120" w:after="120" w:line="240" w:lineRule="auto"/>
        <w:ind w:left="23" w:firstLine="544"/>
        <w:jc w:val="both"/>
        <w:rPr>
          <w:rFonts w:ascii="Times New Roman" w:hAnsi="Times New Roman"/>
          <w:b/>
          <w:bCs/>
          <w:spacing w:val="-8"/>
          <w:sz w:val="28"/>
          <w:szCs w:val="28"/>
          <w:shd w:val="clear" w:color="auto" w:fill="FFFFFF"/>
          <w:lang w:eastAsia="uk-UA"/>
        </w:rPr>
      </w:pPr>
      <w:r>
        <w:rPr>
          <w:rFonts w:ascii="Times New Roman" w:hAnsi="Times New Roman"/>
          <w:b/>
          <w:bCs/>
          <w:spacing w:val="-8"/>
          <w:sz w:val="28"/>
          <w:szCs w:val="28"/>
          <w:shd w:val="clear" w:color="auto" w:fill="FFFFFF"/>
          <w:lang w:eastAsia="uk-UA"/>
        </w:rPr>
        <w:t xml:space="preserve">VI. Оцінка виконання вимог регуляторного </w:t>
      </w:r>
      <w:proofErr w:type="spellStart"/>
      <w:r>
        <w:rPr>
          <w:rFonts w:ascii="Times New Roman" w:hAnsi="Times New Roman"/>
          <w:b/>
          <w:bCs/>
          <w:spacing w:val="-8"/>
          <w:sz w:val="28"/>
          <w:szCs w:val="28"/>
          <w:shd w:val="clear" w:color="auto" w:fill="FFFFFF"/>
          <w:lang w:eastAsia="uk-UA"/>
        </w:rPr>
        <w:t>акта</w:t>
      </w:r>
      <w:proofErr w:type="spellEnd"/>
      <w:r>
        <w:rPr>
          <w:rFonts w:ascii="Times New Roman" w:hAnsi="Times New Roman"/>
          <w:b/>
          <w:bCs/>
          <w:spacing w:val="-8"/>
          <w:sz w:val="28"/>
          <w:szCs w:val="28"/>
          <w:shd w:val="clear" w:color="auto" w:fill="FFFFFF"/>
          <w:lang w:eastAsia="uk-UA"/>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rsidR="00AC7308" w:rsidRDefault="00AC7308" w:rsidP="00AC7308">
      <w:pPr>
        <w:widowControl w:val="0"/>
        <w:spacing w:after="0" w:line="240" w:lineRule="auto"/>
        <w:ind w:left="20" w:right="20" w:firstLine="700"/>
        <w:jc w:val="both"/>
        <w:rPr>
          <w:rFonts w:ascii="Times New Roman" w:hAnsi="Times New Roman"/>
          <w:spacing w:val="-8"/>
          <w:sz w:val="28"/>
          <w:szCs w:val="28"/>
          <w:shd w:val="clear" w:color="auto" w:fill="FFFFFF"/>
          <w:lang w:eastAsia="uk-UA"/>
        </w:rPr>
      </w:pPr>
      <w:r>
        <w:rPr>
          <w:rFonts w:ascii="Times New Roman" w:hAnsi="Times New Roman"/>
          <w:spacing w:val="-8"/>
          <w:sz w:val="28"/>
          <w:szCs w:val="28"/>
          <w:shd w:val="clear" w:color="auto" w:fill="FFFFFF"/>
          <w:lang w:eastAsia="uk-UA"/>
        </w:rPr>
        <w:t xml:space="preserve">Реалізація регуляторного </w:t>
      </w:r>
      <w:proofErr w:type="spellStart"/>
      <w:r>
        <w:rPr>
          <w:rFonts w:ascii="Times New Roman" w:hAnsi="Times New Roman"/>
          <w:spacing w:val="-8"/>
          <w:sz w:val="28"/>
          <w:szCs w:val="28"/>
          <w:shd w:val="clear" w:color="auto" w:fill="FFFFFF"/>
          <w:lang w:eastAsia="uk-UA"/>
        </w:rPr>
        <w:t>акта</w:t>
      </w:r>
      <w:proofErr w:type="spellEnd"/>
      <w:r>
        <w:rPr>
          <w:rFonts w:ascii="Times New Roman" w:hAnsi="Times New Roman"/>
          <w:spacing w:val="-8"/>
          <w:sz w:val="28"/>
          <w:szCs w:val="28"/>
          <w:shd w:val="clear" w:color="auto" w:fill="FFFFFF"/>
          <w:lang w:eastAsia="uk-UA"/>
        </w:rPr>
        <w:t xml:space="preserve"> не передбачає додаткових матеріальних та фінансових витрат із державного та місцевих бюджетів, оскільки </w:t>
      </w:r>
      <w:r w:rsidRPr="00DB71E6">
        <w:rPr>
          <w:rFonts w:ascii="Times New Roman" w:hAnsi="Times New Roman"/>
          <w:spacing w:val="-8"/>
          <w:sz w:val="28"/>
          <w:szCs w:val="28"/>
          <w:shd w:val="clear" w:color="auto" w:fill="FFFFFF"/>
          <w:lang w:eastAsia="uk-UA"/>
        </w:rPr>
        <w:t>функціонування Єдиного реєстру передбачається на базі електронних реєстрів, які веде Державна податкова служба України</w:t>
      </w:r>
      <w:r>
        <w:rPr>
          <w:rFonts w:ascii="Times New Roman" w:hAnsi="Times New Roman"/>
          <w:spacing w:val="-8"/>
          <w:sz w:val="28"/>
          <w:szCs w:val="28"/>
          <w:shd w:val="clear" w:color="auto" w:fill="FFFFFF"/>
          <w:lang w:eastAsia="uk-UA"/>
        </w:rPr>
        <w:t>.</w:t>
      </w:r>
    </w:p>
    <w:p w:rsidR="00AC7308" w:rsidRDefault="00AC7308" w:rsidP="00AC7308">
      <w:pPr>
        <w:widowControl w:val="0"/>
        <w:spacing w:after="0" w:line="240" w:lineRule="auto"/>
        <w:ind w:left="20" w:right="20" w:firstLine="700"/>
        <w:jc w:val="both"/>
        <w:rPr>
          <w:rFonts w:ascii="Times New Roman" w:hAnsi="Times New Roman"/>
          <w:spacing w:val="-8"/>
          <w:sz w:val="28"/>
          <w:szCs w:val="28"/>
          <w:shd w:val="clear" w:color="auto" w:fill="FFFFFF"/>
          <w:lang w:eastAsia="uk-UA"/>
        </w:rPr>
      </w:pPr>
      <w:r>
        <w:rPr>
          <w:rFonts w:ascii="Times New Roman" w:hAnsi="Times New Roman"/>
          <w:spacing w:val="-8"/>
          <w:sz w:val="28"/>
          <w:szCs w:val="28"/>
          <w:shd w:val="clear" w:color="auto" w:fill="FFFFFF"/>
          <w:lang w:eastAsia="uk-UA"/>
        </w:rPr>
        <w:t>Розрахунок витрат суб’єктів господарювання наведено в додатках 1 та 2 до аналізу регуляторного впливу.</w:t>
      </w:r>
    </w:p>
    <w:p w:rsidR="00AC7308" w:rsidRDefault="00AC7308" w:rsidP="00AC7308">
      <w:pPr>
        <w:widowControl w:val="0"/>
        <w:spacing w:before="120" w:after="120" w:line="240" w:lineRule="auto"/>
        <w:ind w:left="23" w:right="23" w:firstLine="544"/>
        <w:jc w:val="both"/>
        <w:rPr>
          <w:rFonts w:ascii="Times New Roman" w:hAnsi="Times New Roman"/>
          <w:spacing w:val="-8"/>
          <w:sz w:val="28"/>
          <w:szCs w:val="28"/>
          <w:lang w:eastAsia="uk-UA"/>
        </w:rPr>
      </w:pPr>
      <w:bookmarkStart w:id="1" w:name="bookmark6"/>
      <w:r>
        <w:rPr>
          <w:rFonts w:ascii="Times New Roman" w:hAnsi="Times New Roman"/>
          <w:b/>
          <w:bCs/>
          <w:spacing w:val="-8"/>
          <w:sz w:val="28"/>
          <w:szCs w:val="28"/>
          <w:shd w:val="clear" w:color="auto" w:fill="FFFFFF"/>
          <w:lang w:eastAsia="uk-UA"/>
        </w:rPr>
        <w:t xml:space="preserve">VII. Обґрунтування запропонованого строку дії регуляторного </w:t>
      </w:r>
      <w:proofErr w:type="spellStart"/>
      <w:r>
        <w:rPr>
          <w:rFonts w:ascii="Times New Roman" w:hAnsi="Times New Roman"/>
          <w:b/>
          <w:bCs/>
          <w:spacing w:val="-8"/>
          <w:sz w:val="28"/>
          <w:szCs w:val="28"/>
          <w:shd w:val="clear" w:color="auto" w:fill="FFFFFF"/>
          <w:lang w:eastAsia="uk-UA"/>
        </w:rPr>
        <w:t>акта</w:t>
      </w:r>
      <w:bookmarkEnd w:id="1"/>
      <w:proofErr w:type="spellEnd"/>
    </w:p>
    <w:p w:rsidR="00AC7308" w:rsidRDefault="00AC7308" w:rsidP="00AC7308">
      <w:pPr>
        <w:widowControl w:val="0"/>
        <w:spacing w:after="0" w:line="240" w:lineRule="auto"/>
        <w:ind w:left="23" w:right="23" w:firstLine="618"/>
        <w:jc w:val="both"/>
        <w:rPr>
          <w:rFonts w:ascii="Times New Roman" w:hAnsi="Times New Roman"/>
          <w:spacing w:val="-8"/>
          <w:sz w:val="28"/>
          <w:szCs w:val="28"/>
          <w:shd w:val="clear" w:color="auto" w:fill="FFFFFF"/>
          <w:lang w:eastAsia="uk-UA"/>
        </w:rPr>
      </w:pPr>
      <w:bookmarkStart w:id="2" w:name="bookmark7"/>
      <w:r>
        <w:rPr>
          <w:rFonts w:ascii="Times New Roman" w:hAnsi="Times New Roman"/>
          <w:spacing w:val="-8"/>
          <w:sz w:val="28"/>
          <w:szCs w:val="28"/>
          <w:shd w:val="clear" w:color="auto" w:fill="FFFFFF"/>
          <w:lang w:eastAsia="uk-UA"/>
        </w:rPr>
        <w:t xml:space="preserve">Строк дії регуляторного </w:t>
      </w:r>
      <w:proofErr w:type="spellStart"/>
      <w:r>
        <w:rPr>
          <w:rFonts w:ascii="Times New Roman" w:hAnsi="Times New Roman"/>
          <w:spacing w:val="-8"/>
          <w:sz w:val="28"/>
          <w:szCs w:val="28"/>
          <w:shd w:val="clear" w:color="auto" w:fill="FFFFFF"/>
          <w:lang w:eastAsia="uk-UA"/>
        </w:rPr>
        <w:t>акта</w:t>
      </w:r>
      <w:proofErr w:type="spellEnd"/>
      <w:r>
        <w:rPr>
          <w:rFonts w:ascii="Times New Roman" w:hAnsi="Times New Roman"/>
          <w:spacing w:val="-8"/>
          <w:sz w:val="28"/>
          <w:szCs w:val="28"/>
          <w:shd w:val="clear" w:color="auto" w:fill="FFFFFF"/>
          <w:lang w:eastAsia="uk-UA"/>
        </w:rPr>
        <w:t xml:space="preserve"> не обмежується в часі, оскільки необхідність виконання положень цього проекту є постійною.</w:t>
      </w:r>
    </w:p>
    <w:p w:rsidR="00AC7308" w:rsidRDefault="00AC7308" w:rsidP="00AC7308">
      <w:pPr>
        <w:widowControl w:val="0"/>
        <w:spacing w:after="0" w:line="240" w:lineRule="auto"/>
        <w:ind w:left="23" w:right="23" w:firstLine="618"/>
        <w:jc w:val="both"/>
        <w:rPr>
          <w:rFonts w:ascii="Times New Roman" w:hAnsi="Times New Roman"/>
          <w:spacing w:val="-8"/>
          <w:sz w:val="28"/>
          <w:szCs w:val="28"/>
          <w:shd w:val="clear" w:color="auto" w:fill="FFFFFF"/>
          <w:lang w:eastAsia="uk-UA"/>
        </w:rPr>
      </w:pPr>
      <w:r>
        <w:rPr>
          <w:rFonts w:ascii="Times New Roman" w:hAnsi="Times New Roman"/>
          <w:spacing w:val="-8"/>
          <w:sz w:val="28"/>
          <w:szCs w:val="28"/>
          <w:shd w:val="clear" w:color="auto" w:fill="FFFFFF"/>
          <w:lang w:eastAsia="uk-UA"/>
        </w:rPr>
        <w:t xml:space="preserve">Проект </w:t>
      </w:r>
      <w:proofErr w:type="spellStart"/>
      <w:r>
        <w:rPr>
          <w:rFonts w:ascii="Times New Roman" w:hAnsi="Times New Roman"/>
          <w:spacing w:val="-8"/>
          <w:sz w:val="28"/>
          <w:szCs w:val="28"/>
          <w:shd w:val="clear" w:color="auto" w:fill="FFFFFF"/>
          <w:lang w:eastAsia="uk-UA"/>
        </w:rPr>
        <w:t>акта</w:t>
      </w:r>
      <w:proofErr w:type="spellEnd"/>
      <w:r>
        <w:rPr>
          <w:rFonts w:ascii="Times New Roman" w:hAnsi="Times New Roman"/>
          <w:spacing w:val="-8"/>
          <w:sz w:val="28"/>
          <w:szCs w:val="28"/>
          <w:shd w:val="clear" w:color="auto" w:fill="FFFFFF"/>
          <w:lang w:eastAsia="uk-UA"/>
        </w:rPr>
        <w:t xml:space="preserve"> набиратиме чинності </w:t>
      </w:r>
      <w:r w:rsidRPr="003948C1">
        <w:rPr>
          <w:rFonts w:ascii="Times New Roman" w:hAnsi="Times New Roman"/>
          <w:spacing w:val="-8"/>
          <w:sz w:val="28"/>
          <w:szCs w:val="28"/>
          <w:shd w:val="clear" w:color="auto" w:fill="FFFFFF"/>
          <w:lang w:eastAsia="uk-UA"/>
        </w:rPr>
        <w:t>одночасно з набранням чинності Законом України «Про внесення змін до Податкового кодексу України щодо створення єдиного реєстру рахунків фізичних і юридичних осіб та індивідуальних банківських сейфів»</w:t>
      </w:r>
      <w:r>
        <w:rPr>
          <w:rFonts w:ascii="Times New Roman" w:hAnsi="Times New Roman"/>
          <w:spacing w:val="-8"/>
          <w:sz w:val="28"/>
          <w:szCs w:val="28"/>
          <w:shd w:val="clear" w:color="auto" w:fill="FFFFFF"/>
          <w:lang w:eastAsia="uk-UA"/>
        </w:rPr>
        <w:t>.</w:t>
      </w:r>
    </w:p>
    <w:p w:rsidR="00646BB6" w:rsidRDefault="00646BB6" w:rsidP="00AC7308">
      <w:pPr>
        <w:widowControl w:val="0"/>
        <w:spacing w:after="0" w:line="240" w:lineRule="auto"/>
        <w:ind w:left="23" w:right="23" w:firstLine="618"/>
        <w:jc w:val="both"/>
        <w:rPr>
          <w:rFonts w:ascii="Times New Roman" w:hAnsi="Times New Roman"/>
          <w:spacing w:val="-8"/>
          <w:sz w:val="28"/>
          <w:szCs w:val="28"/>
          <w:shd w:val="clear" w:color="auto" w:fill="FFFFFF"/>
          <w:lang w:eastAsia="uk-UA"/>
        </w:rPr>
      </w:pPr>
    </w:p>
    <w:p w:rsidR="00AC7308" w:rsidRDefault="00AC7308" w:rsidP="00AC7308">
      <w:pPr>
        <w:widowControl w:val="0"/>
        <w:spacing w:before="120" w:after="120" w:line="240" w:lineRule="auto"/>
        <w:ind w:left="23" w:right="23" w:firstLine="544"/>
        <w:jc w:val="both"/>
        <w:rPr>
          <w:rFonts w:ascii="Times New Roman" w:hAnsi="Times New Roman"/>
          <w:b/>
          <w:bCs/>
          <w:spacing w:val="-8"/>
          <w:sz w:val="28"/>
          <w:szCs w:val="28"/>
          <w:lang w:eastAsia="uk-UA"/>
        </w:rPr>
      </w:pPr>
      <w:r>
        <w:rPr>
          <w:rFonts w:ascii="Times New Roman" w:hAnsi="Times New Roman"/>
          <w:b/>
          <w:bCs/>
          <w:spacing w:val="-8"/>
          <w:sz w:val="28"/>
          <w:szCs w:val="28"/>
          <w:shd w:val="clear" w:color="auto" w:fill="FFFFFF"/>
          <w:lang w:eastAsia="uk-UA"/>
        </w:rPr>
        <w:lastRenderedPageBreak/>
        <w:t xml:space="preserve">VIII. Визначення показників результативності дії регуляторного </w:t>
      </w:r>
      <w:proofErr w:type="spellStart"/>
      <w:r>
        <w:rPr>
          <w:rFonts w:ascii="Times New Roman" w:hAnsi="Times New Roman"/>
          <w:b/>
          <w:bCs/>
          <w:spacing w:val="-8"/>
          <w:sz w:val="28"/>
          <w:szCs w:val="28"/>
          <w:shd w:val="clear" w:color="auto" w:fill="FFFFFF"/>
          <w:lang w:eastAsia="uk-UA"/>
        </w:rPr>
        <w:t>акта</w:t>
      </w:r>
      <w:bookmarkEnd w:id="2"/>
      <w:proofErr w:type="spellEnd"/>
    </w:p>
    <w:p w:rsidR="00AC7308" w:rsidRDefault="00AC7308" w:rsidP="00AC7308">
      <w:pPr>
        <w:widowControl w:val="0"/>
        <w:spacing w:after="0" w:line="240" w:lineRule="auto"/>
        <w:ind w:left="23" w:right="23" w:firstLine="539"/>
        <w:jc w:val="both"/>
        <w:rPr>
          <w:rFonts w:ascii="Times New Roman" w:hAnsi="Times New Roman"/>
          <w:spacing w:val="-8"/>
          <w:sz w:val="28"/>
          <w:szCs w:val="28"/>
          <w:shd w:val="clear" w:color="auto" w:fill="FFFFFF"/>
          <w:lang w:eastAsia="uk-UA"/>
        </w:rPr>
      </w:pPr>
      <w:r>
        <w:rPr>
          <w:rFonts w:ascii="Times New Roman" w:hAnsi="Times New Roman"/>
          <w:spacing w:val="-8"/>
          <w:sz w:val="28"/>
          <w:szCs w:val="28"/>
          <w:shd w:val="clear" w:color="auto" w:fill="FFFFFF"/>
          <w:lang w:eastAsia="uk-UA"/>
        </w:rPr>
        <w:t xml:space="preserve">Розмір надходжень до державного та місцевих бюджетів і державних цільових фондів, пов’язаних з дією </w:t>
      </w:r>
      <w:proofErr w:type="spellStart"/>
      <w:r>
        <w:rPr>
          <w:rFonts w:ascii="Times New Roman" w:hAnsi="Times New Roman"/>
          <w:spacing w:val="-8"/>
          <w:sz w:val="28"/>
          <w:szCs w:val="28"/>
          <w:shd w:val="clear" w:color="auto" w:fill="FFFFFF"/>
          <w:lang w:eastAsia="uk-UA"/>
        </w:rPr>
        <w:t>акта</w:t>
      </w:r>
      <w:proofErr w:type="spellEnd"/>
      <w:r>
        <w:rPr>
          <w:rFonts w:ascii="Times New Roman" w:hAnsi="Times New Roman"/>
          <w:spacing w:val="-8"/>
          <w:sz w:val="28"/>
          <w:szCs w:val="28"/>
          <w:shd w:val="clear" w:color="auto" w:fill="FFFFFF"/>
          <w:lang w:eastAsia="uk-UA"/>
        </w:rPr>
        <w:t xml:space="preserve"> – надходження не передбачаються.</w:t>
      </w:r>
    </w:p>
    <w:p w:rsidR="00AC7308" w:rsidRDefault="00AC7308" w:rsidP="00AC7308">
      <w:pPr>
        <w:spacing w:after="0" w:line="240" w:lineRule="auto"/>
        <w:ind w:firstLine="567"/>
        <w:jc w:val="both"/>
        <w:rPr>
          <w:rFonts w:ascii="Times New Roman" w:hAnsi="Times New Roman"/>
          <w:spacing w:val="-8"/>
          <w:sz w:val="28"/>
          <w:szCs w:val="28"/>
        </w:rPr>
      </w:pPr>
      <w:r>
        <w:rPr>
          <w:rFonts w:ascii="Times New Roman" w:hAnsi="Times New Roman"/>
          <w:spacing w:val="-8"/>
          <w:sz w:val="28"/>
          <w:szCs w:val="28"/>
        </w:rPr>
        <w:t xml:space="preserve">Рівень поінформованості суб’єктів </w:t>
      </w:r>
      <w:r>
        <w:rPr>
          <w:rFonts w:ascii="Times New Roman" w:hAnsi="Times New Roman"/>
          <w:spacing w:val="-8"/>
          <w:sz w:val="28"/>
          <w:szCs w:val="28"/>
          <w:shd w:val="clear" w:color="auto" w:fill="FFFFFF"/>
          <w:lang w:eastAsia="uk-UA"/>
        </w:rPr>
        <w:t>господарювання</w:t>
      </w:r>
      <w:r>
        <w:rPr>
          <w:rFonts w:ascii="Times New Roman" w:hAnsi="Times New Roman"/>
          <w:spacing w:val="-8"/>
          <w:sz w:val="28"/>
          <w:szCs w:val="28"/>
        </w:rPr>
        <w:t xml:space="preserve"> щодо основних положень регуляторного </w:t>
      </w:r>
      <w:proofErr w:type="spellStart"/>
      <w:r>
        <w:rPr>
          <w:rFonts w:ascii="Times New Roman" w:hAnsi="Times New Roman"/>
          <w:spacing w:val="-8"/>
          <w:sz w:val="28"/>
          <w:szCs w:val="28"/>
        </w:rPr>
        <w:t>акта</w:t>
      </w:r>
      <w:proofErr w:type="spellEnd"/>
      <w:r>
        <w:rPr>
          <w:rFonts w:ascii="Times New Roman" w:hAnsi="Times New Roman"/>
          <w:spacing w:val="-8"/>
          <w:sz w:val="28"/>
          <w:szCs w:val="28"/>
        </w:rPr>
        <w:t xml:space="preserve"> є високим. </w:t>
      </w:r>
    </w:p>
    <w:p w:rsidR="00AC7308" w:rsidRDefault="00AC7308" w:rsidP="00AC7308">
      <w:pPr>
        <w:spacing w:after="0" w:line="240" w:lineRule="auto"/>
        <w:ind w:firstLine="567"/>
        <w:jc w:val="both"/>
        <w:rPr>
          <w:rFonts w:ascii="Times New Roman" w:hAnsi="Times New Roman"/>
          <w:spacing w:val="-8"/>
          <w:sz w:val="28"/>
          <w:szCs w:val="28"/>
        </w:rPr>
      </w:pPr>
      <w:r>
        <w:rPr>
          <w:rFonts w:ascii="Times New Roman" w:hAnsi="Times New Roman"/>
          <w:spacing w:val="-8"/>
          <w:sz w:val="28"/>
          <w:szCs w:val="28"/>
        </w:rPr>
        <w:t xml:space="preserve">Проект </w:t>
      </w:r>
      <w:proofErr w:type="spellStart"/>
      <w:r>
        <w:rPr>
          <w:rFonts w:ascii="Times New Roman" w:hAnsi="Times New Roman"/>
          <w:spacing w:val="-8"/>
          <w:sz w:val="28"/>
          <w:szCs w:val="28"/>
        </w:rPr>
        <w:t>акта</w:t>
      </w:r>
      <w:proofErr w:type="spellEnd"/>
      <w:r>
        <w:rPr>
          <w:rFonts w:ascii="Times New Roman" w:hAnsi="Times New Roman"/>
          <w:spacing w:val="-8"/>
          <w:sz w:val="28"/>
          <w:szCs w:val="28"/>
        </w:rPr>
        <w:t xml:space="preserve"> розміщено в мережі Інтернет на офіційному </w:t>
      </w:r>
      <w:proofErr w:type="spellStart"/>
      <w:r>
        <w:rPr>
          <w:rFonts w:ascii="Times New Roman" w:hAnsi="Times New Roman"/>
          <w:spacing w:val="-8"/>
          <w:sz w:val="28"/>
          <w:szCs w:val="28"/>
        </w:rPr>
        <w:t>вебсайті</w:t>
      </w:r>
      <w:proofErr w:type="spellEnd"/>
      <w:r>
        <w:rPr>
          <w:rFonts w:ascii="Times New Roman" w:hAnsi="Times New Roman"/>
          <w:spacing w:val="-8"/>
          <w:sz w:val="28"/>
          <w:szCs w:val="28"/>
        </w:rPr>
        <w:t xml:space="preserve"> Міністерства фінансів України для громадського обговорення. Після прийняття проекту регуляторного </w:t>
      </w:r>
      <w:proofErr w:type="spellStart"/>
      <w:r>
        <w:rPr>
          <w:rFonts w:ascii="Times New Roman" w:hAnsi="Times New Roman"/>
          <w:spacing w:val="-8"/>
          <w:sz w:val="28"/>
          <w:szCs w:val="28"/>
        </w:rPr>
        <w:t>акта</w:t>
      </w:r>
      <w:proofErr w:type="spellEnd"/>
      <w:r>
        <w:rPr>
          <w:rFonts w:ascii="Times New Roman" w:hAnsi="Times New Roman"/>
          <w:spacing w:val="-8"/>
          <w:sz w:val="28"/>
          <w:szCs w:val="28"/>
        </w:rPr>
        <w:t xml:space="preserve"> закон буде оприлюднено у засобах масової інформації, а також на сайті Верховної Ради України.</w:t>
      </w:r>
    </w:p>
    <w:p w:rsidR="00AC7308" w:rsidRDefault="00AC7308" w:rsidP="00AC7308">
      <w:pPr>
        <w:tabs>
          <w:tab w:val="left" w:pos="993"/>
        </w:tabs>
        <w:spacing w:after="0" w:line="240" w:lineRule="auto"/>
        <w:ind w:firstLine="567"/>
        <w:jc w:val="both"/>
        <w:rPr>
          <w:rFonts w:ascii="Times New Roman" w:hAnsi="Times New Roman"/>
          <w:spacing w:val="-8"/>
          <w:sz w:val="28"/>
          <w:szCs w:val="28"/>
        </w:rPr>
      </w:pPr>
      <w:r>
        <w:rPr>
          <w:rFonts w:ascii="Times New Roman" w:hAnsi="Times New Roman"/>
          <w:spacing w:val="-8"/>
          <w:sz w:val="28"/>
          <w:szCs w:val="28"/>
        </w:rPr>
        <w:t xml:space="preserve">Показниками результативності регуляторного </w:t>
      </w:r>
      <w:proofErr w:type="spellStart"/>
      <w:r>
        <w:rPr>
          <w:rFonts w:ascii="Times New Roman" w:hAnsi="Times New Roman"/>
          <w:spacing w:val="-8"/>
          <w:sz w:val="28"/>
          <w:szCs w:val="28"/>
        </w:rPr>
        <w:t>акта</w:t>
      </w:r>
      <w:proofErr w:type="spellEnd"/>
      <w:r>
        <w:rPr>
          <w:rFonts w:ascii="Times New Roman" w:hAnsi="Times New Roman"/>
          <w:spacing w:val="-8"/>
          <w:sz w:val="28"/>
          <w:szCs w:val="28"/>
        </w:rPr>
        <w:t xml:space="preserve"> (</w:t>
      </w:r>
      <w:r>
        <w:rPr>
          <w:rFonts w:ascii="Times New Roman" w:hAnsi="Times New Roman"/>
          <w:spacing w:val="-8"/>
          <w:sz w:val="28"/>
          <w:szCs w:val="28"/>
          <w:shd w:val="clear" w:color="auto" w:fill="FFFFFF"/>
          <w:lang w:eastAsia="uk-UA"/>
        </w:rPr>
        <w:t xml:space="preserve">після набрання чинності проекту </w:t>
      </w:r>
      <w:proofErr w:type="spellStart"/>
      <w:r>
        <w:rPr>
          <w:rFonts w:ascii="Times New Roman" w:hAnsi="Times New Roman"/>
          <w:spacing w:val="-8"/>
          <w:sz w:val="28"/>
          <w:szCs w:val="28"/>
          <w:shd w:val="clear" w:color="auto" w:fill="FFFFFF"/>
          <w:lang w:eastAsia="uk-UA"/>
        </w:rPr>
        <w:t>акта</w:t>
      </w:r>
      <w:proofErr w:type="spellEnd"/>
      <w:r>
        <w:rPr>
          <w:rFonts w:ascii="Times New Roman" w:hAnsi="Times New Roman"/>
          <w:spacing w:val="-8"/>
          <w:sz w:val="28"/>
          <w:szCs w:val="28"/>
          <w:shd w:val="clear" w:color="auto" w:fill="FFFFFF"/>
          <w:lang w:eastAsia="uk-UA"/>
        </w:rPr>
        <w:t>)</w:t>
      </w:r>
      <w:r>
        <w:rPr>
          <w:rFonts w:ascii="Times New Roman" w:hAnsi="Times New Roman"/>
          <w:spacing w:val="-8"/>
          <w:sz w:val="28"/>
          <w:szCs w:val="28"/>
        </w:rPr>
        <w:t xml:space="preserve"> є:</w:t>
      </w:r>
    </w:p>
    <w:p w:rsidR="00AC7308" w:rsidRDefault="00AC7308" w:rsidP="00AC7308">
      <w:pPr>
        <w:numPr>
          <w:ilvl w:val="0"/>
          <w:numId w:val="8"/>
        </w:numPr>
        <w:tabs>
          <w:tab w:val="left" w:pos="993"/>
          <w:tab w:val="left" w:pos="1134"/>
        </w:tabs>
        <w:spacing w:after="0" w:line="240" w:lineRule="auto"/>
        <w:ind w:left="0" w:firstLine="567"/>
        <w:jc w:val="both"/>
        <w:rPr>
          <w:rFonts w:ascii="Times New Roman" w:hAnsi="Times New Roman"/>
          <w:spacing w:val="-8"/>
          <w:sz w:val="28"/>
          <w:szCs w:val="28"/>
        </w:rPr>
      </w:pPr>
      <w:r>
        <w:rPr>
          <w:rFonts w:ascii="Times New Roman" w:hAnsi="Times New Roman"/>
          <w:spacing w:val="-8"/>
          <w:sz w:val="28"/>
          <w:szCs w:val="28"/>
        </w:rPr>
        <w:t xml:space="preserve">кількість суб’єктів </w:t>
      </w:r>
      <w:r>
        <w:rPr>
          <w:rFonts w:ascii="Times New Roman" w:hAnsi="Times New Roman"/>
          <w:spacing w:val="-8"/>
          <w:sz w:val="28"/>
          <w:szCs w:val="28"/>
          <w:shd w:val="clear" w:color="auto" w:fill="FFFFFF"/>
          <w:lang w:eastAsia="uk-UA"/>
        </w:rPr>
        <w:t>господарювання</w:t>
      </w:r>
      <w:r>
        <w:rPr>
          <w:rFonts w:ascii="Times New Roman" w:hAnsi="Times New Roman"/>
          <w:spacing w:val="-8"/>
          <w:sz w:val="28"/>
          <w:szCs w:val="28"/>
        </w:rPr>
        <w:t xml:space="preserve">, на яких поширюється дія цього </w:t>
      </w:r>
      <w:proofErr w:type="spellStart"/>
      <w:r>
        <w:rPr>
          <w:rFonts w:ascii="Times New Roman" w:hAnsi="Times New Roman"/>
          <w:spacing w:val="-8"/>
          <w:sz w:val="28"/>
          <w:szCs w:val="28"/>
        </w:rPr>
        <w:t>акта</w:t>
      </w:r>
      <w:proofErr w:type="spellEnd"/>
      <w:r>
        <w:rPr>
          <w:rFonts w:ascii="Times New Roman" w:hAnsi="Times New Roman"/>
          <w:spacing w:val="-8"/>
          <w:sz w:val="28"/>
          <w:szCs w:val="28"/>
        </w:rPr>
        <w:t xml:space="preserve">; </w:t>
      </w:r>
    </w:p>
    <w:p w:rsidR="00AC7308" w:rsidRDefault="00AC7308" w:rsidP="00AC7308">
      <w:pPr>
        <w:numPr>
          <w:ilvl w:val="0"/>
          <w:numId w:val="8"/>
        </w:numPr>
        <w:tabs>
          <w:tab w:val="left" w:pos="993"/>
          <w:tab w:val="left" w:pos="1134"/>
        </w:tabs>
        <w:spacing w:after="0" w:line="240" w:lineRule="auto"/>
        <w:ind w:left="0" w:firstLine="567"/>
        <w:jc w:val="both"/>
        <w:rPr>
          <w:rFonts w:ascii="Times New Roman" w:hAnsi="Times New Roman"/>
          <w:spacing w:val="-8"/>
          <w:sz w:val="28"/>
          <w:szCs w:val="28"/>
        </w:rPr>
      </w:pPr>
      <w:r>
        <w:rPr>
          <w:rFonts w:ascii="Times New Roman" w:hAnsi="Times New Roman"/>
          <w:spacing w:val="-8"/>
          <w:sz w:val="28"/>
          <w:szCs w:val="28"/>
        </w:rPr>
        <w:t xml:space="preserve">кількість суб’єктів </w:t>
      </w:r>
      <w:r>
        <w:rPr>
          <w:rFonts w:ascii="Times New Roman" w:hAnsi="Times New Roman"/>
          <w:spacing w:val="-8"/>
          <w:sz w:val="28"/>
          <w:szCs w:val="28"/>
          <w:shd w:val="clear" w:color="auto" w:fill="FFFFFF"/>
          <w:lang w:eastAsia="uk-UA"/>
        </w:rPr>
        <w:t>господарювання</w:t>
      </w:r>
      <w:r>
        <w:rPr>
          <w:rFonts w:ascii="Times New Roman" w:hAnsi="Times New Roman"/>
          <w:spacing w:val="-8"/>
          <w:sz w:val="28"/>
          <w:szCs w:val="28"/>
        </w:rPr>
        <w:t xml:space="preserve">, які </w:t>
      </w:r>
      <w:r>
        <w:rPr>
          <w:rFonts w:ascii="Times New Roman" w:hAnsi="Times New Roman"/>
          <w:sz w:val="28"/>
        </w:rPr>
        <w:t>подали</w:t>
      </w:r>
      <w:r>
        <w:rPr>
          <w:rFonts w:ascii="Times New Roman" w:hAnsi="Times New Roman"/>
          <w:spacing w:val="-8"/>
          <w:sz w:val="28"/>
          <w:szCs w:val="28"/>
        </w:rPr>
        <w:t xml:space="preserve"> інформацію про відкритт</w:t>
      </w:r>
      <w:r>
        <w:rPr>
          <w:rFonts w:ascii="Times New Roman" w:hAnsi="Times New Roman"/>
          <w:sz w:val="28"/>
        </w:rPr>
        <w:t>я</w:t>
      </w:r>
      <w:r>
        <w:rPr>
          <w:rFonts w:ascii="Times New Roman" w:hAnsi="Times New Roman"/>
          <w:spacing w:val="-8"/>
          <w:sz w:val="28"/>
          <w:szCs w:val="28"/>
        </w:rPr>
        <w:t xml:space="preserve"> банківськ</w:t>
      </w:r>
      <w:r>
        <w:rPr>
          <w:rFonts w:ascii="Times New Roman" w:hAnsi="Times New Roman"/>
          <w:sz w:val="28"/>
        </w:rPr>
        <w:t>их</w:t>
      </w:r>
      <w:r>
        <w:rPr>
          <w:rFonts w:ascii="Times New Roman" w:hAnsi="Times New Roman"/>
          <w:spacing w:val="-8"/>
          <w:sz w:val="28"/>
          <w:szCs w:val="28"/>
        </w:rPr>
        <w:t xml:space="preserve"> рахунк</w:t>
      </w:r>
      <w:r>
        <w:rPr>
          <w:rFonts w:ascii="Times New Roman" w:hAnsi="Times New Roman"/>
          <w:sz w:val="28"/>
        </w:rPr>
        <w:t>ів, рахунків у цінних паперах, інших рахунків</w:t>
      </w:r>
      <w:r>
        <w:rPr>
          <w:rFonts w:ascii="Times New Roman" w:hAnsi="Times New Roman"/>
          <w:spacing w:val="-8"/>
          <w:sz w:val="28"/>
          <w:szCs w:val="28"/>
        </w:rPr>
        <w:t xml:space="preserve"> фізичних і юридичних осіб та індивідуальн</w:t>
      </w:r>
      <w:r>
        <w:rPr>
          <w:rFonts w:ascii="Times New Roman" w:hAnsi="Times New Roman"/>
          <w:sz w:val="28"/>
        </w:rPr>
        <w:t>их</w:t>
      </w:r>
      <w:r>
        <w:rPr>
          <w:rFonts w:ascii="Times New Roman" w:hAnsi="Times New Roman"/>
          <w:spacing w:val="-8"/>
          <w:sz w:val="28"/>
          <w:szCs w:val="28"/>
        </w:rPr>
        <w:t xml:space="preserve"> банківськ</w:t>
      </w:r>
      <w:r>
        <w:rPr>
          <w:rFonts w:ascii="Times New Roman" w:hAnsi="Times New Roman"/>
          <w:sz w:val="28"/>
        </w:rPr>
        <w:t>их</w:t>
      </w:r>
      <w:r>
        <w:rPr>
          <w:rFonts w:ascii="Times New Roman" w:hAnsi="Times New Roman"/>
          <w:spacing w:val="-8"/>
          <w:sz w:val="28"/>
          <w:szCs w:val="28"/>
        </w:rPr>
        <w:t xml:space="preserve"> сейф</w:t>
      </w:r>
      <w:r>
        <w:rPr>
          <w:rFonts w:ascii="Times New Roman" w:hAnsi="Times New Roman"/>
          <w:sz w:val="28"/>
        </w:rPr>
        <w:t>ів</w:t>
      </w:r>
      <w:r>
        <w:rPr>
          <w:rFonts w:ascii="Times New Roman" w:hAnsi="Times New Roman"/>
          <w:spacing w:val="-8"/>
          <w:sz w:val="28"/>
          <w:szCs w:val="28"/>
        </w:rPr>
        <w:t xml:space="preserve"> до ДПС;</w:t>
      </w:r>
    </w:p>
    <w:p w:rsidR="00AC7308" w:rsidRDefault="00AC7308" w:rsidP="00AC7308">
      <w:pPr>
        <w:numPr>
          <w:ilvl w:val="0"/>
          <w:numId w:val="8"/>
        </w:numPr>
        <w:tabs>
          <w:tab w:val="left" w:pos="993"/>
          <w:tab w:val="left" w:pos="1134"/>
        </w:tabs>
        <w:spacing w:after="0" w:line="240" w:lineRule="auto"/>
        <w:ind w:left="0" w:firstLine="567"/>
        <w:jc w:val="both"/>
        <w:rPr>
          <w:rFonts w:ascii="Times New Roman" w:hAnsi="Times New Roman"/>
          <w:spacing w:val="-8"/>
          <w:sz w:val="28"/>
          <w:szCs w:val="28"/>
        </w:rPr>
      </w:pPr>
      <w:r>
        <w:rPr>
          <w:rFonts w:ascii="Times New Roman" w:hAnsi="Times New Roman"/>
          <w:spacing w:val="-8"/>
          <w:sz w:val="28"/>
          <w:szCs w:val="28"/>
        </w:rPr>
        <w:t>кількість повідомлень про відкритт</w:t>
      </w:r>
      <w:r>
        <w:rPr>
          <w:rFonts w:ascii="Times New Roman" w:hAnsi="Times New Roman"/>
          <w:sz w:val="28"/>
        </w:rPr>
        <w:t>я</w:t>
      </w:r>
      <w:r>
        <w:rPr>
          <w:rFonts w:ascii="Times New Roman" w:hAnsi="Times New Roman"/>
          <w:spacing w:val="-8"/>
          <w:sz w:val="28"/>
          <w:szCs w:val="28"/>
        </w:rPr>
        <w:t xml:space="preserve"> банківськ</w:t>
      </w:r>
      <w:r>
        <w:rPr>
          <w:rFonts w:ascii="Times New Roman" w:hAnsi="Times New Roman"/>
          <w:sz w:val="28"/>
        </w:rPr>
        <w:t>их</w:t>
      </w:r>
      <w:r>
        <w:rPr>
          <w:rFonts w:ascii="Times New Roman" w:hAnsi="Times New Roman"/>
          <w:spacing w:val="-8"/>
          <w:sz w:val="28"/>
          <w:szCs w:val="28"/>
        </w:rPr>
        <w:t xml:space="preserve"> рахунк</w:t>
      </w:r>
      <w:r>
        <w:rPr>
          <w:rFonts w:ascii="Times New Roman" w:hAnsi="Times New Roman"/>
          <w:sz w:val="28"/>
        </w:rPr>
        <w:t>ів, рахунків у цінних паперах, інших рахунків</w:t>
      </w:r>
      <w:r>
        <w:rPr>
          <w:rFonts w:ascii="Times New Roman" w:hAnsi="Times New Roman"/>
          <w:spacing w:val="-8"/>
          <w:sz w:val="28"/>
          <w:szCs w:val="28"/>
        </w:rPr>
        <w:t xml:space="preserve"> фізичних і юридичних осіб та індивідуальн</w:t>
      </w:r>
      <w:r>
        <w:rPr>
          <w:rFonts w:ascii="Times New Roman" w:hAnsi="Times New Roman"/>
          <w:sz w:val="28"/>
        </w:rPr>
        <w:t>их</w:t>
      </w:r>
      <w:r>
        <w:rPr>
          <w:rFonts w:ascii="Times New Roman" w:hAnsi="Times New Roman"/>
          <w:spacing w:val="-8"/>
          <w:sz w:val="28"/>
          <w:szCs w:val="28"/>
        </w:rPr>
        <w:t xml:space="preserve"> банківськ</w:t>
      </w:r>
      <w:r>
        <w:rPr>
          <w:rFonts w:ascii="Times New Roman" w:hAnsi="Times New Roman"/>
          <w:sz w:val="28"/>
        </w:rPr>
        <w:t>их</w:t>
      </w:r>
      <w:r>
        <w:rPr>
          <w:rFonts w:ascii="Times New Roman" w:hAnsi="Times New Roman"/>
          <w:spacing w:val="-8"/>
          <w:sz w:val="28"/>
          <w:szCs w:val="28"/>
        </w:rPr>
        <w:t xml:space="preserve"> сейф</w:t>
      </w:r>
      <w:r>
        <w:rPr>
          <w:rFonts w:ascii="Times New Roman" w:hAnsi="Times New Roman"/>
          <w:sz w:val="28"/>
        </w:rPr>
        <w:t>ів</w:t>
      </w:r>
      <w:r>
        <w:rPr>
          <w:rFonts w:ascii="Times New Roman" w:hAnsi="Times New Roman"/>
          <w:spacing w:val="-8"/>
          <w:sz w:val="28"/>
          <w:szCs w:val="28"/>
        </w:rPr>
        <w:t xml:space="preserve"> до ДПС;</w:t>
      </w:r>
    </w:p>
    <w:p w:rsidR="00AC7308" w:rsidRDefault="00AC7308" w:rsidP="00AC7308">
      <w:pPr>
        <w:numPr>
          <w:ilvl w:val="0"/>
          <w:numId w:val="8"/>
        </w:numPr>
        <w:tabs>
          <w:tab w:val="left" w:pos="993"/>
          <w:tab w:val="left" w:pos="1134"/>
        </w:tabs>
        <w:spacing w:after="0" w:line="240" w:lineRule="auto"/>
        <w:ind w:left="0" w:firstLine="567"/>
        <w:jc w:val="both"/>
        <w:rPr>
          <w:rFonts w:ascii="Times New Roman" w:hAnsi="Times New Roman"/>
          <w:spacing w:val="-8"/>
          <w:sz w:val="28"/>
          <w:szCs w:val="28"/>
        </w:rPr>
      </w:pPr>
      <w:r>
        <w:rPr>
          <w:rFonts w:ascii="Times New Roman" w:hAnsi="Times New Roman"/>
          <w:sz w:val="28"/>
        </w:rPr>
        <w:t xml:space="preserve">кількість оброблених Держфінмоніторингом інформації про </w:t>
      </w:r>
      <w:r>
        <w:rPr>
          <w:rFonts w:ascii="Times New Roman" w:hAnsi="Times New Roman"/>
          <w:spacing w:val="-8"/>
          <w:sz w:val="28"/>
          <w:szCs w:val="28"/>
        </w:rPr>
        <w:t>відкритт</w:t>
      </w:r>
      <w:r>
        <w:rPr>
          <w:rFonts w:ascii="Times New Roman" w:hAnsi="Times New Roman"/>
          <w:sz w:val="28"/>
        </w:rPr>
        <w:t>я</w:t>
      </w:r>
      <w:r>
        <w:rPr>
          <w:rFonts w:ascii="Times New Roman" w:hAnsi="Times New Roman"/>
          <w:spacing w:val="-8"/>
          <w:sz w:val="28"/>
          <w:szCs w:val="28"/>
        </w:rPr>
        <w:t xml:space="preserve"> зазначених рахунків та банківських сейфів.</w:t>
      </w:r>
    </w:p>
    <w:p w:rsidR="00AC7308" w:rsidRDefault="00AC7308" w:rsidP="00AC7308">
      <w:pPr>
        <w:widowControl w:val="0"/>
        <w:spacing w:before="120" w:after="120" w:line="240" w:lineRule="auto"/>
        <w:ind w:right="23" w:firstLine="567"/>
        <w:jc w:val="both"/>
        <w:rPr>
          <w:rFonts w:ascii="Times New Roman" w:hAnsi="Times New Roman"/>
          <w:b/>
          <w:bCs/>
          <w:spacing w:val="-8"/>
          <w:sz w:val="28"/>
          <w:szCs w:val="28"/>
          <w:shd w:val="clear" w:color="auto" w:fill="FFFFFF"/>
          <w:lang w:eastAsia="uk-UA"/>
        </w:rPr>
      </w:pPr>
      <w:r>
        <w:rPr>
          <w:rFonts w:ascii="Times New Roman" w:hAnsi="Times New Roman"/>
          <w:b/>
          <w:bCs/>
          <w:spacing w:val="-8"/>
          <w:sz w:val="28"/>
          <w:szCs w:val="28"/>
          <w:shd w:val="clear" w:color="auto" w:fill="FFFFFF"/>
          <w:lang w:eastAsia="uk-UA"/>
        </w:rPr>
        <w:t>IX. Визначення заходів, за допомогою яких здійснюватиметься</w:t>
      </w:r>
      <w:r>
        <w:rPr>
          <w:rFonts w:ascii="Times New Roman" w:hAnsi="Times New Roman"/>
          <w:b/>
          <w:bCs/>
          <w:spacing w:val="-8"/>
          <w:sz w:val="28"/>
          <w:szCs w:val="28"/>
          <w:shd w:val="clear" w:color="auto" w:fill="FFFFFF"/>
          <w:lang w:val="ru-RU" w:eastAsia="uk-UA"/>
        </w:rPr>
        <w:t xml:space="preserve"> </w:t>
      </w:r>
      <w:r>
        <w:rPr>
          <w:rFonts w:ascii="Times New Roman" w:hAnsi="Times New Roman"/>
          <w:b/>
          <w:bCs/>
          <w:spacing w:val="-8"/>
          <w:sz w:val="28"/>
          <w:szCs w:val="28"/>
          <w:shd w:val="clear" w:color="auto" w:fill="FFFFFF"/>
          <w:lang w:eastAsia="uk-UA"/>
        </w:rPr>
        <w:t xml:space="preserve">відстеження результативності дії регуляторного </w:t>
      </w:r>
      <w:proofErr w:type="spellStart"/>
      <w:r>
        <w:rPr>
          <w:rFonts w:ascii="Times New Roman" w:hAnsi="Times New Roman"/>
          <w:b/>
          <w:bCs/>
          <w:spacing w:val="-8"/>
          <w:sz w:val="28"/>
          <w:szCs w:val="28"/>
          <w:shd w:val="clear" w:color="auto" w:fill="FFFFFF"/>
          <w:lang w:eastAsia="uk-UA"/>
        </w:rPr>
        <w:t>акта</w:t>
      </w:r>
      <w:proofErr w:type="spellEnd"/>
    </w:p>
    <w:p w:rsidR="00AC7308" w:rsidRDefault="00AC7308" w:rsidP="00AC7308">
      <w:pPr>
        <w:widowControl w:val="0"/>
        <w:spacing w:after="0" w:line="240" w:lineRule="auto"/>
        <w:ind w:right="20" w:firstLine="567"/>
        <w:jc w:val="both"/>
        <w:rPr>
          <w:rFonts w:ascii="Times New Roman" w:hAnsi="Times New Roman"/>
          <w:spacing w:val="-8"/>
          <w:sz w:val="28"/>
          <w:szCs w:val="28"/>
          <w:lang w:eastAsia="uk-UA"/>
        </w:rPr>
      </w:pPr>
      <w:r>
        <w:rPr>
          <w:rFonts w:ascii="Times New Roman" w:hAnsi="Times New Roman"/>
          <w:spacing w:val="-8"/>
          <w:sz w:val="28"/>
          <w:szCs w:val="28"/>
          <w:shd w:val="clear" w:color="auto" w:fill="FFFFFF"/>
          <w:lang w:eastAsia="uk-UA"/>
        </w:rPr>
        <w:t xml:space="preserve">Відстеження результативності регуляторного </w:t>
      </w:r>
      <w:proofErr w:type="spellStart"/>
      <w:r>
        <w:rPr>
          <w:rFonts w:ascii="Times New Roman" w:hAnsi="Times New Roman"/>
          <w:spacing w:val="-8"/>
          <w:sz w:val="28"/>
          <w:szCs w:val="28"/>
          <w:shd w:val="clear" w:color="auto" w:fill="FFFFFF"/>
          <w:lang w:eastAsia="uk-UA"/>
        </w:rPr>
        <w:t>акта</w:t>
      </w:r>
      <w:proofErr w:type="spellEnd"/>
      <w:r>
        <w:rPr>
          <w:rFonts w:ascii="Times New Roman" w:hAnsi="Times New Roman"/>
          <w:spacing w:val="-8"/>
          <w:sz w:val="28"/>
          <w:szCs w:val="28"/>
          <w:shd w:val="clear" w:color="auto" w:fill="FFFFFF"/>
          <w:lang w:eastAsia="uk-UA"/>
        </w:rPr>
        <w:t xml:space="preserve"> буде здійснюватися шляхом аналізу статистичних даних, отриманих від ДПС та Держфінмоніторингу</w:t>
      </w:r>
      <w:r>
        <w:rPr>
          <w:rFonts w:ascii="Times New Roman" w:hAnsi="Times New Roman"/>
          <w:spacing w:val="-8"/>
          <w:sz w:val="28"/>
          <w:szCs w:val="28"/>
          <w:lang w:eastAsia="uk-UA"/>
        </w:rPr>
        <w:t>.</w:t>
      </w:r>
    </w:p>
    <w:p w:rsidR="00AC7308" w:rsidRDefault="00AC7308" w:rsidP="00AC7308">
      <w:pPr>
        <w:widowControl w:val="0"/>
        <w:spacing w:after="0" w:line="240" w:lineRule="auto"/>
        <w:ind w:right="20" w:firstLine="567"/>
        <w:jc w:val="both"/>
        <w:rPr>
          <w:rFonts w:ascii="Times New Roman" w:hAnsi="Times New Roman"/>
          <w:spacing w:val="-8"/>
          <w:sz w:val="28"/>
          <w:szCs w:val="28"/>
          <w:shd w:val="clear" w:color="auto" w:fill="FFFFFF"/>
          <w:lang w:eastAsia="uk-UA"/>
        </w:rPr>
      </w:pPr>
      <w:r>
        <w:rPr>
          <w:rFonts w:ascii="Times New Roman" w:hAnsi="Times New Roman"/>
          <w:spacing w:val="-8"/>
          <w:sz w:val="28"/>
          <w:szCs w:val="28"/>
          <w:shd w:val="clear" w:color="auto" w:fill="FFFFFF"/>
          <w:lang w:eastAsia="uk-UA"/>
        </w:rPr>
        <w:t xml:space="preserve">Результативність дії регуляторного </w:t>
      </w:r>
      <w:proofErr w:type="spellStart"/>
      <w:r>
        <w:rPr>
          <w:rFonts w:ascii="Times New Roman" w:hAnsi="Times New Roman"/>
          <w:spacing w:val="-8"/>
          <w:sz w:val="28"/>
          <w:szCs w:val="28"/>
          <w:shd w:val="clear" w:color="auto" w:fill="FFFFFF"/>
          <w:lang w:eastAsia="uk-UA"/>
        </w:rPr>
        <w:t>акта</w:t>
      </w:r>
      <w:proofErr w:type="spellEnd"/>
      <w:r>
        <w:rPr>
          <w:rFonts w:ascii="Times New Roman" w:hAnsi="Times New Roman"/>
          <w:spacing w:val="-8"/>
          <w:sz w:val="28"/>
          <w:szCs w:val="28"/>
          <w:shd w:val="clear" w:color="auto" w:fill="FFFFFF"/>
          <w:lang w:eastAsia="uk-UA"/>
        </w:rPr>
        <w:t xml:space="preserve"> буде здійснюватися за допомогою здійснення базового, повторного та періодичного </w:t>
      </w:r>
      <w:proofErr w:type="spellStart"/>
      <w:r>
        <w:rPr>
          <w:rFonts w:ascii="Times New Roman" w:hAnsi="Times New Roman"/>
          <w:spacing w:val="-8"/>
          <w:sz w:val="28"/>
          <w:szCs w:val="28"/>
          <w:shd w:val="clear" w:color="auto" w:fill="FFFFFF"/>
          <w:lang w:eastAsia="uk-UA"/>
        </w:rPr>
        <w:t>відстежень</w:t>
      </w:r>
      <w:proofErr w:type="spellEnd"/>
      <w:r>
        <w:rPr>
          <w:rFonts w:ascii="Times New Roman" w:hAnsi="Times New Roman"/>
          <w:spacing w:val="-8"/>
          <w:sz w:val="28"/>
          <w:szCs w:val="28"/>
          <w:shd w:val="clear" w:color="auto" w:fill="FFFFFF"/>
          <w:lang w:eastAsia="uk-UA"/>
        </w:rPr>
        <w:t>.</w:t>
      </w:r>
    </w:p>
    <w:p w:rsidR="00AC7308" w:rsidRDefault="00AC7308" w:rsidP="00AC7308">
      <w:pPr>
        <w:widowControl w:val="0"/>
        <w:spacing w:after="0" w:line="240" w:lineRule="auto"/>
        <w:ind w:right="20" w:firstLine="567"/>
        <w:jc w:val="both"/>
        <w:rPr>
          <w:rFonts w:ascii="Times New Roman" w:hAnsi="Times New Roman"/>
          <w:spacing w:val="-8"/>
          <w:sz w:val="28"/>
          <w:szCs w:val="28"/>
          <w:shd w:val="clear" w:color="auto" w:fill="FFFFFF"/>
          <w:lang w:eastAsia="uk-UA"/>
        </w:rPr>
      </w:pPr>
      <w:r>
        <w:rPr>
          <w:rFonts w:ascii="Times New Roman" w:hAnsi="Times New Roman"/>
          <w:spacing w:val="-8"/>
          <w:sz w:val="28"/>
          <w:szCs w:val="28"/>
          <w:shd w:val="clear" w:color="auto" w:fill="FFFFFF"/>
          <w:lang w:eastAsia="uk-UA"/>
        </w:rPr>
        <w:t xml:space="preserve">Базове відстеження результативності дії регуляторного </w:t>
      </w:r>
      <w:proofErr w:type="spellStart"/>
      <w:r>
        <w:rPr>
          <w:rFonts w:ascii="Times New Roman" w:hAnsi="Times New Roman"/>
          <w:spacing w:val="-8"/>
          <w:sz w:val="28"/>
          <w:szCs w:val="28"/>
          <w:shd w:val="clear" w:color="auto" w:fill="FFFFFF"/>
          <w:lang w:eastAsia="uk-UA"/>
        </w:rPr>
        <w:t>акта</w:t>
      </w:r>
      <w:proofErr w:type="spellEnd"/>
      <w:r>
        <w:rPr>
          <w:rFonts w:ascii="Times New Roman" w:hAnsi="Times New Roman"/>
          <w:spacing w:val="-8"/>
          <w:sz w:val="28"/>
          <w:szCs w:val="28"/>
          <w:shd w:val="clear" w:color="auto" w:fill="FFFFFF"/>
          <w:lang w:eastAsia="uk-UA"/>
        </w:rPr>
        <w:t xml:space="preserve"> буде проведено через рік з дня набрання чинності регуляторним актом шляхом аналізу статистичних даних, отриманих від ДПС та Держфінмоніторингу.</w:t>
      </w:r>
    </w:p>
    <w:p w:rsidR="00AC7308" w:rsidRDefault="00AC7308" w:rsidP="00AC7308">
      <w:pPr>
        <w:widowControl w:val="0"/>
        <w:spacing w:after="0" w:line="240" w:lineRule="auto"/>
        <w:ind w:right="20" w:firstLine="567"/>
        <w:jc w:val="both"/>
        <w:rPr>
          <w:rFonts w:ascii="Times New Roman" w:hAnsi="Times New Roman"/>
          <w:spacing w:val="-8"/>
          <w:sz w:val="28"/>
          <w:szCs w:val="28"/>
          <w:shd w:val="clear" w:color="auto" w:fill="FFFFFF"/>
          <w:lang w:eastAsia="uk-UA"/>
        </w:rPr>
      </w:pPr>
      <w:r>
        <w:rPr>
          <w:rFonts w:ascii="Times New Roman" w:hAnsi="Times New Roman"/>
          <w:spacing w:val="-8"/>
          <w:sz w:val="28"/>
          <w:szCs w:val="28"/>
          <w:shd w:val="clear" w:color="auto" w:fill="FFFFFF"/>
          <w:lang w:eastAsia="uk-UA"/>
        </w:rPr>
        <w:t xml:space="preserve">Повторне відстеження результативності регуляторного </w:t>
      </w:r>
      <w:proofErr w:type="spellStart"/>
      <w:r>
        <w:rPr>
          <w:rFonts w:ascii="Times New Roman" w:hAnsi="Times New Roman"/>
          <w:spacing w:val="-8"/>
          <w:sz w:val="28"/>
          <w:szCs w:val="28"/>
          <w:shd w:val="clear" w:color="auto" w:fill="FFFFFF"/>
          <w:lang w:eastAsia="uk-UA"/>
        </w:rPr>
        <w:t>акта</w:t>
      </w:r>
      <w:proofErr w:type="spellEnd"/>
      <w:r>
        <w:rPr>
          <w:rFonts w:ascii="Times New Roman" w:hAnsi="Times New Roman"/>
          <w:spacing w:val="-8"/>
          <w:sz w:val="28"/>
          <w:szCs w:val="28"/>
          <w:shd w:val="clear" w:color="auto" w:fill="FFFFFF"/>
          <w:lang w:eastAsia="uk-UA"/>
        </w:rPr>
        <w:t xml:space="preserve"> здійснюється через два роки з дня набрання ним чинності.</w:t>
      </w:r>
    </w:p>
    <w:p w:rsidR="00AC7308" w:rsidRDefault="00AC7308" w:rsidP="00AC7308">
      <w:pPr>
        <w:widowControl w:val="0"/>
        <w:spacing w:after="0" w:line="240" w:lineRule="auto"/>
        <w:ind w:right="20" w:firstLine="567"/>
        <w:jc w:val="both"/>
        <w:rPr>
          <w:rFonts w:ascii="Times New Roman" w:hAnsi="Times New Roman"/>
          <w:spacing w:val="-8"/>
          <w:sz w:val="28"/>
          <w:szCs w:val="28"/>
          <w:shd w:val="clear" w:color="auto" w:fill="FFFFFF"/>
          <w:lang w:eastAsia="uk-UA"/>
        </w:rPr>
      </w:pPr>
      <w:r>
        <w:rPr>
          <w:rFonts w:ascii="Times New Roman" w:hAnsi="Times New Roman"/>
          <w:spacing w:val="-8"/>
          <w:sz w:val="28"/>
          <w:szCs w:val="28"/>
          <w:shd w:val="clear" w:color="auto" w:fill="FFFFFF"/>
          <w:lang w:eastAsia="uk-UA"/>
        </w:rPr>
        <w:t xml:space="preserve">Періодичне відстеження результативності регуляторного </w:t>
      </w:r>
      <w:proofErr w:type="spellStart"/>
      <w:r>
        <w:rPr>
          <w:rFonts w:ascii="Times New Roman" w:hAnsi="Times New Roman"/>
          <w:spacing w:val="-8"/>
          <w:sz w:val="28"/>
          <w:szCs w:val="28"/>
          <w:shd w:val="clear" w:color="auto" w:fill="FFFFFF"/>
          <w:lang w:eastAsia="uk-UA"/>
        </w:rPr>
        <w:t>акта</w:t>
      </w:r>
      <w:proofErr w:type="spellEnd"/>
      <w:r>
        <w:rPr>
          <w:rFonts w:ascii="Times New Roman" w:hAnsi="Times New Roman"/>
          <w:spacing w:val="-8"/>
          <w:sz w:val="28"/>
          <w:szCs w:val="28"/>
          <w:shd w:val="clear" w:color="auto" w:fill="FFFFFF"/>
          <w:lang w:eastAsia="uk-UA"/>
        </w:rPr>
        <w:t xml:space="preserve"> здійснюється раз на три роки, починаючи із дня виконання заходів із повторного відстеження.</w:t>
      </w:r>
    </w:p>
    <w:p w:rsidR="00AC7308" w:rsidRDefault="00AC7308" w:rsidP="00AC7308">
      <w:pPr>
        <w:widowControl w:val="0"/>
        <w:spacing w:after="0" w:line="240" w:lineRule="auto"/>
        <w:ind w:right="20" w:firstLine="567"/>
        <w:jc w:val="both"/>
        <w:rPr>
          <w:rFonts w:ascii="Times New Roman" w:hAnsi="Times New Roman"/>
          <w:sz w:val="28"/>
          <w:szCs w:val="28"/>
        </w:rPr>
      </w:pPr>
      <w:r>
        <w:rPr>
          <w:rFonts w:ascii="Times New Roman" w:hAnsi="Times New Roman"/>
          <w:sz w:val="28"/>
          <w:szCs w:val="28"/>
        </w:rPr>
        <w:t xml:space="preserve">Відстеження результативності цього регуляторного </w:t>
      </w:r>
      <w:proofErr w:type="spellStart"/>
      <w:r>
        <w:rPr>
          <w:rFonts w:ascii="Times New Roman" w:hAnsi="Times New Roman"/>
          <w:sz w:val="28"/>
          <w:szCs w:val="28"/>
        </w:rPr>
        <w:t>акта</w:t>
      </w:r>
      <w:proofErr w:type="spellEnd"/>
      <w:r>
        <w:rPr>
          <w:rFonts w:ascii="Times New Roman" w:hAnsi="Times New Roman"/>
          <w:sz w:val="28"/>
          <w:szCs w:val="28"/>
        </w:rPr>
        <w:t>, у разі його прийняття, здійснюватиметься Міністерством фінансів України.</w:t>
      </w:r>
    </w:p>
    <w:p w:rsidR="00AC7308" w:rsidRDefault="00AC7308" w:rsidP="00AC7308">
      <w:pPr>
        <w:widowControl w:val="0"/>
        <w:spacing w:after="0" w:line="240" w:lineRule="auto"/>
        <w:ind w:right="20"/>
        <w:jc w:val="both"/>
        <w:rPr>
          <w:rFonts w:ascii="Times New Roman" w:hAnsi="Times New Roman"/>
          <w:b/>
          <w:bCs/>
          <w:spacing w:val="-8"/>
          <w:sz w:val="28"/>
          <w:szCs w:val="28"/>
          <w:shd w:val="clear" w:color="auto" w:fill="FFFFFF"/>
          <w:lang w:eastAsia="uk-UA"/>
        </w:rPr>
      </w:pPr>
    </w:p>
    <w:p w:rsidR="00AC7308" w:rsidRDefault="00AC7308" w:rsidP="00AC7308">
      <w:pPr>
        <w:widowControl w:val="0"/>
        <w:spacing w:after="0" w:line="240" w:lineRule="auto"/>
        <w:ind w:right="20"/>
        <w:jc w:val="both"/>
        <w:rPr>
          <w:rFonts w:ascii="Times New Roman" w:hAnsi="Times New Roman"/>
          <w:b/>
          <w:bCs/>
          <w:spacing w:val="-8"/>
          <w:sz w:val="28"/>
          <w:szCs w:val="28"/>
          <w:shd w:val="clear" w:color="auto" w:fill="FFFFFF"/>
          <w:lang w:eastAsia="uk-UA"/>
        </w:rPr>
      </w:pPr>
    </w:p>
    <w:p w:rsidR="00AC7308" w:rsidRDefault="00042CF8" w:rsidP="00AC7308">
      <w:pPr>
        <w:widowControl w:val="0"/>
        <w:spacing w:after="0" w:line="240" w:lineRule="auto"/>
        <w:ind w:right="20"/>
        <w:jc w:val="both"/>
        <w:rPr>
          <w:rFonts w:ascii="Times New Roman" w:hAnsi="Times New Roman"/>
          <w:spacing w:val="-8"/>
          <w:sz w:val="28"/>
          <w:szCs w:val="28"/>
          <w:shd w:val="clear" w:color="auto" w:fill="FFFFFF"/>
          <w:lang w:eastAsia="uk-UA"/>
        </w:rPr>
      </w:pPr>
      <w:r>
        <w:rPr>
          <w:rFonts w:ascii="Times New Roman" w:hAnsi="Times New Roman"/>
          <w:b/>
          <w:bCs/>
          <w:spacing w:val="-8"/>
          <w:sz w:val="28"/>
          <w:szCs w:val="28"/>
          <w:shd w:val="clear" w:color="auto" w:fill="FFFFFF"/>
          <w:lang w:eastAsia="uk-UA"/>
        </w:rPr>
        <w:t xml:space="preserve">В. о. </w:t>
      </w:r>
      <w:r w:rsidR="00AC7308">
        <w:rPr>
          <w:rFonts w:ascii="Times New Roman" w:hAnsi="Times New Roman"/>
          <w:b/>
          <w:bCs/>
          <w:spacing w:val="-8"/>
          <w:sz w:val="28"/>
          <w:szCs w:val="28"/>
          <w:shd w:val="clear" w:color="auto" w:fill="FFFFFF"/>
          <w:lang w:eastAsia="uk-UA"/>
        </w:rPr>
        <w:t>Міністр</w:t>
      </w:r>
      <w:r>
        <w:rPr>
          <w:rFonts w:ascii="Times New Roman" w:hAnsi="Times New Roman"/>
          <w:b/>
          <w:bCs/>
          <w:spacing w:val="-8"/>
          <w:sz w:val="28"/>
          <w:szCs w:val="28"/>
          <w:shd w:val="clear" w:color="auto" w:fill="FFFFFF"/>
          <w:lang w:eastAsia="uk-UA"/>
        </w:rPr>
        <w:t>а</w:t>
      </w:r>
      <w:r w:rsidR="00AC7308">
        <w:rPr>
          <w:rFonts w:ascii="Times New Roman" w:hAnsi="Times New Roman"/>
          <w:b/>
          <w:bCs/>
          <w:spacing w:val="-8"/>
          <w:sz w:val="28"/>
          <w:szCs w:val="28"/>
          <w:shd w:val="clear" w:color="auto" w:fill="FFFFFF"/>
          <w:lang w:eastAsia="uk-UA"/>
        </w:rPr>
        <w:t xml:space="preserve"> фінансів України</w:t>
      </w:r>
      <w:r w:rsidR="00AC7308">
        <w:rPr>
          <w:rFonts w:ascii="Times New Roman" w:hAnsi="Times New Roman"/>
          <w:b/>
          <w:bCs/>
          <w:spacing w:val="-8"/>
          <w:sz w:val="28"/>
          <w:szCs w:val="28"/>
          <w:shd w:val="clear" w:color="auto" w:fill="FFFFFF"/>
          <w:lang w:val="ru-RU" w:eastAsia="uk-UA"/>
        </w:rPr>
        <w:t xml:space="preserve">                                            </w:t>
      </w:r>
      <w:r w:rsidR="00AC7308">
        <w:rPr>
          <w:rFonts w:ascii="Times New Roman" w:hAnsi="Times New Roman"/>
          <w:b/>
          <w:sz w:val="28"/>
          <w:shd w:val="clear" w:color="auto" w:fill="FFFFFF"/>
          <w:lang w:val="ru-RU" w:eastAsia="uk-UA"/>
        </w:rPr>
        <w:t xml:space="preserve">                   </w:t>
      </w:r>
      <w:r w:rsidR="00AC7308">
        <w:rPr>
          <w:rFonts w:ascii="Times New Roman" w:hAnsi="Times New Roman"/>
          <w:b/>
          <w:bCs/>
          <w:spacing w:val="-8"/>
          <w:sz w:val="28"/>
          <w:szCs w:val="28"/>
          <w:shd w:val="clear" w:color="auto" w:fill="FFFFFF"/>
          <w:lang w:eastAsia="uk-UA"/>
        </w:rPr>
        <w:t xml:space="preserve">   </w:t>
      </w:r>
      <w:r>
        <w:rPr>
          <w:rFonts w:ascii="Times New Roman" w:hAnsi="Times New Roman"/>
          <w:b/>
          <w:bCs/>
          <w:spacing w:val="-8"/>
          <w:sz w:val="28"/>
          <w:szCs w:val="28"/>
          <w:shd w:val="clear" w:color="auto" w:fill="FFFFFF"/>
          <w:lang w:eastAsia="uk-UA"/>
        </w:rPr>
        <w:t>Денис УЛЮТІН</w:t>
      </w:r>
    </w:p>
    <w:p w:rsidR="00AC7308" w:rsidRDefault="00042CF8" w:rsidP="00AC7308">
      <w:pPr>
        <w:widowControl w:val="0"/>
        <w:spacing w:after="0" w:line="240" w:lineRule="auto"/>
        <w:ind w:right="23"/>
        <w:jc w:val="both"/>
        <w:rPr>
          <w:rFonts w:ascii="Times New Roman" w:hAnsi="Times New Roman"/>
          <w:spacing w:val="-8"/>
          <w:sz w:val="28"/>
          <w:szCs w:val="28"/>
          <w:shd w:val="clear" w:color="auto" w:fill="FFFFFF"/>
          <w:lang w:eastAsia="uk-UA"/>
        </w:rPr>
      </w:pPr>
      <w:r>
        <w:rPr>
          <w:rFonts w:ascii="Times New Roman" w:hAnsi="Times New Roman"/>
          <w:spacing w:val="-8"/>
          <w:sz w:val="28"/>
          <w:szCs w:val="28"/>
          <w:shd w:val="clear" w:color="auto" w:fill="FFFFFF"/>
          <w:lang w:eastAsia="uk-UA"/>
        </w:rPr>
        <w:t xml:space="preserve"> </w:t>
      </w:r>
      <w:bookmarkStart w:id="3" w:name="_GoBack"/>
      <w:bookmarkEnd w:id="3"/>
    </w:p>
    <w:p w:rsidR="00AC7308" w:rsidRDefault="00AC7308" w:rsidP="00AC7308">
      <w:pPr>
        <w:spacing w:after="0" w:line="240" w:lineRule="auto"/>
      </w:pPr>
      <w:r>
        <w:rPr>
          <w:rFonts w:ascii="Times New Roman" w:hAnsi="Times New Roman"/>
          <w:spacing w:val="-8"/>
          <w:sz w:val="28"/>
          <w:szCs w:val="28"/>
          <w:shd w:val="clear" w:color="auto" w:fill="FFFFFF"/>
          <w:lang w:eastAsia="uk-UA"/>
        </w:rPr>
        <w:t>___._______________2022 р.</w:t>
      </w:r>
    </w:p>
    <w:p w:rsidR="00CE350F" w:rsidRDefault="00CE350F" w:rsidP="00AC7308">
      <w:pPr>
        <w:widowControl w:val="0"/>
        <w:spacing w:before="120" w:after="120" w:line="240" w:lineRule="auto"/>
        <w:ind w:left="23" w:right="23" w:firstLine="544"/>
        <w:jc w:val="both"/>
      </w:pPr>
    </w:p>
    <w:sectPr w:rsidR="00CE350F">
      <w:headerReference w:type="default" r:id="rId9"/>
      <w:pgSz w:w="11906" w:h="16838"/>
      <w:pgMar w:top="1134" w:right="567"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2D9" w:rsidRDefault="003B02D9">
      <w:pPr>
        <w:spacing w:after="0" w:line="240" w:lineRule="auto"/>
      </w:pPr>
    </w:p>
  </w:endnote>
  <w:endnote w:type="continuationSeparator" w:id="0">
    <w:p w:rsidR="003B02D9" w:rsidRDefault="003B02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2D9" w:rsidRDefault="003B02D9">
      <w:pPr>
        <w:spacing w:after="0" w:line="240" w:lineRule="auto"/>
      </w:pPr>
    </w:p>
  </w:footnote>
  <w:footnote w:type="continuationSeparator" w:id="0">
    <w:p w:rsidR="003B02D9" w:rsidRDefault="003B02D9">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50F" w:rsidRDefault="00E32170">
    <w:pPr>
      <w:pStyle w:val="a6"/>
      <w:jc w:val="center"/>
    </w:pPr>
    <w:r>
      <w:fldChar w:fldCharType="begin"/>
    </w:r>
    <w:r>
      <w:instrText>PAGE   \* MERGEFORMAT</w:instrText>
    </w:r>
    <w:r>
      <w:fldChar w:fldCharType="separate"/>
    </w:r>
    <w:r w:rsidR="00042CF8">
      <w:rPr>
        <w:noProof/>
      </w:rPr>
      <w:t>6</w:t>
    </w:r>
    <w:r>
      <w:rPr>
        <w:noProof/>
      </w:rPr>
      <w:fldChar w:fldCharType="end"/>
    </w:r>
  </w:p>
  <w:p w:rsidR="00CE350F" w:rsidRDefault="00CE350F">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A1D02"/>
    <w:multiLevelType w:val="hybridMultilevel"/>
    <w:tmpl w:val="4C68B6CE"/>
    <w:lvl w:ilvl="0" w:tplc="3646AA4A">
      <w:start w:val="6"/>
      <w:numFmt w:val="bullet"/>
      <w:lvlText w:val="-"/>
      <w:lvlJc w:val="left"/>
      <w:pPr>
        <w:ind w:left="927" w:hanging="360"/>
      </w:pPr>
      <w:rPr>
        <w:rFonts w:ascii="Times New Roman" w:hAnsi="Times New Roman"/>
      </w:rPr>
    </w:lvl>
    <w:lvl w:ilvl="1" w:tplc="04220003">
      <w:start w:val="1"/>
      <w:numFmt w:val="bullet"/>
      <w:lvlText w:val="o"/>
      <w:lvlJc w:val="left"/>
      <w:pPr>
        <w:ind w:left="1647" w:hanging="360"/>
      </w:pPr>
      <w:rPr>
        <w:rFonts w:ascii="Courier New" w:hAnsi="Courier New"/>
      </w:rPr>
    </w:lvl>
    <w:lvl w:ilvl="2" w:tplc="04220005">
      <w:start w:val="1"/>
      <w:numFmt w:val="bullet"/>
      <w:lvlText w:val=""/>
      <w:lvlJc w:val="left"/>
      <w:pPr>
        <w:ind w:left="2367" w:hanging="360"/>
      </w:pPr>
      <w:rPr>
        <w:rFonts w:ascii="Wingdings" w:hAnsi="Wingdings"/>
      </w:rPr>
    </w:lvl>
    <w:lvl w:ilvl="3" w:tplc="04220001">
      <w:start w:val="1"/>
      <w:numFmt w:val="bullet"/>
      <w:lvlText w:val=""/>
      <w:lvlJc w:val="left"/>
      <w:pPr>
        <w:ind w:left="3087" w:hanging="360"/>
      </w:pPr>
      <w:rPr>
        <w:rFonts w:ascii="Symbol" w:hAnsi="Symbol"/>
      </w:rPr>
    </w:lvl>
    <w:lvl w:ilvl="4" w:tplc="04220003">
      <w:start w:val="1"/>
      <w:numFmt w:val="bullet"/>
      <w:lvlText w:val="o"/>
      <w:lvlJc w:val="left"/>
      <w:pPr>
        <w:ind w:left="3807" w:hanging="360"/>
      </w:pPr>
      <w:rPr>
        <w:rFonts w:ascii="Courier New" w:hAnsi="Courier New"/>
      </w:rPr>
    </w:lvl>
    <w:lvl w:ilvl="5" w:tplc="04220005">
      <w:start w:val="1"/>
      <w:numFmt w:val="bullet"/>
      <w:lvlText w:val=""/>
      <w:lvlJc w:val="left"/>
      <w:pPr>
        <w:ind w:left="4527" w:hanging="360"/>
      </w:pPr>
      <w:rPr>
        <w:rFonts w:ascii="Wingdings" w:hAnsi="Wingdings"/>
      </w:rPr>
    </w:lvl>
    <w:lvl w:ilvl="6" w:tplc="04220001">
      <w:start w:val="1"/>
      <w:numFmt w:val="bullet"/>
      <w:lvlText w:val=""/>
      <w:lvlJc w:val="left"/>
      <w:pPr>
        <w:ind w:left="5247" w:hanging="360"/>
      </w:pPr>
      <w:rPr>
        <w:rFonts w:ascii="Symbol" w:hAnsi="Symbol"/>
      </w:rPr>
    </w:lvl>
    <w:lvl w:ilvl="7" w:tplc="04220003">
      <w:start w:val="1"/>
      <w:numFmt w:val="bullet"/>
      <w:lvlText w:val="o"/>
      <w:lvlJc w:val="left"/>
      <w:pPr>
        <w:ind w:left="5967" w:hanging="360"/>
      </w:pPr>
      <w:rPr>
        <w:rFonts w:ascii="Courier New" w:hAnsi="Courier New"/>
      </w:rPr>
    </w:lvl>
    <w:lvl w:ilvl="8" w:tplc="04220005">
      <w:start w:val="1"/>
      <w:numFmt w:val="bullet"/>
      <w:lvlText w:val=""/>
      <w:lvlJc w:val="left"/>
      <w:pPr>
        <w:ind w:left="6687" w:hanging="360"/>
      </w:pPr>
      <w:rPr>
        <w:rFonts w:ascii="Wingdings" w:hAnsi="Wingdings"/>
      </w:rPr>
    </w:lvl>
  </w:abstractNum>
  <w:abstractNum w:abstractNumId="1" w15:restartNumberingAfterBreak="0">
    <w:nsid w:val="1A840261"/>
    <w:multiLevelType w:val="hybridMultilevel"/>
    <w:tmpl w:val="7B96A65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1D1E3060"/>
    <w:multiLevelType w:val="hybridMultilevel"/>
    <w:tmpl w:val="61BA9740"/>
    <w:lvl w:ilvl="0" w:tplc="63927202">
      <w:start w:val="2"/>
      <w:numFmt w:val="bullet"/>
      <w:lvlText w:val="-"/>
      <w:lvlJc w:val="left"/>
      <w:pPr>
        <w:ind w:left="927" w:hanging="360"/>
      </w:pPr>
      <w:rPr>
        <w:rFonts w:ascii="Times New Roman" w:hAnsi="Times New Roman"/>
      </w:rPr>
    </w:lvl>
    <w:lvl w:ilvl="1" w:tplc="04220003">
      <w:start w:val="1"/>
      <w:numFmt w:val="bullet"/>
      <w:lvlText w:val="o"/>
      <w:lvlJc w:val="left"/>
      <w:pPr>
        <w:ind w:left="1647" w:hanging="360"/>
      </w:pPr>
      <w:rPr>
        <w:rFonts w:ascii="Courier New" w:hAnsi="Courier New"/>
      </w:rPr>
    </w:lvl>
    <w:lvl w:ilvl="2" w:tplc="04220005">
      <w:start w:val="1"/>
      <w:numFmt w:val="bullet"/>
      <w:lvlText w:val=""/>
      <w:lvlJc w:val="left"/>
      <w:pPr>
        <w:ind w:left="2367" w:hanging="360"/>
      </w:pPr>
      <w:rPr>
        <w:rFonts w:ascii="Wingdings" w:hAnsi="Wingdings"/>
      </w:rPr>
    </w:lvl>
    <w:lvl w:ilvl="3" w:tplc="04220001">
      <w:start w:val="1"/>
      <w:numFmt w:val="bullet"/>
      <w:lvlText w:val=""/>
      <w:lvlJc w:val="left"/>
      <w:pPr>
        <w:ind w:left="3087" w:hanging="360"/>
      </w:pPr>
      <w:rPr>
        <w:rFonts w:ascii="Symbol" w:hAnsi="Symbol"/>
      </w:rPr>
    </w:lvl>
    <w:lvl w:ilvl="4" w:tplc="04220003">
      <w:start w:val="1"/>
      <w:numFmt w:val="bullet"/>
      <w:lvlText w:val="o"/>
      <w:lvlJc w:val="left"/>
      <w:pPr>
        <w:ind w:left="3807" w:hanging="360"/>
      </w:pPr>
      <w:rPr>
        <w:rFonts w:ascii="Courier New" w:hAnsi="Courier New"/>
      </w:rPr>
    </w:lvl>
    <w:lvl w:ilvl="5" w:tplc="04220005">
      <w:start w:val="1"/>
      <w:numFmt w:val="bullet"/>
      <w:lvlText w:val=""/>
      <w:lvlJc w:val="left"/>
      <w:pPr>
        <w:ind w:left="4527" w:hanging="360"/>
      </w:pPr>
      <w:rPr>
        <w:rFonts w:ascii="Wingdings" w:hAnsi="Wingdings"/>
      </w:rPr>
    </w:lvl>
    <w:lvl w:ilvl="6" w:tplc="04220001">
      <w:start w:val="1"/>
      <w:numFmt w:val="bullet"/>
      <w:lvlText w:val=""/>
      <w:lvlJc w:val="left"/>
      <w:pPr>
        <w:ind w:left="5247" w:hanging="360"/>
      </w:pPr>
      <w:rPr>
        <w:rFonts w:ascii="Symbol" w:hAnsi="Symbol"/>
      </w:rPr>
    </w:lvl>
    <w:lvl w:ilvl="7" w:tplc="04220003">
      <w:start w:val="1"/>
      <w:numFmt w:val="bullet"/>
      <w:lvlText w:val="o"/>
      <w:lvlJc w:val="left"/>
      <w:pPr>
        <w:ind w:left="5967" w:hanging="360"/>
      </w:pPr>
      <w:rPr>
        <w:rFonts w:ascii="Courier New" w:hAnsi="Courier New"/>
      </w:rPr>
    </w:lvl>
    <w:lvl w:ilvl="8" w:tplc="04220005">
      <w:start w:val="1"/>
      <w:numFmt w:val="bullet"/>
      <w:lvlText w:val=""/>
      <w:lvlJc w:val="left"/>
      <w:pPr>
        <w:ind w:left="6687" w:hanging="360"/>
      </w:pPr>
      <w:rPr>
        <w:rFonts w:ascii="Wingdings" w:hAnsi="Wingdings"/>
      </w:rPr>
    </w:lvl>
  </w:abstractNum>
  <w:abstractNum w:abstractNumId="3" w15:restartNumberingAfterBreak="0">
    <w:nsid w:val="1FCB745E"/>
    <w:multiLevelType w:val="hybridMultilevel"/>
    <w:tmpl w:val="9CDABDDA"/>
    <w:lvl w:ilvl="0" w:tplc="246E03FE">
      <w:start w:val="1"/>
      <w:numFmt w:val="decimal"/>
      <w:lvlText w:val="%1)"/>
      <w:lvlJc w:val="left"/>
      <w:pPr>
        <w:ind w:left="1080" w:hanging="360"/>
      </w:pPr>
      <w:rPr>
        <w:b w:val="0"/>
        <w:bCs w:val="0"/>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4" w15:restartNumberingAfterBreak="0">
    <w:nsid w:val="3A3F4DC8"/>
    <w:multiLevelType w:val="hybridMultilevel"/>
    <w:tmpl w:val="911454A2"/>
    <w:lvl w:ilvl="0" w:tplc="FDAAEF76">
      <w:start w:val="6"/>
      <w:numFmt w:val="bullet"/>
      <w:lvlText w:val="-"/>
      <w:lvlJc w:val="left"/>
      <w:pPr>
        <w:ind w:left="927" w:hanging="360"/>
      </w:pPr>
      <w:rPr>
        <w:rFonts w:ascii="Times New Roman" w:hAnsi="Times New Roman"/>
      </w:rPr>
    </w:lvl>
    <w:lvl w:ilvl="1" w:tplc="04220003">
      <w:start w:val="1"/>
      <w:numFmt w:val="bullet"/>
      <w:lvlText w:val="o"/>
      <w:lvlJc w:val="left"/>
      <w:pPr>
        <w:ind w:left="1647" w:hanging="360"/>
      </w:pPr>
      <w:rPr>
        <w:rFonts w:ascii="Courier New" w:hAnsi="Courier New"/>
      </w:rPr>
    </w:lvl>
    <w:lvl w:ilvl="2" w:tplc="04220005">
      <w:start w:val="1"/>
      <w:numFmt w:val="bullet"/>
      <w:lvlText w:val=""/>
      <w:lvlJc w:val="left"/>
      <w:pPr>
        <w:ind w:left="2367" w:hanging="360"/>
      </w:pPr>
      <w:rPr>
        <w:rFonts w:ascii="Wingdings" w:hAnsi="Wingdings"/>
      </w:rPr>
    </w:lvl>
    <w:lvl w:ilvl="3" w:tplc="04220001">
      <w:start w:val="1"/>
      <w:numFmt w:val="bullet"/>
      <w:lvlText w:val=""/>
      <w:lvlJc w:val="left"/>
      <w:pPr>
        <w:ind w:left="3087" w:hanging="360"/>
      </w:pPr>
      <w:rPr>
        <w:rFonts w:ascii="Symbol" w:hAnsi="Symbol"/>
      </w:rPr>
    </w:lvl>
    <w:lvl w:ilvl="4" w:tplc="04220003">
      <w:start w:val="1"/>
      <w:numFmt w:val="bullet"/>
      <w:lvlText w:val="o"/>
      <w:lvlJc w:val="left"/>
      <w:pPr>
        <w:ind w:left="3807" w:hanging="360"/>
      </w:pPr>
      <w:rPr>
        <w:rFonts w:ascii="Courier New" w:hAnsi="Courier New"/>
      </w:rPr>
    </w:lvl>
    <w:lvl w:ilvl="5" w:tplc="04220005">
      <w:start w:val="1"/>
      <w:numFmt w:val="bullet"/>
      <w:lvlText w:val=""/>
      <w:lvlJc w:val="left"/>
      <w:pPr>
        <w:ind w:left="4527" w:hanging="360"/>
      </w:pPr>
      <w:rPr>
        <w:rFonts w:ascii="Wingdings" w:hAnsi="Wingdings"/>
      </w:rPr>
    </w:lvl>
    <w:lvl w:ilvl="6" w:tplc="04220001">
      <w:start w:val="1"/>
      <w:numFmt w:val="bullet"/>
      <w:lvlText w:val=""/>
      <w:lvlJc w:val="left"/>
      <w:pPr>
        <w:ind w:left="5247" w:hanging="360"/>
      </w:pPr>
      <w:rPr>
        <w:rFonts w:ascii="Symbol" w:hAnsi="Symbol"/>
      </w:rPr>
    </w:lvl>
    <w:lvl w:ilvl="7" w:tplc="04220003">
      <w:start w:val="1"/>
      <w:numFmt w:val="bullet"/>
      <w:lvlText w:val="o"/>
      <w:lvlJc w:val="left"/>
      <w:pPr>
        <w:ind w:left="5967" w:hanging="360"/>
      </w:pPr>
      <w:rPr>
        <w:rFonts w:ascii="Courier New" w:hAnsi="Courier New"/>
      </w:rPr>
    </w:lvl>
    <w:lvl w:ilvl="8" w:tplc="04220005">
      <w:start w:val="1"/>
      <w:numFmt w:val="bullet"/>
      <w:lvlText w:val=""/>
      <w:lvlJc w:val="left"/>
      <w:pPr>
        <w:ind w:left="6687" w:hanging="360"/>
      </w:pPr>
      <w:rPr>
        <w:rFonts w:ascii="Wingdings" w:hAnsi="Wingdings"/>
      </w:rPr>
    </w:lvl>
  </w:abstractNum>
  <w:abstractNum w:abstractNumId="5" w15:restartNumberingAfterBreak="0">
    <w:nsid w:val="46B01F93"/>
    <w:multiLevelType w:val="hybridMultilevel"/>
    <w:tmpl w:val="CA720D4A"/>
    <w:lvl w:ilvl="0" w:tplc="A1EA13B8">
      <w:start w:val="1"/>
      <w:numFmt w:val="decimal"/>
      <w:lvlText w:val="%1."/>
      <w:lvlJc w:val="left"/>
      <w:pPr>
        <w:ind w:left="832" w:hanging="360"/>
      </w:pPr>
      <w:rPr>
        <w:b w:val="0"/>
        <w:bCs w:val="0"/>
        <w:sz w:val="24"/>
        <w:szCs w:val="24"/>
      </w:rPr>
    </w:lvl>
    <w:lvl w:ilvl="1" w:tplc="04220019">
      <w:start w:val="1"/>
      <w:numFmt w:val="lowerLetter"/>
      <w:lvlText w:val="%2."/>
      <w:lvlJc w:val="left"/>
      <w:pPr>
        <w:ind w:left="1552" w:hanging="360"/>
      </w:pPr>
    </w:lvl>
    <w:lvl w:ilvl="2" w:tplc="0422001B">
      <w:start w:val="1"/>
      <w:numFmt w:val="lowerRoman"/>
      <w:lvlText w:val="%3."/>
      <w:lvlJc w:val="right"/>
      <w:pPr>
        <w:ind w:left="2272" w:hanging="180"/>
      </w:pPr>
    </w:lvl>
    <w:lvl w:ilvl="3" w:tplc="0422000F">
      <w:start w:val="1"/>
      <w:numFmt w:val="decimal"/>
      <w:lvlText w:val="%4."/>
      <w:lvlJc w:val="left"/>
      <w:pPr>
        <w:ind w:left="2992" w:hanging="360"/>
      </w:pPr>
    </w:lvl>
    <w:lvl w:ilvl="4" w:tplc="04220019">
      <w:start w:val="1"/>
      <w:numFmt w:val="lowerLetter"/>
      <w:lvlText w:val="%5."/>
      <w:lvlJc w:val="left"/>
      <w:pPr>
        <w:ind w:left="3712" w:hanging="360"/>
      </w:pPr>
    </w:lvl>
    <w:lvl w:ilvl="5" w:tplc="0422001B">
      <w:start w:val="1"/>
      <w:numFmt w:val="lowerRoman"/>
      <w:lvlText w:val="%6."/>
      <w:lvlJc w:val="right"/>
      <w:pPr>
        <w:ind w:left="4432" w:hanging="180"/>
      </w:pPr>
    </w:lvl>
    <w:lvl w:ilvl="6" w:tplc="0422000F">
      <w:start w:val="1"/>
      <w:numFmt w:val="decimal"/>
      <w:lvlText w:val="%7."/>
      <w:lvlJc w:val="left"/>
      <w:pPr>
        <w:ind w:left="5152" w:hanging="360"/>
      </w:pPr>
    </w:lvl>
    <w:lvl w:ilvl="7" w:tplc="04220019">
      <w:start w:val="1"/>
      <w:numFmt w:val="lowerLetter"/>
      <w:lvlText w:val="%8."/>
      <w:lvlJc w:val="left"/>
      <w:pPr>
        <w:ind w:left="5872" w:hanging="360"/>
      </w:pPr>
    </w:lvl>
    <w:lvl w:ilvl="8" w:tplc="0422001B">
      <w:start w:val="1"/>
      <w:numFmt w:val="lowerRoman"/>
      <w:lvlText w:val="%9."/>
      <w:lvlJc w:val="right"/>
      <w:pPr>
        <w:ind w:left="6592" w:hanging="180"/>
      </w:pPr>
    </w:lvl>
  </w:abstractNum>
  <w:abstractNum w:abstractNumId="6" w15:restartNumberingAfterBreak="0">
    <w:nsid w:val="4A364964"/>
    <w:multiLevelType w:val="hybridMultilevel"/>
    <w:tmpl w:val="538A60B4"/>
    <w:lvl w:ilvl="0" w:tplc="1402EECA">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7" w15:restartNumberingAfterBreak="0">
    <w:nsid w:val="5BD42F14"/>
    <w:multiLevelType w:val="hybridMultilevel"/>
    <w:tmpl w:val="16E0E6DE"/>
    <w:lvl w:ilvl="0" w:tplc="FD3EFD82">
      <w:start w:val="6"/>
      <w:numFmt w:val="bullet"/>
      <w:lvlText w:val="-"/>
      <w:lvlJc w:val="left"/>
      <w:pPr>
        <w:ind w:left="720" w:hanging="360"/>
      </w:pPr>
      <w:rPr>
        <w:rFonts w:ascii="Times New Roman" w:hAnsi="Times New Roman"/>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8" w15:restartNumberingAfterBreak="0">
    <w:nsid w:val="6BC40B0E"/>
    <w:multiLevelType w:val="hybridMultilevel"/>
    <w:tmpl w:val="9E0CDF16"/>
    <w:lvl w:ilvl="0" w:tplc="F926B84E">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9" w15:restartNumberingAfterBreak="0">
    <w:nsid w:val="6CCD4624"/>
    <w:multiLevelType w:val="hybridMultilevel"/>
    <w:tmpl w:val="37A87FCC"/>
    <w:lvl w:ilvl="0" w:tplc="1422A550">
      <w:start w:val="1"/>
      <w:numFmt w:val="decimal"/>
      <w:lvlText w:val="%1."/>
      <w:lvlJc w:val="left"/>
      <w:pPr>
        <w:ind w:left="842" w:hanging="360"/>
      </w:pPr>
    </w:lvl>
    <w:lvl w:ilvl="1" w:tplc="04220019">
      <w:start w:val="1"/>
      <w:numFmt w:val="lowerLetter"/>
      <w:lvlText w:val="%2."/>
      <w:lvlJc w:val="left"/>
      <w:pPr>
        <w:ind w:left="1562" w:hanging="360"/>
      </w:pPr>
    </w:lvl>
    <w:lvl w:ilvl="2" w:tplc="0422001B">
      <w:start w:val="1"/>
      <w:numFmt w:val="lowerRoman"/>
      <w:lvlText w:val="%3."/>
      <w:lvlJc w:val="right"/>
      <w:pPr>
        <w:ind w:left="2282" w:hanging="180"/>
      </w:pPr>
    </w:lvl>
    <w:lvl w:ilvl="3" w:tplc="0422000F">
      <w:start w:val="1"/>
      <w:numFmt w:val="decimal"/>
      <w:lvlText w:val="%4."/>
      <w:lvlJc w:val="left"/>
      <w:pPr>
        <w:ind w:left="3002" w:hanging="360"/>
      </w:pPr>
    </w:lvl>
    <w:lvl w:ilvl="4" w:tplc="04220019">
      <w:start w:val="1"/>
      <w:numFmt w:val="lowerLetter"/>
      <w:lvlText w:val="%5."/>
      <w:lvlJc w:val="left"/>
      <w:pPr>
        <w:ind w:left="3722" w:hanging="360"/>
      </w:pPr>
    </w:lvl>
    <w:lvl w:ilvl="5" w:tplc="0422001B">
      <w:start w:val="1"/>
      <w:numFmt w:val="lowerRoman"/>
      <w:lvlText w:val="%6."/>
      <w:lvlJc w:val="right"/>
      <w:pPr>
        <w:ind w:left="4442" w:hanging="180"/>
      </w:pPr>
    </w:lvl>
    <w:lvl w:ilvl="6" w:tplc="0422000F">
      <w:start w:val="1"/>
      <w:numFmt w:val="decimal"/>
      <w:lvlText w:val="%7."/>
      <w:lvlJc w:val="left"/>
      <w:pPr>
        <w:ind w:left="5162" w:hanging="360"/>
      </w:pPr>
    </w:lvl>
    <w:lvl w:ilvl="7" w:tplc="04220019">
      <w:start w:val="1"/>
      <w:numFmt w:val="lowerLetter"/>
      <w:lvlText w:val="%8."/>
      <w:lvlJc w:val="left"/>
      <w:pPr>
        <w:ind w:left="5882" w:hanging="360"/>
      </w:pPr>
    </w:lvl>
    <w:lvl w:ilvl="8" w:tplc="0422001B">
      <w:start w:val="1"/>
      <w:numFmt w:val="lowerRoman"/>
      <w:lvlText w:val="%9."/>
      <w:lvlJc w:val="right"/>
      <w:pPr>
        <w:ind w:left="6602" w:hanging="180"/>
      </w:pPr>
    </w:lvl>
  </w:abstractNum>
  <w:abstractNum w:abstractNumId="10" w15:restartNumberingAfterBreak="0">
    <w:nsid w:val="71384D5E"/>
    <w:multiLevelType w:val="hybridMultilevel"/>
    <w:tmpl w:val="D800F950"/>
    <w:lvl w:ilvl="0" w:tplc="FD2414F0">
      <w:start w:val="4"/>
      <w:numFmt w:val="upperRoman"/>
      <w:lvlText w:val="%1."/>
      <w:lvlJc w:val="left"/>
      <w:pPr>
        <w:ind w:left="1287" w:hanging="72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11" w15:restartNumberingAfterBreak="0">
    <w:nsid w:val="7F76301E"/>
    <w:multiLevelType w:val="hybridMultilevel"/>
    <w:tmpl w:val="5D725A80"/>
    <w:lvl w:ilvl="0" w:tplc="CCAA4478">
      <w:start w:val="1"/>
      <w:numFmt w:val="decimal"/>
      <w:lvlText w:val="%1."/>
      <w:lvlJc w:val="left"/>
      <w:pPr>
        <w:ind w:left="473" w:hanging="360"/>
      </w:pPr>
      <w:rPr>
        <w:b w:val="0"/>
        <w:bCs w:val="0"/>
      </w:rPr>
    </w:lvl>
    <w:lvl w:ilvl="1" w:tplc="04220019">
      <w:start w:val="1"/>
      <w:numFmt w:val="lowerLetter"/>
      <w:lvlText w:val="%2."/>
      <w:lvlJc w:val="left"/>
      <w:pPr>
        <w:ind w:left="1193" w:hanging="360"/>
      </w:pPr>
    </w:lvl>
    <w:lvl w:ilvl="2" w:tplc="0422001B">
      <w:start w:val="1"/>
      <w:numFmt w:val="lowerRoman"/>
      <w:lvlText w:val="%3."/>
      <w:lvlJc w:val="right"/>
      <w:pPr>
        <w:ind w:left="1913" w:hanging="180"/>
      </w:pPr>
    </w:lvl>
    <w:lvl w:ilvl="3" w:tplc="0422000F">
      <w:start w:val="1"/>
      <w:numFmt w:val="decimal"/>
      <w:lvlText w:val="%4."/>
      <w:lvlJc w:val="left"/>
      <w:pPr>
        <w:ind w:left="2633" w:hanging="360"/>
      </w:pPr>
    </w:lvl>
    <w:lvl w:ilvl="4" w:tplc="04220019">
      <w:start w:val="1"/>
      <w:numFmt w:val="lowerLetter"/>
      <w:lvlText w:val="%5."/>
      <w:lvlJc w:val="left"/>
      <w:pPr>
        <w:ind w:left="3353" w:hanging="360"/>
      </w:pPr>
    </w:lvl>
    <w:lvl w:ilvl="5" w:tplc="0422001B">
      <w:start w:val="1"/>
      <w:numFmt w:val="lowerRoman"/>
      <w:lvlText w:val="%6."/>
      <w:lvlJc w:val="right"/>
      <w:pPr>
        <w:ind w:left="4073" w:hanging="180"/>
      </w:pPr>
    </w:lvl>
    <w:lvl w:ilvl="6" w:tplc="0422000F">
      <w:start w:val="1"/>
      <w:numFmt w:val="decimal"/>
      <w:lvlText w:val="%7."/>
      <w:lvlJc w:val="left"/>
      <w:pPr>
        <w:ind w:left="4793" w:hanging="360"/>
      </w:pPr>
    </w:lvl>
    <w:lvl w:ilvl="7" w:tplc="04220019">
      <w:start w:val="1"/>
      <w:numFmt w:val="lowerLetter"/>
      <w:lvlText w:val="%8."/>
      <w:lvlJc w:val="left"/>
      <w:pPr>
        <w:ind w:left="5513" w:hanging="360"/>
      </w:pPr>
    </w:lvl>
    <w:lvl w:ilvl="8" w:tplc="0422001B">
      <w:start w:val="1"/>
      <w:numFmt w:val="lowerRoman"/>
      <w:lvlText w:val="%9."/>
      <w:lvlJc w:val="right"/>
      <w:pPr>
        <w:ind w:left="6233" w:hanging="180"/>
      </w:pPr>
    </w:lvl>
  </w:abstractNum>
  <w:num w:numId="1">
    <w:abstractNumId w:val="9"/>
  </w:num>
  <w:num w:numId="2">
    <w:abstractNumId w:val="6"/>
  </w:num>
  <w:num w:numId="3">
    <w:abstractNumId w:val="1"/>
  </w:num>
  <w:num w:numId="4">
    <w:abstractNumId w:val="10"/>
  </w:num>
  <w:num w:numId="5">
    <w:abstractNumId w:val="5"/>
  </w:num>
  <w:num w:numId="6">
    <w:abstractNumId w:val="11"/>
  </w:num>
  <w:num w:numId="7">
    <w:abstractNumId w:val="8"/>
  </w:num>
  <w:num w:numId="8">
    <w:abstractNumId w:val="3"/>
  </w:num>
  <w:num w:numId="9">
    <w:abstractNumId w:val="2"/>
  </w:num>
  <w:num w:numId="10">
    <w:abstractNumId w:val="0"/>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50F"/>
    <w:rsid w:val="00042CF8"/>
    <w:rsid w:val="003B02D9"/>
    <w:rsid w:val="00432F37"/>
    <w:rsid w:val="004B1372"/>
    <w:rsid w:val="00646BB6"/>
    <w:rsid w:val="00686832"/>
    <w:rsid w:val="00AC7308"/>
    <w:rsid w:val="00C129D6"/>
    <w:rsid w:val="00CE350F"/>
    <w:rsid w:val="00E32170"/>
    <w:rsid w:val="00E8622D"/>
    <w:rsid w:val="00EE35AD"/>
    <w:rsid w:val="00F947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9082A"/>
  <w15:docId w15:val="{CCF9B40E-7468-416A-ADD0-72DE7AFD0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lang w:val="uk-UA" w:eastAsia="en-US"/>
    </w:rPr>
  </w:style>
  <w:style w:type="paragraph" w:styleId="3">
    <w:name w:val="heading 3"/>
    <w:basedOn w:val="a"/>
    <w:next w:val="a"/>
    <w:link w:val="30"/>
    <w:qFormat/>
    <w:pPr>
      <w:keepNext/>
      <w:spacing w:before="240" w:after="60" w:line="240" w:lineRule="auto"/>
      <w:outlineLvl w:val="2"/>
    </w:pPr>
    <w:rPr>
      <w:rFonts w:ascii="Arial" w:hAnsi="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720"/>
    </w:pPr>
  </w:style>
  <w:style w:type="paragraph" w:styleId="a4">
    <w:name w:val="Normal (Web)"/>
    <w:basedOn w:val="a"/>
    <w:link w:val="a5"/>
    <w:qFormat/>
    <w:pPr>
      <w:spacing w:before="100" w:beforeAutospacing="1" w:after="100" w:afterAutospacing="1" w:line="240" w:lineRule="auto"/>
    </w:pPr>
    <w:rPr>
      <w:rFonts w:ascii="Times New Roman" w:hAnsi="Times New Roman"/>
      <w:sz w:val="24"/>
      <w:szCs w:val="24"/>
      <w:lang w:val="ru-RU" w:eastAsia="ru-RU"/>
    </w:rPr>
  </w:style>
  <w:style w:type="paragraph" w:customStyle="1" w:styleId="Default">
    <w:name w:val="Default"/>
    <w:rPr>
      <w:rFonts w:ascii="Times New Roman" w:hAnsi="Times New Roman"/>
      <w:color w:val="000000"/>
      <w:sz w:val="24"/>
      <w:szCs w:val="24"/>
      <w:lang w:val="uk-UA" w:eastAsia="en-US"/>
    </w:rPr>
  </w:style>
  <w:style w:type="paragraph" w:styleId="a6">
    <w:name w:val="header"/>
    <w:basedOn w:val="a"/>
    <w:link w:val="a7"/>
    <w:pPr>
      <w:tabs>
        <w:tab w:val="center" w:pos="4819"/>
        <w:tab w:val="right" w:pos="9639"/>
      </w:tabs>
      <w:spacing w:after="0" w:line="240" w:lineRule="auto"/>
    </w:pPr>
  </w:style>
  <w:style w:type="paragraph" w:styleId="a8">
    <w:name w:val="footer"/>
    <w:basedOn w:val="a"/>
    <w:link w:val="a9"/>
    <w:pPr>
      <w:tabs>
        <w:tab w:val="center" w:pos="4819"/>
        <w:tab w:val="right" w:pos="9639"/>
      </w:tabs>
      <w:spacing w:after="0" w:line="240" w:lineRule="auto"/>
    </w:pPr>
  </w:style>
  <w:style w:type="paragraph" w:styleId="aa">
    <w:name w:val="annotation text"/>
    <w:basedOn w:val="a"/>
    <w:link w:val="ab"/>
    <w:semiHidden/>
    <w:rPr>
      <w:sz w:val="20"/>
      <w:szCs w:val="20"/>
    </w:rPr>
  </w:style>
  <w:style w:type="paragraph" w:styleId="ac">
    <w:name w:val="annotation subject"/>
    <w:basedOn w:val="aa"/>
    <w:next w:val="aa"/>
    <w:link w:val="ad"/>
    <w:semiHidden/>
    <w:rPr>
      <w:b/>
      <w:bCs/>
    </w:rPr>
  </w:style>
  <w:style w:type="paragraph" w:styleId="ae">
    <w:name w:val="Balloon Text"/>
    <w:basedOn w:val="a"/>
    <w:link w:val="af"/>
    <w:semiHidden/>
    <w:rPr>
      <w:rFonts w:ascii="Tahoma" w:hAnsi="Tahoma"/>
      <w:sz w:val="16"/>
      <w:szCs w:val="16"/>
    </w:rPr>
  </w:style>
  <w:style w:type="paragraph" w:styleId="af0">
    <w:name w:val="Body Text"/>
    <w:basedOn w:val="a"/>
    <w:link w:val="af1"/>
    <w:pPr>
      <w:spacing w:after="120" w:line="240" w:lineRule="auto"/>
    </w:pPr>
    <w:rPr>
      <w:rFonts w:ascii="Times New Roman" w:hAnsi="Times New Roman"/>
      <w:sz w:val="24"/>
      <w:szCs w:val="24"/>
      <w:lang w:val="ru-RU" w:eastAsia="ru-RU"/>
    </w:rPr>
  </w:style>
  <w:style w:type="paragraph" w:styleId="af2">
    <w:name w:val="footnote text"/>
    <w:link w:val="af3"/>
    <w:semiHidden/>
    <w:rPr>
      <w:sz w:val="20"/>
      <w:szCs w:val="20"/>
    </w:rPr>
  </w:style>
  <w:style w:type="paragraph" w:styleId="af4">
    <w:name w:val="endnote text"/>
    <w:link w:val="af5"/>
    <w:semiHidden/>
    <w:rPr>
      <w:sz w:val="20"/>
      <w:szCs w:val="20"/>
    </w:rPr>
  </w:style>
  <w:style w:type="character" w:styleId="af6">
    <w:name w:val="line number"/>
    <w:basedOn w:val="a0"/>
    <w:semiHidden/>
  </w:style>
  <w:style w:type="character" w:styleId="af7">
    <w:name w:val="Hyperlink"/>
    <w:basedOn w:val="a0"/>
    <w:rPr>
      <w:color w:val="0000FF" w:themeColor="hyperlink"/>
      <w:u w:val="single"/>
    </w:rPr>
  </w:style>
  <w:style w:type="character" w:customStyle="1" w:styleId="a5">
    <w:name w:val="Звичайний (веб) Знак"/>
    <w:link w:val="a4"/>
    <w:rPr>
      <w:rFonts w:ascii="Times New Roman" w:hAnsi="Times New Roman"/>
      <w:sz w:val="24"/>
      <w:szCs w:val="24"/>
      <w:lang w:val="ru-RU" w:eastAsia="ru-RU"/>
    </w:rPr>
  </w:style>
  <w:style w:type="character" w:customStyle="1" w:styleId="a7">
    <w:name w:val="Верхній колонтитул Знак"/>
    <w:basedOn w:val="a0"/>
    <w:link w:val="a6"/>
  </w:style>
  <w:style w:type="character" w:customStyle="1" w:styleId="a9">
    <w:name w:val="Нижній колонтитул Знак"/>
    <w:basedOn w:val="a0"/>
    <w:link w:val="a8"/>
  </w:style>
  <w:style w:type="character" w:styleId="af8">
    <w:name w:val="annotation reference"/>
    <w:basedOn w:val="a0"/>
    <w:semiHidden/>
    <w:rPr>
      <w:sz w:val="16"/>
      <w:szCs w:val="16"/>
    </w:rPr>
  </w:style>
  <w:style w:type="character" w:customStyle="1" w:styleId="ab">
    <w:name w:val="Текст примітки Знак"/>
    <w:basedOn w:val="a0"/>
    <w:link w:val="aa"/>
    <w:semiHidden/>
    <w:rPr>
      <w:sz w:val="20"/>
      <w:szCs w:val="20"/>
      <w:lang w:val="uk-UA" w:eastAsia="en-US"/>
    </w:rPr>
  </w:style>
  <w:style w:type="character" w:customStyle="1" w:styleId="ad">
    <w:name w:val="Тема примітки Знак"/>
    <w:basedOn w:val="ab"/>
    <w:link w:val="ac"/>
    <w:semiHidden/>
    <w:rPr>
      <w:b/>
      <w:bCs/>
      <w:sz w:val="20"/>
      <w:szCs w:val="20"/>
      <w:lang w:val="uk-UA" w:eastAsia="en-US"/>
    </w:rPr>
  </w:style>
  <w:style w:type="character" w:customStyle="1" w:styleId="af">
    <w:name w:val="Текст у виносці Знак"/>
    <w:basedOn w:val="a0"/>
    <w:link w:val="ae"/>
    <w:semiHidden/>
    <w:rPr>
      <w:rFonts w:ascii="Times New Roman" w:hAnsi="Times New Roman"/>
      <w:lang w:val="uk-UA" w:eastAsia="en-US"/>
    </w:rPr>
  </w:style>
  <w:style w:type="character" w:customStyle="1" w:styleId="30">
    <w:name w:val="Заголовок 3 Знак"/>
    <w:basedOn w:val="a0"/>
    <w:link w:val="3"/>
    <w:rPr>
      <w:rFonts w:ascii="Arial" w:hAnsi="Arial"/>
      <w:b/>
      <w:bCs/>
      <w:sz w:val="26"/>
      <w:szCs w:val="26"/>
    </w:rPr>
  </w:style>
  <w:style w:type="character" w:customStyle="1" w:styleId="af1">
    <w:name w:val="Основний текст Знак"/>
    <w:basedOn w:val="a0"/>
    <w:link w:val="af0"/>
    <w:rPr>
      <w:rFonts w:ascii="Times New Roman" w:hAnsi="Times New Roman"/>
      <w:sz w:val="24"/>
      <w:szCs w:val="24"/>
    </w:rPr>
  </w:style>
  <w:style w:type="character" w:styleId="af9">
    <w:name w:val="footnote reference"/>
    <w:semiHidden/>
    <w:rPr>
      <w:vertAlign w:val="superscript"/>
    </w:rPr>
  </w:style>
  <w:style w:type="character" w:customStyle="1" w:styleId="af3">
    <w:name w:val="Текст виноски Знак"/>
    <w:link w:val="af2"/>
    <w:semiHidden/>
    <w:rPr>
      <w:sz w:val="20"/>
      <w:szCs w:val="20"/>
    </w:rPr>
  </w:style>
  <w:style w:type="character" w:styleId="afa">
    <w:name w:val="endnote reference"/>
    <w:semiHidden/>
    <w:rPr>
      <w:vertAlign w:val="superscript"/>
    </w:rPr>
  </w:style>
  <w:style w:type="character" w:customStyle="1" w:styleId="af5">
    <w:name w:val="Текст кінцевої виноски Знак"/>
    <w:link w:val="af4"/>
    <w:semiHidden/>
    <w:rPr>
      <w:sz w:val="20"/>
      <w:szCs w:val="20"/>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b">
    <w:name w:val="Table Grid"/>
    <w:basedOn w:val="a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ank.gov.ua/ua/statistic/supervision-statis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421ED-5808-4570-B623-FC466552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10492</Words>
  <Characters>5982</Characters>
  <Application>Microsoft Office Word</Application>
  <DocSecurity>0</DocSecurity>
  <Lines>49</Lines>
  <Paragraphs>32</Paragraphs>
  <ScaleCrop>false</ScaleCrop>
  <Company>MINFIN</Company>
  <LinksUpToDate>false</LinksUpToDate>
  <CharactersWithSpaces>16442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Осадча Наталія Василівна</dc:creator>
  <cp:lastModifiedBy>Olena</cp:lastModifiedBy>
  <cp:revision>30</cp:revision>
  <cp:lastPrinted>2021-01-13T12:21:00Z</cp:lastPrinted>
  <dcterms:created xsi:type="dcterms:W3CDTF">2022-04-12T12:07:00Z</dcterms:created>
  <dcterms:modified xsi:type="dcterms:W3CDTF">2022-04-16T16:06:00Z</dcterms:modified>
</cp:coreProperties>
</file>