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D1" w:rsidRPr="005B27A3" w:rsidRDefault="00A307A2">
      <w:pPr>
        <w:spacing w:after="0" w:line="240" w:lineRule="auto"/>
        <w:jc w:val="center"/>
        <w:rPr>
          <w:rFonts w:ascii="Times New Roman" w:hAnsi="Times New Roman"/>
          <w:b/>
          <w:bCs/>
          <w:sz w:val="28"/>
          <w:szCs w:val="28"/>
        </w:rPr>
      </w:pPr>
      <w:r w:rsidRPr="005B27A3">
        <w:rPr>
          <w:rFonts w:ascii="Times New Roman" w:hAnsi="Times New Roman"/>
          <w:b/>
          <w:bCs/>
          <w:sz w:val="28"/>
          <w:szCs w:val="28"/>
        </w:rPr>
        <w:t>АНАЛІЗ РЕГУЛЯТОРНОГО ВПЛИВУ</w:t>
      </w:r>
    </w:p>
    <w:p w:rsidR="002F06D1" w:rsidRPr="005B27A3" w:rsidRDefault="00A307A2">
      <w:pPr>
        <w:spacing w:after="0" w:line="240" w:lineRule="auto"/>
        <w:jc w:val="center"/>
        <w:rPr>
          <w:rFonts w:ascii="Times New Roman" w:hAnsi="Times New Roman"/>
          <w:b/>
          <w:sz w:val="28"/>
          <w:szCs w:val="28"/>
          <w:lang w:eastAsia="ru-RU"/>
        </w:rPr>
      </w:pPr>
      <w:r w:rsidRPr="005B27A3">
        <w:rPr>
          <w:rFonts w:ascii="Times New Roman" w:hAnsi="Times New Roman"/>
          <w:b/>
          <w:bCs/>
          <w:sz w:val="28"/>
          <w:szCs w:val="28"/>
          <w:lang w:eastAsia="ru-RU"/>
        </w:rPr>
        <w:t xml:space="preserve">до проекту Закону України «Про внесення змін до Податкового кодексу України та деяких законодавчих актів України щодо створення </w:t>
      </w:r>
      <w:r w:rsidRPr="005B27A3">
        <w:rPr>
          <w:rFonts w:ascii="Times New Roman" w:hAnsi="Times New Roman"/>
          <w:b/>
          <w:bCs/>
          <w:sz w:val="28"/>
          <w:szCs w:val="28"/>
          <w:lang w:eastAsia="ru-RU"/>
        </w:rPr>
        <w:br/>
        <w:t>Єдиного реєстру рахунків фізичних і юридичних осіб та індивідуальних банківських сейфів»</w:t>
      </w:r>
    </w:p>
    <w:p w:rsidR="002F06D1" w:rsidRPr="005B27A3" w:rsidRDefault="00A307A2">
      <w:pPr>
        <w:widowControl w:val="0"/>
        <w:spacing w:before="120" w:after="120" w:line="240" w:lineRule="auto"/>
        <w:ind w:left="23" w:right="23" w:firstLine="567"/>
        <w:jc w:val="both"/>
        <w:rPr>
          <w:rFonts w:ascii="Times New Roman" w:hAnsi="Times New Roman"/>
          <w:b/>
          <w:bCs/>
          <w:color w:val="000000"/>
          <w:sz w:val="28"/>
          <w:szCs w:val="28"/>
          <w:shd w:val="clear" w:color="auto" w:fill="FFFFFF"/>
          <w:lang w:eastAsia="uk-UA"/>
        </w:rPr>
      </w:pPr>
      <w:r w:rsidRPr="005B27A3">
        <w:rPr>
          <w:rFonts w:ascii="Times New Roman" w:hAnsi="Times New Roman"/>
          <w:b/>
          <w:bCs/>
          <w:color w:val="000000"/>
          <w:sz w:val="28"/>
          <w:szCs w:val="28"/>
          <w:shd w:val="clear" w:color="auto" w:fill="FFFFFF"/>
          <w:lang w:eastAsia="uk-UA"/>
        </w:rPr>
        <w:t xml:space="preserve">І. </w:t>
      </w:r>
      <w:r w:rsidRPr="005B27A3">
        <w:rPr>
          <w:rFonts w:ascii="Times New Roman" w:hAnsi="Times New Roman"/>
          <w:b/>
          <w:bCs/>
          <w:color w:val="000000"/>
          <w:sz w:val="28"/>
          <w:szCs w:val="28"/>
          <w:shd w:val="clear" w:color="auto" w:fill="FFFFFF"/>
          <w:lang w:eastAsia="uk-UA"/>
        </w:rPr>
        <w:t>Визначення проблеми</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Пунктом 2 Плану заходів з реалізації Основних напрямів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Pr="005B27A3">
        <w:rPr>
          <w:rFonts w:ascii="Times New Roman" w:hAnsi="Times New Roman"/>
          <w:color w:val="000000"/>
          <w:sz w:val="28"/>
          <w:szCs w:val="28"/>
          <w:lang w:eastAsia="uk-UA"/>
        </w:rPr>
        <w:t>в Україні на період до 2023 року, затвердженого розпорядженням Кабінету Міністрів України від 12.05.2021 № 435-р «Про затвердження Основних напрямів розвитку системи запобігання та протидії легалізації (відмиванню) доходів, одержаних злочинним шляхом, фіна</w:t>
      </w:r>
      <w:r w:rsidRPr="005B27A3">
        <w:rPr>
          <w:rFonts w:ascii="Times New Roman" w:hAnsi="Times New Roman"/>
          <w:color w:val="000000"/>
          <w:sz w:val="28"/>
          <w:szCs w:val="28"/>
          <w:lang w:eastAsia="uk-UA"/>
        </w:rPr>
        <w:t>нсуванню тероризму та фінансуванню розповсюдження зброї масового знищення в Україні на період до 2023 року та плану заходів щодо їх реалізації» (далі – План заходів з реалізації Основних напрямів розвитку системи запобігання та протидії), передбачено підго</w:t>
      </w:r>
      <w:r w:rsidRPr="005B27A3">
        <w:rPr>
          <w:rFonts w:ascii="Times New Roman" w:hAnsi="Times New Roman"/>
          <w:color w:val="000000"/>
          <w:sz w:val="28"/>
          <w:szCs w:val="28"/>
          <w:lang w:eastAsia="uk-UA"/>
        </w:rPr>
        <w:t xml:space="preserve">товку пропозицій щодо внесення змін до законодавства в частині створення Єдиного реєстру рахунків фізичних і юридичних осіб та індивідуальних банківських сейфів (далі – Єдиний реєстр рахунків) як єдиної державної інформаційної системи.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Крім того, розробле</w:t>
      </w:r>
      <w:r w:rsidRPr="005B27A3">
        <w:rPr>
          <w:rFonts w:ascii="Times New Roman" w:hAnsi="Times New Roman"/>
          <w:color w:val="000000"/>
          <w:sz w:val="28"/>
          <w:szCs w:val="28"/>
          <w:lang w:eastAsia="uk-UA"/>
        </w:rPr>
        <w:t>ння законопроекту щодо створення єдиного реєстру та надання доступу до нього Держфінмоніторингу передбачено пунктом 7 за стратегічною ціллю 3 «Розбудова правоохоронних органів сучасного зразка, які захищають права і свободи людини, правопорядок і законніст</w:t>
      </w:r>
      <w:r w:rsidRPr="005B27A3">
        <w:rPr>
          <w:rFonts w:ascii="Times New Roman" w:hAnsi="Times New Roman"/>
          <w:color w:val="000000"/>
          <w:sz w:val="28"/>
          <w:szCs w:val="28"/>
          <w:lang w:eastAsia="uk-UA"/>
        </w:rPr>
        <w:t xml:space="preserve">ь, інтереси суспільства і держави» напряму 2 «Верховенство права» розділу ІІ «Стратегічний курс економічної політики до 2030 року» Національної економічної стратегії на період до 2030 року, затвердженої постановою Кабінету Міністрів України від 03.03.2021 </w:t>
      </w:r>
      <w:r w:rsidRPr="005B27A3">
        <w:rPr>
          <w:rFonts w:ascii="Times New Roman" w:hAnsi="Times New Roman"/>
          <w:color w:val="000000"/>
          <w:sz w:val="28"/>
          <w:szCs w:val="28"/>
          <w:lang w:eastAsia="uk-UA"/>
        </w:rPr>
        <w:t xml:space="preserve">№ 179 (далі – Національна економічна стратегія).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Пунктом 37 Плану-графіка подання на розгляд Уряду проектів нормативно-правових актів у сфері європейської інт</w:t>
      </w:r>
      <w:r w:rsidR="00AD4D0F" w:rsidRPr="005B27A3">
        <w:rPr>
          <w:rFonts w:ascii="Times New Roman" w:hAnsi="Times New Roman"/>
          <w:color w:val="000000"/>
          <w:sz w:val="28"/>
          <w:szCs w:val="28"/>
          <w:lang w:eastAsia="uk-UA"/>
        </w:rPr>
        <w:t>еграції у 2022 році (протокол № </w:t>
      </w:r>
      <w:r w:rsidRPr="005B27A3">
        <w:rPr>
          <w:rFonts w:ascii="Times New Roman" w:hAnsi="Times New Roman"/>
          <w:color w:val="000000"/>
          <w:sz w:val="28"/>
          <w:szCs w:val="28"/>
          <w:lang w:eastAsia="uk-UA"/>
        </w:rPr>
        <w:t>5 засідання Комісії з питань координації виконання Угоди про асоц</w:t>
      </w:r>
      <w:r w:rsidRPr="005B27A3">
        <w:rPr>
          <w:rFonts w:ascii="Times New Roman" w:hAnsi="Times New Roman"/>
          <w:color w:val="000000"/>
          <w:sz w:val="28"/>
          <w:szCs w:val="28"/>
          <w:lang w:eastAsia="uk-UA"/>
        </w:rPr>
        <w:t>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26.01.2022), передбачено розробку законопроекту «Про внесення змін до деяких законів України щодо с</w:t>
      </w:r>
      <w:r w:rsidRPr="005B27A3">
        <w:rPr>
          <w:rFonts w:ascii="Times New Roman" w:hAnsi="Times New Roman"/>
          <w:color w:val="000000"/>
          <w:sz w:val="28"/>
          <w:szCs w:val="28"/>
          <w:lang w:eastAsia="uk-UA"/>
        </w:rPr>
        <w:t xml:space="preserve">творення єдиного реєстру рахунків фізичних і юридичних осіб та індивідуальних банківських сейфів» відповідно до імплементації Директиви Європейського парламенту і Ради (ЄС) 2018/843 </w:t>
      </w:r>
      <w:r w:rsidRPr="005B27A3">
        <w:rPr>
          <w:rFonts w:ascii="Times New Roman" w:hAnsi="Times New Roman"/>
          <w:color w:val="000000"/>
          <w:sz w:val="28"/>
          <w:szCs w:val="28"/>
          <w:lang w:eastAsia="uk-UA"/>
        </w:rPr>
        <w:br/>
        <w:t>від 30.05.2018 «Про внесення змін до Директиви (ЄС) 2015/849 про запобіга</w:t>
      </w:r>
      <w:r w:rsidRPr="005B27A3">
        <w:rPr>
          <w:rFonts w:ascii="Times New Roman" w:hAnsi="Times New Roman"/>
          <w:color w:val="000000"/>
          <w:sz w:val="28"/>
          <w:szCs w:val="28"/>
          <w:lang w:eastAsia="uk-UA"/>
        </w:rPr>
        <w:t xml:space="preserve">ння використанню фінансової системи для відмивання грошей та фінансування тероризму і внесення змін до Директив 2009/138/ЄС і 2013/36/ЄС» (далі – Директива (ЄС) 2018/843).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lastRenderedPageBreak/>
        <w:t>Водночас відповідно до статей 20, 127, 133, 385 Угоди про асоціацію між Україною, з</w:t>
      </w:r>
      <w:r w:rsidRPr="005B27A3">
        <w:rPr>
          <w:rFonts w:ascii="Times New Roman" w:hAnsi="Times New Roman"/>
          <w:color w:val="000000"/>
          <w:sz w:val="28"/>
          <w:szCs w:val="28"/>
          <w:lang w:eastAsia="uk-UA"/>
        </w:rPr>
        <w:t xml:space="preserve">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 1678-VII (далі – Угода про асоціацію) Україна має забезпечити імплементацію </w:t>
      </w:r>
      <w:r w:rsidRPr="005B27A3">
        <w:rPr>
          <w:rFonts w:ascii="Times New Roman" w:hAnsi="Times New Roman"/>
          <w:color w:val="000000"/>
          <w:sz w:val="28"/>
          <w:szCs w:val="28"/>
          <w:lang w:eastAsia="uk-UA"/>
        </w:rPr>
        <w:t xml:space="preserve">відповідних міжнародних стандартів, зокрема стандартів Групи з розробки фінансових заходів боротьби з відмиванням грошей та фінансуванням тероризму (FATF) і стандартів, рівнозначних тим, які були прийняті Союзом.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Відповідно до пункту 19 статті 1 Директиви</w:t>
      </w:r>
      <w:r w:rsidRPr="005B27A3">
        <w:rPr>
          <w:rFonts w:ascii="Times New Roman" w:hAnsi="Times New Roman"/>
          <w:color w:val="000000"/>
          <w:sz w:val="28"/>
          <w:szCs w:val="28"/>
          <w:lang w:eastAsia="uk-UA"/>
        </w:rPr>
        <w:t xml:space="preserve"> (ЄС) 2018/843 Директиву (ЄС) 2015/849 Європейського парламенту та Ради від 20.05.2015 «Про запобігання використанню фінансової системи для відмивання грошей та фінансування тероризму, про внесення зміни до Регламенту Європейського Парламенту і Ради № 648/</w:t>
      </w:r>
      <w:r w:rsidRPr="005B27A3">
        <w:rPr>
          <w:rFonts w:ascii="Times New Roman" w:hAnsi="Times New Roman"/>
          <w:color w:val="000000"/>
          <w:sz w:val="28"/>
          <w:szCs w:val="28"/>
          <w:lang w:eastAsia="uk-UA"/>
        </w:rPr>
        <w:t xml:space="preserve">2012 та про скасування Директиви Європейського Парламенту і Ради 2005/60/ЄС та Директиви Комісії 2006/70/ЄС» доповнено новою статтею 32а.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Відповідно до пунктів 1 та 2 цієї статті держави-члени повинні впроваджувати централізовані автоматизовані механізми,</w:t>
      </w:r>
      <w:r w:rsidRPr="005B27A3">
        <w:rPr>
          <w:rFonts w:ascii="Times New Roman" w:hAnsi="Times New Roman"/>
          <w:color w:val="000000"/>
          <w:sz w:val="28"/>
          <w:szCs w:val="28"/>
          <w:lang w:eastAsia="uk-UA"/>
        </w:rPr>
        <w:t xml:space="preserve"> такі як центральні реєстри або центральні електронні системи пошуку даних, які дозволять своєчасно ідентифікувати будь-яких фізичних або юридичних осіб, які утримують або контролюють платіжні та банківські рахунки, які визначаються за допомогою IBAN, відп</w:t>
      </w:r>
      <w:r w:rsidRPr="005B27A3">
        <w:rPr>
          <w:rFonts w:ascii="Times New Roman" w:hAnsi="Times New Roman"/>
          <w:color w:val="000000"/>
          <w:sz w:val="28"/>
          <w:szCs w:val="28"/>
          <w:lang w:eastAsia="uk-UA"/>
        </w:rPr>
        <w:t xml:space="preserve">овідно до Регламенту Європейського Парламенту і Ради (ЄС) № 260/2012 від 14.03.2012 про встановлення технічних і комерційних вимог до кредитних переказів і прямого </w:t>
      </w:r>
      <w:proofErr w:type="spellStart"/>
      <w:r w:rsidRPr="005B27A3">
        <w:rPr>
          <w:rFonts w:ascii="Times New Roman" w:hAnsi="Times New Roman"/>
          <w:color w:val="000000"/>
          <w:sz w:val="28"/>
          <w:szCs w:val="28"/>
          <w:lang w:eastAsia="uk-UA"/>
        </w:rPr>
        <w:t>дебетування</w:t>
      </w:r>
      <w:proofErr w:type="spellEnd"/>
      <w:r w:rsidRPr="005B27A3">
        <w:rPr>
          <w:rFonts w:ascii="Times New Roman" w:hAnsi="Times New Roman"/>
          <w:color w:val="000000"/>
          <w:sz w:val="28"/>
          <w:szCs w:val="28"/>
          <w:lang w:eastAsia="uk-UA"/>
        </w:rPr>
        <w:t xml:space="preserve"> в євро та про внесення змін до Регламенту (ЄС) № 924/2009, і депозитні сейфи, як</w:t>
      </w:r>
      <w:r w:rsidRPr="005B27A3">
        <w:rPr>
          <w:rFonts w:ascii="Times New Roman" w:hAnsi="Times New Roman"/>
          <w:color w:val="000000"/>
          <w:sz w:val="28"/>
          <w:szCs w:val="28"/>
          <w:lang w:eastAsia="uk-UA"/>
        </w:rPr>
        <w:t xml:space="preserve">і утримуються кредитною установою на її території.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Держави-члени повинні забезпечити своєчасно та без обмежень безпосередній доступ національним органам фінансової розвідки до інформації, яка отримується у централізованих механізмах. Інформація має бути д</w:t>
      </w:r>
      <w:r w:rsidRPr="005B27A3">
        <w:rPr>
          <w:rFonts w:ascii="Times New Roman" w:hAnsi="Times New Roman"/>
          <w:color w:val="000000"/>
          <w:sz w:val="28"/>
          <w:szCs w:val="28"/>
          <w:lang w:eastAsia="uk-UA"/>
        </w:rPr>
        <w:t xml:space="preserve">оступною для національних компетентних органів з метою виконання ними обов’язків. </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lang w:eastAsia="uk-UA"/>
        </w:rPr>
        <w:t>Отже, з метою імплементації в законодавство України міжнародних стандартів, які були прийнятті Європейським Союзом, необхідно на законодавчому рівні встановити вимоги щодо Є</w:t>
      </w:r>
      <w:r w:rsidRPr="005B27A3">
        <w:rPr>
          <w:rFonts w:ascii="Times New Roman" w:hAnsi="Times New Roman"/>
          <w:color w:val="000000"/>
          <w:sz w:val="28"/>
          <w:szCs w:val="28"/>
          <w:lang w:eastAsia="uk-UA"/>
        </w:rPr>
        <w:t xml:space="preserve">диного реєстру рахунків, </w:t>
      </w:r>
      <w:r w:rsidRPr="005B27A3">
        <w:rPr>
          <w:rFonts w:ascii="Times New Roman" w:hAnsi="Times New Roman"/>
          <w:color w:val="000000"/>
          <w:sz w:val="28"/>
          <w:szCs w:val="28"/>
        </w:rPr>
        <w:t>визначити держателя та адміністратора Єдиного реєстру, встановити структуру Єдиного реєстру, врегулювати відносини між Центральним депозитарієм, депозитарними установами, Національним банком України, банками, іншими фінансовими уст</w:t>
      </w:r>
      <w:r w:rsidRPr="005B27A3">
        <w:rPr>
          <w:rFonts w:ascii="Times New Roman" w:hAnsi="Times New Roman"/>
          <w:color w:val="000000"/>
          <w:sz w:val="28"/>
          <w:szCs w:val="28"/>
        </w:rPr>
        <w:t>ановами та небанківськими надавачами платіжних послуг щодо надання відомостей до Єдиного реєстру, доступу до даних цього реєстру.</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Прийняття законопроекту, яким вносяться зміни </w:t>
      </w:r>
      <w:r w:rsidRPr="005B27A3">
        <w:rPr>
          <w:rFonts w:ascii="Times New Roman" w:hAnsi="Times New Roman"/>
          <w:color w:val="000000"/>
          <w:sz w:val="28"/>
          <w:szCs w:val="28"/>
        </w:rPr>
        <w:t>до Податкового кодексу України,</w:t>
      </w:r>
      <w:r w:rsidRPr="005B27A3">
        <w:rPr>
          <w:rFonts w:ascii="Times New Roman" w:hAnsi="Times New Roman"/>
          <w:color w:val="000000"/>
          <w:sz w:val="28"/>
          <w:szCs w:val="28"/>
          <w:lang w:eastAsia="uk-UA"/>
        </w:rPr>
        <w:t xml:space="preserve"> законів України «Про банки і банківську діяльніс</w:t>
      </w:r>
      <w:r w:rsidRPr="005B27A3">
        <w:rPr>
          <w:rFonts w:ascii="Times New Roman" w:hAnsi="Times New Roman"/>
          <w:color w:val="000000"/>
          <w:sz w:val="28"/>
          <w:szCs w:val="28"/>
          <w:lang w:eastAsia="uk-UA"/>
        </w:rPr>
        <w:t xml:space="preserve">ть»,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5B27A3">
        <w:rPr>
          <w:rFonts w:ascii="Times New Roman" w:hAnsi="Times New Roman"/>
          <w:color w:val="000000"/>
          <w:sz w:val="28"/>
          <w:szCs w:val="28"/>
        </w:rPr>
        <w:t xml:space="preserve">«Про платіжні послуги» </w:t>
      </w:r>
      <w:r w:rsidRPr="005B27A3">
        <w:rPr>
          <w:rFonts w:ascii="Times New Roman" w:hAnsi="Times New Roman"/>
          <w:color w:val="000000"/>
          <w:sz w:val="28"/>
          <w:szCs w:val="28"/>
          <w:lang w:eastAsia="uk-UA"/>
        </w:rPr>
        <w:t>та «Про ринки капіталу та організовані товарні ринки» ст</w:t>
      </w:r>
      <w:r w:rsidRPr="005B27A3">
        <w:rPr>
          <w:rFonts w:ascii="Times New Roman" w:hAnsi="Times New Roman"/>
          <w:color w:val="000000"/>
          <w:sz w:val="28"/>
          <w:szCs w:val="28"/>
          <w:lang w:eastAsia="uk-UA"/>
        </w:rPr>
        <w:t xml:space="preserve">ворить умови для започаткування централізованого ведення Єдиного реєстру рахунків. </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Отже, основною проблемою, на розв’язання якої спрямований законопроект, є приведення положень чинного законодавства України до правил щодо моніторингу і контролю для запобі</w:t>
      </w:r>
      <w:r w:rsidRPr="005B27A3">
        <w:rPr>
          <w:rFonts w:ascii="Times New Roman" w:hAnsi="Times New Roman"/>
          <w:color w:val="000000"/>
          <w:sz w:val="28"/>
          <w:szCs w:val="28"/>
        </w:rPr>
        <w:t>гання використанню фінансової системи для відмивання грошей або фінансування тероризму згідно з директивами Європейського парламенту і Ради (ЄС), адаптації положень Директиви (ЄС) 2018/843, імплементація якої передбачена Угодою про асоціацію.</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Запропоновані</w:t>
      </w:r>
      <w:r w:rsidRPr="005B27A3">
        <w:rPr>
          <w:rFonts w:ascii="Times New Roman" w:hAnsi="Times New Roman"/>
          <w:color w:val="000000"/>
          <w:sz w:val="28"/>
          <w:szCs w:val="28"/>
          <w:lang w:eastAsia="uk-UA"/>
        </w:rPr>
        <w:t xml:space="preserve"> у законопроекті зміни, зокрема, визначають:</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ДПС держателем та адміністратором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перелік даних, що містяться у Єд</w:t>
      </w:r>
      <w:r w:rsidR="00C2439F" w:rsidRPr="005B27A3">
        <w:rPr>
          <w:rFonts w:ascii="Times New Roman" w:hAnsi="Times New Roman"/>
          <w:color w:val="000000"/>
          <w:sz w:val="28"/>
          <w:szCs w:val="28"/>
          <w:lang w:eastAsia="uk-UA"/>
        </w:rPr>
        <w:t>иному реєстрі рахунків, порядок</w:t>
      </w:r>
      <w:r w:rsidRPr="005B27A3">
        <w:rPr>
          <w:rFonts w:ascii="Times New Roman" w:hAnsi="Times New Roman"/>
          <w:color w:val="000000"/>
          <w:sz w:val="28"/>
          <w:szCs w:val="28"/>
          <w:lang w:eastAsia="uk-UA"/>
        </w:rPr>
        <w:t xml:space="preserve"> та терміни їх подання;</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перелік суб’єктів, які надсилатимуть до ДПС відомості для включ</w:t>
      </w:r>
      <w:r w:rsidRPr="005B27A3">
        <w:rPr>
          <w:rFonts w:ascii="Times New Roman" w:hAnsi="Times New Roman"/>
          <w:color w:val="000000"/>
          <w:sz w:val="28"/>
          <w:szCs w:val="28"/>
          <w:lang w:eastAsia="uk-UA"/>
        </w:rPr>
        <w:t>ення до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зобов’язання держателя Єдиного реєстру рахунків щодо збереження банківської таємниці, надання доступу до даних цього реєстру.</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Отже, прийняття законопроекту сприятиме підвищенню загального рівня прозорості фінансової систем</w:t>
      </w:r>
      <w:r w:rsidRPr="005B27A3">
        <w:rPr>
          <w:rFonts w:ascii="Times New Roman" w:hAnsi="Times New Roman"/>
          <w:color w:val="000000"/>
          <w:sz w:val="28"/>
          <w:szCs w:val="28"/>
          <w:lang w:eastAsia="uk-UA"/>
        </w:rPr>
        <w:t>и України шляхом створення та функціонування Єдиного реєстру рахунків, який забезпечить вчасну ідентифікацію будь-якої фізичної чи юридичної особи, яка відкриває рахунок в банку, іншій фінансовій установі та/або небанківського надавача платіжних послуг, ін</w:t>
      </w:r>
      <w:r w:rsidRPr="005B27A3">
        <w:rPr>
          <w:rFonts w:ascii="Times New Roman" w:hAnsi="Times New Roman"/>
          <w:color w:val="000000"/>
          <w:sz w:val="28"/>
          <w:szCs w:val="28"/>
          <w:lang w:eastAsia="uk-UA"/>
        </w:rPr>
        <w:t>дивідуальний банківський сейф, а також – ідентифікацію банківських рахунків за IBAN та банківських сейфів.</w:t>
      </w:r>
    </w:p>
    <w:p w:rsidR="002F06D1" w:rsidRPr="005B27A3" w:rsidRDefault="00A307A2">
      <w:pPr>
        <w:widowControl w:val="0"/>
        <w:spacing w:after="0" w:line="240" w:lineRule="auto"/>
        <w:ind w:left="23" w:right="23" w:firstLine="544"/>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Водночас реалізація положень законопроекту не матиме негативного впливу ні на державу, ні на суб’єктів господарювання, ні на громадян. Положення лише</w:t>
      </w:r>
      <w:r w:rsidRPr="005B27A3">
        <w:rPr>
          <w:rFonts w:ascii="Times New Roman" w:hAnsi="Times New Roman"/>
          <w:color w:val="000000"/>
          <w:sz w:val="28"/>
          <w:szCs w:val="28"/>
          <w:lang w:eastAsia="uk-UA"/>
        </w:rPr>
        <w:t xml:space="preserve"> передбачають незначне навантаження на суб’єктів господарювання, на яких покладається обов’язок щодо направлення до ДПС повідомлень про укладення або припинення договору про надання індивідуального банківського сейфа та повідомлень про відкриття або закрит</w:t>
      </w:r>
      <w:r w:rsidRPr="005B27A3">
        <w:rPr>
          <w:rFonts w:ascii="Times New Roman" w:hAnsi="Times New Roman"/>
          <w:color w:val="000000"/>
          <w:sz w:val="28"/>
          <w:szCs w:val="28"/>
          <w:lang w:eastAsia="uk-UA"/>
        </w:rPr>
        <w:t>тя рахунків фізичних осіб, які не є самозайнятими особами.</w:t>
      </w:r>
    </w:p>
    <w:p w:rsidR="002F06D1" w:rsidRPr="005B27A3" w:rsidRDefault="00A307A2">
      <w:pPr>
        <w:widowControl w:val="0"/>
        <w:spacing w:after="0" w:line="240" w:lineRule="auto"/>
        <w:ind w:left="23" w:right="23" w:firstLine="544"/>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Окремо зазначаємо, що для банків та інших фінансових установ законодавством уже передбачено подання до ДПС повідомлень про </w:t>
      </w:r>
      <w:r w:rsidRPr="005B27A3">
        <w:rPr>
          <w:rFonts w:ascii="Times New Roman" w:hAnsi="Times New Roman"/>
          <w:color w:val="000000"/>
          <w:sz w:val="28"/>
          <w:szCs w:val="28"/>
          <w:shd w:val="clear" w:color="auto" w:fill="FFFFFF"/>
          <w:lang w:eastAsia="uk-UA"/>
        </w:rPr>
        <w:t>відкриття або закриття рахунку платника податків — юридичної особи (резиде</w:t>
      </w:r>
      <w:r w:rsidRPr="005B27A3">
        <w:rPr>
          <w:rFonts w:ascii="Times New Roman" w:hAnsi="Times New Roman"/>
          <w:color w:val="000000"/>
          <w:sz w:val="28"/>
          <w:szCs w:val="28"/>
          <w:shd w:val="clear" w:color="auto" w:fill="FFFFFF"/>
          <w:lang w:eastAsia="uk-UA"/>
        </w:rPr>
        <w:t xml:space="preserve">нта і нерезидента), у тому числі відкритого через її відокремлені підрозділи, </w:t>
      </w:r>
      <w:r w:rsidR="00C2439F" w:rsidRPr="005B27A3">
        <w:rPr>
          <w:rFonts w:ascii="Times New Roman" w:hAnsi="Times New Roman"/>
          <w:color w:val="000000"/>
          <w:sz w:val="28"/>
          <w:szCs w:val="28"/>
          <w:shd w:val="clear" w:color="auto" w:fill="FFFFFF"/>
          <w:lang w:eastAsia="uk-UA"/>
        </w:rPr>
        <w:t xml:space="preserve">та </w:t>
      </w:r>
      <w:r w:rsidRPr="005B27A3">
        <w:rPr>
          <w:rFonts w:ascii="Times New Roman" w:hAnsi="Times New Roman"/>
          <w:color w:val="000000"/>
          <w:sz w:val="28"/>
          <w:szCs w:val="28"/>
          <w:shd w:val="clear" w:color="auto" w:fill="FFFFFF"/>
          <w:lang w:eastAsia="uk-UA"/>
        </w:rPr>
        <w:t>самозайнятої фізичної особи.</w:t>
      </w:r>
    </w:p>
    <w:p w:rsidR="002F06D1" w:rsidRPr="005B27A3" w:rsidRDefault="00A307A2">
      <w:pPr>
        <w:widowControl w:val="0"/>
        <w:spacing w:after="0" w:line="240" w:lineRule="auto"/>
        <w:ind w:left="23" w:right="23" w:firstLine="544"/>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І наразі ДПС забезпечено ведення обліку рахунків юридичних осіб, їх відокремлених підрозділів та самозайнятих</w:t>
      </w:r>
      <w:r w:rsidR="00C2439F" w:rsidRPr="005B27A3">
        <w:rPr>
          <w:rFonts w:ascii="Times New Roman" w:hAnsi="Times New Roman"/>
          <w:color w:val="000000"/>
          <w:sz w:val="28"/>
          <w:szCs w:val="28"/>
          <w:shd w:val="clear" w:color="auto" w:fill="FFFFFF"/>
          <w:lang w:eastAsia="uk-UA"/>
        </w:rPr>
        <w:t xml:space="preserve"> осіб</w:t>
      </w:r>
      <w:r w:rsidRPr="005B27A3">
        <w:rPr>
          <w:rFonts w:ascii="Times New Roman" w:hAnsi="Times New Roman"/>
          <w:color w:val="000000"/>
          <w:sz w:val="28"/>
          <w:szCs w:val="28"/>
          <w:shd w:val="clear" w:color="auto" w:fill="FFFFFF"/>
          <w:lang w:eastAsia="uk-UA"/>
        </w:rPr>
        <w:t xml:space="preserve"> (фізичних осіб </w:t>
      </w:r>
      <w:r w:rsidR="00C2439F" w:rsidRPr="005B27A3">
        <w:rPr>
          <w:rFonts w:ascii="Times New Roman" w:hAnsi="Times New Roman"/>
          <w:color w:val="000000"/>
          <w:sz w:val="28"/>
          <w:szCs w:val="28"/>
          <w:shd w:val="clear" w:color="auto" w:fill="FFFFFF"/>
          <w:lang w:eastAsia="uk-UA"/>
        </w:rPr>
        <w:t>–</w:t>
      </w:r>
      <w:r w:rsidRPr="005B27A3">
        <w:rPr>
          <w:rFonts w:ascii="Times New Roman" w:hAnsi="Times New Roman"/>
          <w:color w:val="000000"/>
          <w:sz w:val="28"/>
          <w:szCs w:val="28"/>
          <w:shd w:val="clear" w:color="auto" w:fill="FFFFFF"/>
          <w:lang w:eastAsia="uk-UA"/>
        </w:rPr>
        <w:t xml:space="preserve"> підприємців та осіб</w:t>
      </w:r>
      <w:r w:rsidRPr="005B27A3">
        <w:rPr>
          <w:rFonts w:ascii="Times New Roman" w:hAnsi="Times New Roman"/>
          <w:color w:val="000000"/>
          <w:sz w:val="28"/>
          <w:szCs w:val="28"/>
          <w:shd w:val="clear" w:color="auto" w:fill="FFFFFF"/>
          <w:lang w:eastAsia="uk-UA"/>
        </w:rPr>
        <w:t>, які здійснюють незалежну професійну діяльність). Структура, формат повідомлень, процедури обміну даними між банками та ДПС урегульовані законодавством та реалізовані.</w:t>
      </w:r>
    </w:p>
    <w:p w:rsidR="002F06D1" w:rsidRPr="005B27A3" w:rsidRDefault="00A307A2">
      <w:pPr>
        <w:widowControl w:val="0"/>
        <w:spacing w:after="0" w:line="240" w:lineRule="auto"/>
        <w:ind w:left="23" w:right="23" w:firstLine="544"/>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Порядок подання повідомлень про відкриття/закриття рахунків платників податків у банках</w:t>
      </w:r>
      <w:r w:rsidRPr="005B27A3">
        <w:rPr>
          <w:rFonts w:ascii="Times New Roman" w:hAnsi="Times New Roman"/>
          <w:color w:val="000000"/>
          <w:sz w:val="28"/>
          <w:szCs w:val="28"/>
          <w:shd w:val="clear" w:color="auto" w:fill="FFFFFF"/>
          <w:lang w:eastAsia="uk-UA"/>
        </w:rPr>
        <w:t xml:space="preserve"> та інших фінансових установах до контролюючих органів, затверджен</w:t>
      </w:r>
      <w:r w:rsidR="00AD4D0F" w:rsidRPr="005B27A3">
        <w:rPr>
          <w:rFonts w:ascii="Times New Roman" w:hAnsi="Times New Roman"/>
          <w:color w:val="000000"/>
          <w:sz w:val="28"/>
          <w:szCs w:val="28"/>
          <w:shd w:val="clear" w:color="auto" w:fill="FFFFFF"/>
          <w:lang w:eastAsia="uk-UA"/>
        </w:rPr>
        <w:t>ий</w:t>
      </w:r>
      <w:r w:rsidRPr="005B27A3">
        <w:rPr>
          <w:rFonts w:ascii="Times New Roman" w:hAnsi="Times New Roman"/>
          <w:color w:val="000000"/>
          <w:sz w:val="28"/>
          <w:szCs w:val="28"/>
          <w:shd w:val="clear" w:color="auto" w:fill="FFFFFF"/>
          <w:lang w:eastAsia="uk-UA"/>
        </w:rPr>
        <w:t xml:space="preserve"> наказом Міністерства фі</w:t>
      </w:r>
      <w:r w:rsidR="00C2439F" w:rsidRPr="005B27A3">
        <w:rPr>
          <w:rFonts w:ascii="Times New Roman" w:hAnsi="Times New Roman"/>
          <w:color w:val="000000"/>
          <w:sz w:val="28"/>
          <w:szCs w:val="28"/>
          <w:shd w:val="clear" w:color="auto" w:fill="FFFFFF"/>
          <w:lang w:eastAsia="uk-UA"/>
        </w:rPr>
        <w:t>нансів України від 18.08.2015 № </w:t>
      </w:r>
      <w:r w:rsidRPr="005B27A3">
        <w:rPr>
          <w:rFonts w:ascii="Times New Roman" w:hAnsi="Times New Roman"/>
          <w:color w:val="000000"/>
          <w:sz w:val="28"/>
          <w:szCs w:val="28"/>
          <w:shd w:val="clear" w:color="auto" w:fill="FFFFFF"/>
          <w:lang w:eastAsia="uk-UA"/>
        </w:rPr>
        <w:t xml:space="preserve">721, </w:t>
      </w:r>
      <w:r w:rsidR="00C2439F" w:rsidRPr="005B27A3">
        <w:rPr>
          <w:rFonts w:ascii="Times New Roman" w:hAnsi="Times New Roman"/>
          <w:color w:val="000000"/>
          <w:sz w:val="28"/>
          <w:szCs w:val="28"/>
          <w:shd w:val="clear" w:color="auto" w:fill="FFFFFF"/>
          <w:lang w:eastAsia="uk-UA"/>
        </w:rPr>
        <w:t xml:space="preserve">який </w:t>
      </w:r>
      <w:r w:rsidRPr="005B27A3">
        <w:rPr>
          <w:rFonts w:ascii="Times New Roman" w:hAnsi="Times New Roman"/>
          <w:color w:val="000000"/>
          <w:sz w:val="28"/>
          <w:szCs w:val="28"/>
          <w:shd w:val="clear" w:color="auto" w:fill="FFFFFF"/>
          <w:lang w:eastAsia="uk-UA"/>
        </w:rPr>
        <w:t>зареєстрован</w:t>
      </w:r>
      <w:r w:rsidR="00AD4D0F" w:rsidRPr="005B27A3">
        <w:rPr>
          <w:rFonts w:ascii="Times New Roman" w:hAnsi="Times New Roman"/>
          <w:color w:val="000000"/>
          <w:sz w:val="28"/>
          <w:szCs w:val="28"/>
          <w:shd w:val="clear" w:color="auto" w:fill="FFFFFF"/>
          <w:lang w:eastAsia="uk-UA"/>
        </w:rPr>
        <w:t>ий</w:t>
      </w:r>
      <w:r w:rsidRPr="005B27A3">
        <w:rPr>
          <w:rFonts w:ascii="Times New Roman" w:hAnsi="Times New Roman"/>
          <w:color w:val="000000"/>
          <w:sz w:val="28"/>
          <w:szCs w:val="28"/>
          <w:shd w:val="clear" w:color="auto" w:fill="FFFFFF"/>
          <w:lang w:eastAsia="uk-UA"/>
        </w:rPr>
        <w:t xml:space="preserve"> у Міністерстві юстиції України 04.09.2015 за №</w:t>
      </w:r>
      <w:r w:rsidR="00C2439F" w:rsidRPr="005B27A3">
        <w:rPr>
          <w:rFonts w:ascii="Times New Roman" w:hAnsi="Times New Roman"/>
          <w:color w:val="000000"/>
          <w:sz w:val="28"/>
          <w:szCs w:val="28"/>
          <w:shd w:val="clear" w:color="auto" w:fill="FFFFFF"/>
          <w:lang w:eastAsia="uk-UA"/>
        </w:rPr>
        <w:t> </w:t>
      </w:r>
      <w:r w:rsidRPr="005B27A3">
        <w:rPr>
          <w:rFonts w:ascii="Times New Roman" w:hAnsi="Times New Roman"/>
          <w:color w:val="000000"/>
          <w:sz w:val="28"/>
          <w:szCs w:val="28"/>
          <w:shd w:val="clear" w:color="auto" w:fill="FFFFFF"/>
          <w:lang w:eastAsia="uk-UA"/>
        </w:rPr>
        <w:t>1058/27503.</w:t>
      </w:r>
    </w:p>
    <w:p w:rsidR="002F06D1" w:rsidRPr="005B27A3" w:rsidRDefault="00A307A2">
      <w:pPr>
        <w:widowControl w:val="0"/>
        <w:spacing w:after="0" w:line="240" w:lineRule="auto"/>
        <w:ind w:left="23" w:right="23" w:firstLine="544"/>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Технічна відповідність національного законодавства </w:t>
      </w:r>
      <w:r w:rsidRPr="005B27A3">
        <w:rPr>
          <w:rFonts w:ascii="Times New Roman" w:hAnsi="Times New Roman"/>
          <w:color w:val="000000"/>
          <w:sz w:val="28"/>
          <w:szCs w:val="28"/>
          <w:lang w:eastAsia="uk-UA"/>
        </w:rPr>
        <w:t>України зазначени</w:t>
      </w:r>
      <w:r w:rsidR="00C2439F" w:rsidRPr="005B27A3">
        <w:rPr>
          <w:rFonts w:ascii="Times New Roman" w:hAnsi="Times New Roman"/>
          <w:color w:val="000000"/>
          <w:sz w:val="28"/>
          <w:szCs w:val="28"/>
          <w:lang w:eastAsia="uk-UA"/>
        </w:rPr>
        <w:t>м</w:t>
      </w:r>
      <w:r w:rsidRPr="005B27A3">
        <w:rPr>
          <w:rFonts w:ascii="Times New Roman" w:hAnsi="Times New Roman"/>
          <w:color w:val="000000"/>
          <w:sz w:val="28"/>
          <w:szCs w:val="28"/>
          <w:lang w:eastAsia="uk-UA"/>
        </w:rPr>
        <w:t xml:space="preserve"> вище міжнародним стандартам, ефективність їх впровадження періодично оцінюються Комітетом експертів Ради Європи з оцінки заходів протидії відмиванню коштів та фінансуванню тероризму (MONEYVAL).</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Неприйняття законопроекту несе ризики </w:t>
      </w:r>
      <w:r w:rsidR="00132A70" w:rsidRPr="005B27A3">
        <w:rPr>
          <w:rFonts w:ascii="Times New Roman" w:hAnsi="Times New Roman"/>
          <w:color w:val="000000"/>
          <w:sz w:val="28"/>
          <w:szCs w:val="28"/>
          <w:shd w:val="clear" w:color="auto" w:fill="FFFFFF"/>
          <w:lang w:eastAsia="uk-UA"/>
        </w:rPr>
        <w:t>стосовно</w:t>
      </w:r>
      <w:r w:rsidRPr="005B27A3">
        <w:rPr>
          <w:rFonts w:ascii="Times New Roman" w:hAnsi="Times New Roman"/>
          <w:color w:val="000000"/>
          <w:sz w:val="28"/>
          <w:szCs w:val="28"/>
          <w:shd w:val="clear" w:color="auto" w:fill="FFFFFF"/>
          <w:lang w:eastAsia="uk-UA"/>
        </w:rPr>
        <w:t xml:space="preserve"> </w:t>
      </w:r>
      <w:r w:rsidRPr="005B27A3">
        <w:rPr>
          <w:rFonts w:ascii="Times New Roman" w:hAnsi="Times New Roman"/>
          <w:color w:val="000000"/>
          <w:sz w:val="28"/>
          <w:szCs w:val="28"/>
          <w:shd w:val="clear" w:color="auto" w:fill="FFFFFF"/>
          <w:lang w:eastAsia="uk-UA"/>
        </w:rPr>
        <w:t xml:space="preserve">отримання Україною низької оцінки </w:t>
      </w:r>
      <w:r w:rsidRPr="005B27A3">
        <w:rPr>
          <w:rFonts w:ascii="Times New Roman" w:hAnsi="Times New Roman"/>
          <w:color w:val="000000"/>
          <w:sz w:val="28"/>
          <w:szCs w:val="28"/>
          <w:lang w:eastAsia="uk-UA"/>
        </w:rPr>
        <w:t>MONEYVAL</w:t>
      </w:r>
      <w:r w:rsidRPr="005B27A3">
        <w:rPr>
          <w:rFonts w:ascii="Times New Roman" w:hAnsi="Times New Roman"/>
          <w:color w:val="000000"/>
          <w:sz w:val="28"/>
          <w:szCs w:val="28"/>
          <w:shd w:val="clear" w:color="auto" w:fill="FFFFFF"/>
          <w:lang w:eastAsia="uk-UA"/>
        </w:rPr>
        <w:t xml:space="preserve"> щодо відповідності національного законодавства міжнародним стандартам </w:t>
      </w:r>
      <w:r w:rsidR="00132A70" w:rsidRPr="005B27A3">
        <w:rPr>
          <w:rFonts w:ascii="Times New Roman" w:hAnsi="Times New Roman"/>
          <w:color w:val="000000"/>
          <w:sz w:val="28"/>
          <w:szCs w:val="28"/>
          <w:shd w:val="clear" w:color="auto" w:fill="FFFFFF"/>
          <w:lang w:eastAsia="uk-UA"/>
        </w:rPr>
        <w:t xml:space="preserve">та </w:t>
      </w:r>
      <w:r w:rsidRPr="005B27A3">
        <w:rPr>
          <w:rFonts w:ascii="Times New Roman" w:hAnsi="Times New Roman"/>
          <w:color w:val="000000"/>
          <w:sz w:val="28"/>
          <w:szCs w:val="28"/>
          <w:shd w:val="clear" w:color="auto" w:fill="FFFFFF"/>
          <w:lang w:eastAsia="uk-UA"/>
        </w:rPr>
        <w:t>відповідно</w:t>
      </w:r>
      <w:r w:rsidRPr="005B27A3">
        <w:rPr>
          <w:rFonts w:ascii="Times New Roman" w:hAnsi="Times New Roman"/>
          <w:color w:val="000000"/>
          <w:sz w:val="28"/>
          <w:szCs w:val="28"/>
          <w:shd w:val="clear" w:color="auto" w:fill="FFFFFF"/>
          <w:lang w:eastAsia="uk-UA"/>
        </w:rPr>
        <w:t xml:space="preserve"> може негативно вплинути на подальші рішення міжнародних партнерів щодо виділення фінансової підтримки Україні, що може призвест</w:t>
      </w:r>
      <w:r w:rsidRPr="005B27A3">
        <w:rPr>
          <w:rFonts w:ascii="Times New Roman" w:hAnsi="Times New Roman"/>
          <w:color w:val="000000"/>
          <w:sz w:val="28"/>
          <w:szCs w:val="28"/>
          <w:shd w:val="clear" w:color="auto" w:fill="FFFFFF"/>
          <w:lang w:eastAsia="uk-UA"/>
        </w:rPr>
        <w:t xml:space="preserve">и до зменшення надходжень державного бюджету від міжнародних фінансових організацій та </w:t>
      </w:r>
      <w:r w:rsidR="0030715C" w:rsidRPr="005B27A3">
        <w:rPr>
          <w:rFonts w:ascii="Times New Roman" w:hAnsi="Times New Roman"/>
          <w:color w:val="000000"/>
          <w:sz w:val="28"/>
          <w:szCs w:val="28"/>
          <w:shd w:val="clear" w:color="auto" w:fill="FFFFFF"/>
          <w:lang w:eastAsia="uk-UA"/>
        </w:rPr>
        <w:t>ЄС</w:t>
      </w:r>
      <w:r w:rsidRPr="005B27A3">
        <w:rPr>
          <w:rFonts w:ascii="Times New Roman" w:hAnsi="Times New Roman"/>
          <w:color w:val="000000"/>
          <w:sz w:val="28"/>
          <w:szCs w:val="28"/>
          <w:shd w:val="clear" w:color="auto" w:fill="FFFFFF"/>
          <w:lang w:eastAsia="uk-UA"/>
        </w:rPr>
        <w:t>.</w:t>
      </w:r>
    </w:p>
    <w:p w:rsidR="003215BD" w:rsidRPr="005B27A3" w:rsidRDefault="0030715C">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shd w:val="clear" w:color="auto" w:fill="FFFFFF"/>
          <w:lang w:eastAsia="uk-UA"/>
        </w:rPr>
        <w:t>Водночас</w:t>
      </w:r>
      <w:r w:rsidR="003215BD" w:rsidRPr="005B27A3">
        <w:rPr>
          <w:rFonts w:ascii="Times New Roman" w:hAnsi="Times New Roman"/>
          <w:color w:val="000000"/>
          <w:sz w:val="28"/>
          <w:szCs w:val="28"/>
          <w:shd w:val="clear" w:color="auto" w:fill="FFFFFF"/>
          <w:lang w:eastAsia="uk-UA"/>
        </w:rPr>
        <w:t xml:space="preserve"> з 23 червня 2022 року Україна є кандидатом на членство у </w:t>
      </w:r>
      <w:r w:rsidR="003215BD" w:rsidRPr="005B27A3">
        <w:rPr>
          <w:rFonts w:ascii="Times New Roman" w:hAnsi="Times New Roman"/>
          <w:color w:val="000000"/>
          <w:sz w:val="28"/>
          <w:szCs w:val="28"/>
          <w:shd w:val="clear" w:color="auto" w:fill="FFFFFF"/>
          <w:lang w:eastAsia="uk-UA"/>
        </w:rPr>
        <w:t>Європейсько</w:t>
      </w:r>
      <w:r w:rsidR="003215BD" w:rsidRPr="005B27A3">
        <w:rPr>
          <w:rFonts w:ascii="Times New Roman" w:hAnsi="Times New Roman"/>
          <w:color w:val="000000"/>
          <w:sz w:val="28"/>
          <w:szCs w:val="28"/>
          <w:shd w:val="clear" w:color="auto" w:fill="FFFFFF"/>
          <w:lang w:eastAsia="uk-UA"/>
        </w:rPr>
        <w:t>му</w:t>
      </w:r>
      <w:r w:rsidR="003215BD" w:rsidRPr="005B27A3">
        <w:rPr>
          <w:rFonts w:ascii="Times New Roman" w:hAnsi="Times New Roman"/>
          <w:color w:val="000000"/>
          <w:sz w:val="28"/>
          <w:szCs w:val="28"/>
          <w:shd w:val="clear" w:color="auto" w:fill="FFFFFF"/>
          <w:lang w:eastAsia="uk-UA"/>
        </w:rPr>
        <w:t xml:space="preserve"> Союз</w:t>
      </w:r>
      <w:r w:rsidR="003215BD" w:rsidRPr="005B27A3">
        <w:rPr>
          <w:rFonts w:ascii="Times New Roman" w:hAnsi="Times New Roman"/>
          <w:color w:val="000000"/>
          <w:sz w:val="28"/>
          <w:szCs w:val="28"/>
          <w:shd w:val="clear" w:color="auto" w:fill="FFFFFF"/>
          <w:lang w:eastAsia="uk-UA"/>
        </w:rPr>
        <w:t xml:space="preserve">і, тому неприйняття законопроекту, який передбачає імплементацію в національне законодавство міжнародних стандартів </w:t>
      </w:r>
      <w:r w:rsidRPr="005B27A3">
        <w:rPr>
          <w:rFonts w:ascii="Times New Roman" w:hAnsi="Times New Roman"/>
          <w:color w:val="000000"/>
          <w:sz w:val="28"/>
          <w:szCs w:val="28"/>
          <w:shd w:val="clear" w:color="auto" w:fill="FFFFFF"/>
          <w:lang w:eastAsia="uk-UA"/>
        </w:rPr>
        <w:t>ЄС,</w:t>
      </w:r>
      <w:r w:rsidR="003215BD" w:rsidRPr="005B27A3">
        <w:rPr>
          <w:rFonts w:ascii="Times New Roman" w:hAnsi="Times New Roman"/>
          <w:color w:val="000000"/>
          <w:sz w:val="28"/>
          <w:szCs w:val="28"/>
          <w:shd w:val="clear" w:color="auto" w:fill="FFFFFF"/>
          <w:lang w:eastAsia="uk-UA"/>
        </w:rPr>
        <w:t xml:space="preserve"> також має</w:t>
      </w:r>
      <w:r w:rsidR="003215BD" w:rsidRPr="005B27A3">
        <w:rPr>
          <w:rFonts w:ascii="Times New Roman" w:hAnsi="Times New Roman"/>
          <w:color w:val="000000"/>
          <w:sz w:val="28"/>
          <w:szCs w:val="28"/>
          <w:shd w:val="clear" w:color="auto" w:fill="FFFFFF"/>
          <w:lang w:eastAsia="uk-UA"/>
        </w:rPr>
        <w:t xml:space="preserve"> ризики стосовно </w:t>
      </w:r>
      <w:r w:rsidRPr="005B27A3">
        <w:rPr>
          <w:rFonts w:ascii="Times New Roman" w:hAnsi="Times New Roman"/>
          <w:color w:val="000000"/>
          <w:sz w:val="28"/>
          <w:szCs w:val="28"/>
          <w:shd w:val="clear" w:color="auto" w:fill="FFFFFF"/>
          <w:lang w:eastAsia="uk-UA"/>
        </w:rPr>
        <w:t>не</w:t>
      </w:r>
      <w:r w:rsidR="003215BD" w:rsidRPr="005B27A3">
        <w:rPr>
          <w:rFonts w:ascii="Times New Roman" w:hAnsi="Times New Roman"/>
          <w:color w:val="000000"/>
          <w:sz w:val="28"/>
          <w:szCs w:val="28"/>
          <w:shd w:val="clear" w:color="auto" w:fill="FFFFFF"/>
          <w:lang w:eastAsia="uk-UA"/>
        </w:rPr>
        <w:t xml:space="preserve">отримання Україною асоційованого членства в </w:t>
      </w:r>
      <w:r w:rsidRPr="005B27A3">
        <w:rPr>
          <w:rFonts w:ascii="Times New Roman" w:hAnsi="Times New Roman"/>
          <w:color w:val="000000"/>
          <w:sz w:val="28"/>
          <w:szCs w:val="28"/>
          <w:shd w:val="clear" w:color="auto" w:fill="FFFFFF"/>
          <w:lang w:eastAsia="uk-UA"/>
        </w:rPr>
        <w:t>ЄС.</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Ураховуючи наведене, існує потреба у врегулюванні описаної проблеми шляхом прийняття зазначеного нормативно-правового </w:t>
      </w:r>
      <w:proofErr w:type="spellStart"/>
      <w:r w:rsidRPr="005B27A3">
        <w:rPr>
          <w:rFonts w:ascii="Times New Roman" w:hAnsi="Times New Roman"/>
          <w:color w:val="000000"/>
          <w:sz w:val="28"/>
          <w:szCs w:val="28"/>
          <w:lang w:eastAsia="uk-UA"/>
        </w:rPr>
        <w:t>акта</w:t>
      </w:r>
      <w:proofErr w:type="spellEnd"/>
      <w:r w:rsidRPr="005B27A3">
        <w:rPr>
          <w:rFonts w:ascii="Times New Roman" w:hAnsi="Times New Roman"/>
          <w:color w:val="000000"/>
          <w:sz w:val="28"/>
          <w:szCs w:val="28"/>
          <w:lang w:eastAsia="uk-UA"/>
        </w:rPr>
        <w:t>.</w:t>
      </w:r>
    </w:p>
    <w:p w:rsidR="002F06D1" w:rsidRPr="005B27A3" w:rsidRDefault="00A307A2">
      <w:pPr>
        <w:widowControl w:val="0"/>
        <w:spacing w:before="240" w:after="120" w:line="240" w:lineRule="auto"/>
        <w:ind w:right="23"/>
        <w:jc w:val="center"/>
        <w:rPr>
          <w:rFonts w:ascii="Times New Roman" w:hAnsi="Times New Roman"/>
          <w:color w:val="000000"/>
          <w:sz w:val="28"/>
          <w:szCs w:val="28"/>
          <w:lang w:eastAsia="uk-UA"/>
        </w:rPr>
      </w:pPr>
      <w:r w:rsidRPr="005B27A3">
        <w:rPr>
          <w:rFonts w:ascii="Times New Roman" w:hAnsi="Times New Roman"/>
          <w:color w:val="000000"/>
          <w:sz w:val="28"/>
          <w:szCs w:val="28"/>
          <w:shd w:val="clear" w:color="auto" w:fill="FFFFFF"/>
          <w:lang w:eastAsia="uk-UA"/>
        </w:rPr>
        <w:t>Основні групи, на які пр</w:t>
      </w:r>
      <w:r w:rsidRPr="005B27A3">
        <w:rPr>
          <w:rFonts w:ascii="Times New Roman" w:hAnsi="Times New Roman"/>
          <w:color w:val="000000"/>
          <w:sz w:val="28"/>
          <w:szCs w:val="28"/>
          <w:shd w:val="clear" w:color="auto" w:fill="FFFFFF"/>
          <w:lang w:eastAsia="uk-UA"/>
        </w:rPr>
        <w:t>облема справляє вплив: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9"/>
        <w:gridCol w:w="2179"/>
        <w:gridCol w:w="1625"/>
      </w:tblGrid>
      <w:tr w:rsidR="002F06D1" w:rsidRPr="005B27A3" w:rsidTr="00132A70">
        <w:tc>
          <w:tcPr>
            <w:tcW w:w="582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Групи (підгрупи)</w:t>
            </w:r>
          </w:p>
        </w:tc>
        <w:tc>
          <w:tcPr>
            <w:tcW w:w="217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Так</w:t>
            </w:r>
          </w:p>
        </w:tc>
        <w:tc>
          <w:tcPr>
            <w:tcW w:w="1625"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Ні</w:t>
            </w:r>
          </w:p>
        </w:tc>
      </w:tr>
      <w:tr w:rsidR="002F06D1" w:rsidRPr="005B27A3" w:rsidTr="00132A70">
        <w:tc>
          <w:tcPr>
            <w:tcW w:w="582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Громадяни</w:t>
            </w:r>
          </w:p>
        </w:tc>
        <w:tc>
          <w:tcPr>
            <w:tcW w:w="217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rPr>
              <w:t>+</w:t>
            </w:r>
          </w:p>
        </w:tc>
        <w:tc>
          <w:tcPr>
            <w:tcW w:w="1625" w:type="dxa"/>
            <w:tcBorders>
              <w:top w:val="single" w:sz="4" w:space="0" w:color="auto"/>
              <w:left w:val="single" w:sz="4" w:space="0" w:color="auto"/>
              <w:bottom w:val="single" w:sz="4" w:space="0" w:color="auto"/>
              <w:right w:val="single" w:sz="4" w:space="0" w:color="auto"/>
            </w:tcBorders>
          </w:tcPr>
          <w:p w:rsidR="002F06D1" w:rsidRPr="005B27A3" w:rsidRDefault="002F06D1">
            <w:pPr>
              <w:widowControl w:val="0"/>
              <w:spacing w:after="0" w:line="240" w:lineRule="auto"/>
              <w:ind w:right="20"/>
              <w:jc w:val="center"/>
              <w:rPr>
                <w:rFonts w:ascii="Times New Roman" w:hAnsi="Times New Roman"/>
                <w:color w:val="000000"/>
                <w:sz w:val="28"/>
                <w:szCs w:val="28"/>
                <w:shd w:val="clear" w:color="auto" w:fill="FFFFFF"/>
                <w:lang w:eastAsia="uk-UA"/>
              </w:rPr>
            </w:pPr>
          </w:p>
        </w:tc>
      </w:tr>
      <w:tr w:rsidR="002F06D1" w:rsidRPr="005B27A3" w:rsidTr="00132A70">
        <w:tc>
          <w:tcPr>
            <w:tcW w:w="582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Держава</w:t>
            </w:r>
          </w:p>
        </w:tc>
        <w:tc>
          <w:tcPr>
            <w:tcW w:w="217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w:t>
            </w:r>
          </w:p>
        </w:tc>
        <w:tc>
          <w:tcPr>
            <w:tcW w:w="1625" w:type="dxa"/>
            <w:tcBorders>
              <w:top w:val="single" w:sz="4" w:space="0" w:color="auto"/>
              <w:left w:val="single" w:sz="4" w:space="0" w:color="auto"/>
              <w:bottom w:val="single" w:sz="4" w:space="0" w:color="auto"/>
              <w:right w:val="single" w:sz="4" w:space="0" w:color="auto"/>
            </w:tcBorders>
          </w:tcPr>
          <w:p w:rsidR="002F06D1" w:rsidRPr="005B27A3" w:rsidRDefault="002F06D1">
            <w:pPr>
              <w:widowControl w:val="0"/>
              <w:spacing w:after="0" w:line="240" w:lineRule="auto"/>
              <w:ind w:right="20"/>
              <w:jc w:val="center"/>
              <w:rPr>
                <w:rFonts w:ascii="Times New Roman" w:hAnsi="Times New Roman"/>
                <w:color w:val="000000"/>
                <w:sz w:val="28"/>
                <w:szCs w:val="28"/>
                <w:shd w:val="clear" w:color="auto" w:fill="FFFFFF"/>
                <w:lang w:eastAsia="uk-UA"/>
              </w:rPr>
            </w:pPr>
          </w:p>
        </w:tc>
      </w:tr>
      <w:tr w:rsidR="002F06D1" w:rsidRPr="005B27A3" w:rsidTr="00132A70">
        <w:tc>
          <w:tcPr>
            <w:tcW w:w="582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Суб’єкти господарювання</w:t>
            </w:r>
          </w:p>
        </w:tc>
        <w:tc>
          <w:tcPr>
            <w:tcW w:w="217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w:t>
            </w:r>
          </w:p>
        </w:tc>
        <w:tc>
          <w:tcPr>
            <w:tcW w:w="1625" w:type="dxa"/>
            <w:tcBorders>
              <w:top w:val="single" w:sz="4" w:space="0" w:color="auto"/>
              <w:left w:val="single" w:sz="4" w:space="0" w:color="auto"/>
              <w:bottom w:val="single" w:sz="4" w:space="0" w:color="auto"/>
              <w:right w:val="single" w:sz="4" w:space="0" w:color="auto"/>
            </w:tcBorders>
          </w:tcPr>
          <w:p w:rsidR="002F06D1" w:rsidRPr="005B27A3" w:rsidRDefault="002F06D1">
            <w:pPr>
              <w:widowControl w:val="0"/>
              <w:spacing w:after="0" w:line="240" w:lineRule="auto"/>
              <w:ind w:right="20"/>
              <w:jc w:val="center"/>
              <w:rPr>
                <w:rFonts w:ascii="Times New Roman" w:hAnsi="Times New Roman"/>
                <w:color w:val="000000"/>
                <w:sz w:val="28"/>
                <w:szCs w:val="28"/>
                <w:shd w:val="clear" w:color="auto" w:fill="FFFFFF"/>
                <w:lang w:eastAsia="uk-UA"/>
              </w:rPr>
            </w:pPr>
          </w:p>
        </w:tc>
      </w:tr>
      <w:tr w:rsidR="002F06D1" w:rsidRPr="005B27A3" w:rsidTr="00132A70">
        <w:tc>
          <w:tcPr>
            <w:tcW w:w="582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у тому числі суб’єкти малого підприємництва</w:t>
            </w:r>
          </w:p>
        </w:tc>
        <w:tc>
          <w:tcPr>
            <w:tcW w:w="2179"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ind w:right="20"/>
              <w:jc w:val="center"/>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w:t>
            </w:r>
          </w:p>
        </w:tc>
        <w:tc>
          <w:tcPr>
            <w:tcW w:w="1625" w:type="dxa"/>
            <w:tcBorders>
              <w:top w:val="single" w:sz="4" w:space="0" w:color="auto"/>
              <w:left w:val="single" w:sz="4" w:space="0" w:color="auto"/>
              <w:bottom w:val="single" w:sz="4" w:space="0" w:color="auto"/>
              <w:right w:val="single" w:sz="4" w:space="0" w:color="auto"/>
            </w:tcBorders>
          </w:tcPr>
          <w:p w:rsidR="002F06D1" w:rsidRPr="005B27A3" w:rsidRDefault="002F06D1">
            <w:pPr>
              <w:widowControl w:val="0"/>
              <w:spacing w:after="0" w:line="240" w:lineRule="auto"/>
              <w:ind w:right="20"/>
              <w:jc w:val="center"/>
              <w:rPr>
                <w:rFonts w:ascii="Times New Roman" w:hAnsi="Times New Roman"/>
                <w:color w:val="000000"/>
                <w:sz w:val="28"/>
                <w:szCs w:val="28"/>
                <w:shd w:val="clear" w:color="auto" w:fill="FFFFFF"/>
                <w:lang w:eastAsia="uk-UA"/>
              </w:rPr>
            </w:pPr>
          </w:p>
        </w:tc>
      </w:tr>
    </w:tbl>
    <w:p w:rsidR="002F06D1" w:rsidRPr="005B27A3" w:rsidRDefault="002F06D1">
      <w:pPr>
        <w:widowControl w:val="0"/>
        <w:spacing w:after="0" w:line="240" w:lineRule="auto"/>
        <w:ind w:right="23" w:firstLine="567"/>
        <w:jc w:val="both"/>
        <w:rPr>
          <w:rFonts w:ascii="Times New Roman" w:hAnsi="Times New Roman"/>
          <w:color w:val="000000"/>
          <w:sz w:val="12"/>
          <w:szCs w:val="12"/>
          <w:highlight w:val="yellow"/>
          <w:shd w:val="clear" w:color="auto" w:fill="FFFFFF"/>
          <w:lang w:eastAsia="uk-UA"/>
        </w:rPr>
      </w:pPr>
    </w:p>
    <w:p w:rsidR="002F06D1" w:rsidRPr="005B27A3" w:rsidRDefault="00A307A2">
      <w:pPr>
        <w:widowControl w:val="0"/>
        <w:spacing w:after="0" w:line="240" w:lineRule="auto"/>
        <w:ind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shd w:val="clear" w:color="auto" w:fill="FFFFFF"/>
          <w:lang w:eastAsia="uk-UA"/>
        </w:rPr>
        <w:t xml:space="preserve">Врегулювання </w:t>
      </w:r>
      <w:r w:rsidRPr="005B27A3">
        <w:rPr>
          <w:rFonts w:ascii="Times New Roman" w:hAnsi="Times New Roman"/>
          <w:color w:val="000000"/>
          <w:sz w:val="28"/>
          <w:szCs w:val="28"/>
          <w:lang w:eastAsia="uk-UA"/>
        </w:rPr>
        <w:t xml:space="preserve">зазначених </w:t>
      </w:r>
      <w:r w:rsidRPr="005B27A3">
        <w:rPr>
          <w:rFonts w:ascii="Times New Roman" w:hAnsi="Times New Roman"/>
          <w:color w:val="000000"/>
          <w:sz w:val="28"/>
          <w:szCs w:val="28"/>
          <w:shd w:val="clear" w:color="auto" w:fill="FFFFFF"/>
          <w:lang w:eastAsia="uk-UA"/>
        </w:rPr>
        <w:t xml:space="preserve">питань не може бути здійснено за допомогою </w:t>
      </w:r>
      <w:r w:rsidRPr="005B27A3">
        <w:rPr>
          <w:rFonts w:ascii="Times New Roman" w:hAnsi="Times New Roman"/>
          <w:color w:val="000000"/>
          <w:sz w:val="28"/>
          <w:szCs w:val="28"/>
          <w:lang w:eastAsia="uk-UA"/>
        </w:rPr>
        <w:t xml:space="preserve">ринкових механізмів, оскільки ця </w:t>
      </w:r>
      <w:r w:rsidRPr="005B27A3">
        <w:rPr>
          <w:rFonts w:ascii="Times New Roman" w:hAnsi="Times New Roman"/>
          <w:color w:val="000000"/>
          <w:sz w:val="28"/>
          <w:szCs w:val="28"/>
          <w:lang w:eastAsia="uk-UA"/>
        </w:rPr>
        <w:t>проблема має бути врегульована на законодавчому рівні.</w:t>
      </w:r>
    </w:p>
    <w:p w:rsidR="002F06D1" w:rsidRPr="005B27A3" w:rsidRDefault="00A307A2">
      <w:pPr>
        <w:widowControl w:val="0"/>
        <w:spacing w:after="0" w:line="240" w:lineRule="auto"/>
        <w:ind w:right="23" w:firstLine="567"/>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 xml:space="preserve">Альтернативний регуляторний акт для вирішення </w:t>
      </w:r>
      <w:bookmarkStart w:id="0" w:name="bookmark2"/>
      <w:r w:rsidRPr="005B27A3">
        <w:rPr>
          <w:rFonts w:ascii="Times New Roman" w:hAnsi="Times New Roman"/>
          <w:color w:val="000000"/>
          <w:sz w:val="28"/>
          <w:szCs w:val="28"/>
          <w:lang w:eastAsia="uk-UA"/>
        </w:rPr>
        <w:t>даної проблеми відсутній.</w:t>
      </w:r>
    </w:p>
    <w:p w:rsidR="002F06D1" w:rsidRPr="005B27A3" w:rsidRDefault="00A307A2">
      <w:pPr>
        <w:widowControl w:val="0"/>
        <w:spacing w:before="120" w:after="120" w:line="240" w:lineRule="auto"/>
        <w:ind w:right="23" w:firstLine="567"/>
        <w:jc w:val="both"/>
        <w:rPr>
          <w:rFonts w:ascii="Times New Roman" w:hAnsi="Times New Roman"/>
          <w:b/>
          <w:bCs/>
          <w:color w:val="000000"/>
          <w:sz w:val="28"/>
          <w:szCs w:val="28"/>
          <w:lang w:eastAsia="uk-UA"/>
        </w:rPr>
      </w:pPr>
      <w:r w:rsidRPr="005B27A3">
        <w:rPr>
          <w:rFonts w:ascii="Times New Roman" w:hAnsi="Times New Roman"/>
          <w:b/>
          <w:bCs/>
          <w:color w:val="000000"/>
          <w:sz w:val="28"/>
          <w:szCs w:val="28"/>
          <w:shd w:val="clear" w:color="auto" w:fill="FFFFFF"/>
          <w:lang w:eastAsia="uk-UA"/>
        </w:rPr>
        <w:t>ІІ. Цілі державного регулювання</w:t>
      </w:r>
      <w:bookmarkEnd w:id="0"/>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sz w:val="28"/>
          <w:szCs w:val="28"/>
          <w:shd w:val="clear" w:color="auto" w:fill="FFFFFF"/>
          <w:lang w:eastAsia="uk-UA"/>
        </w:rPr>
        <w:t xml:space="preserve">Метою підготовки </w:t>
      </w:r>
      <w:r w:rsidRPr="005B27A3">
        <w:rPr>
          <w:rFonts w:ascii="Times New Roman" w:hAnsi="Times New Roman"/>
          <w:color w:val="000000"/>
          <w:kern w:val="28"/>
          <w:sz w:val="28"/>
          <w:szCs w:val="28"/>
          <w:lang w:eastAsia="ru-RU"/>
        </w:rPr>
        <w:t>законопроекту є:</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виконання  вимог пункту 2 Плану заходів з реалізації Основних напрямів розвитку системи запобігання та протидії;</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виконання вимог Національної економічної стратегії;</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виконання вимог пункту 37 Плану-графіка подання на розгляд Уряду проектів нормативно-правов</w:t>
      </w:r>
      <w:r w:rsidRPr="005B27A3">
        <w:rPr>
          <w:rFonts w:ascii="Times New Roman" w:hAnsi="Times New Roman"/>
          <w:color w:val="000000"/>
          <w:kern w:val="28"/>
          <w:sz w:val="28"/>
          <w:szCs w:val="28"/>
          <w:lang w:eastAsia="ru-RU"/>
        </w:rPr>
        <w:t>их актів у сфері європейської інтеграції у 2022 році.</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 xml:space="preserve">Законопроектом пропонується передбачити: </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 xml:space="preserve">встановлення правових засад для моніторингу і контролю щодо запобігання використанню фінансової системи для відмивання грошей або фінансування тероризму згідно </w:t>
      </w:r>
      <w:r w:rsidRPr="005B27A3">
        <w:rPr>
          <w:rFonts w:ascii="Times New Roman" w:hAnsi="Times New Roman"/>
          <w:color w:val="000000"/>
          <w:kern w:val="28"/>
          <w:sz w:val="28"/>
          <w:szCs w:val="28"/>
          <w:lang w:eastAsia="ru-RU"/>
        </w:rPr>
        <w:t>з директивами Європейського парламенту і Ради (ЄС), адаптації положень Директиви (ЄС) 2018/843, імплементація якої передбачена Угодою про асоціацію, шляхом започаткування ведення Єдиного реєстру рахунків, який є державною власністю та до якого включатимуть</w:t>
      </w:r>
      <w:r w:rsidRPr="005B27A3">
        <w:rPr>
          <w:rFonts w:ascii="Times New Roman" w:hAnsi="Times New Roman"/>
          <w:color w:val="000000"/>
          <w:kern w:val="28"/>
          <w:sz w:val="28"/>
          <w:szCs w:val="28"/>
          <w:lang w:eastAsia="ru-RU"/>
        </w:rPr>
        <w:t>ся відомості про рахунки фізичних і юридичних осіб, індивідуальних банківських сейфів;</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визначення зобов’язань Національного банку України, Центрального депозитарію цінних паперів, депозитарних установ, банків, інших фінансових установ та небанківських нада</w:t>
      </w:r>
      <w:r w:rsidRPr="005B27A3">
        <w:rPr>
          <w:rFonts w:ascii="Times New Roman" w:hAnsi="Times New Roman"/>
          <w:color w:val="000000"/>
          <w:kern w:val="28"/>
          <w:sz w:val="28"/>
          <w:szCs w:val="28"/>
          <w:lang w:eastAsia="ru-RU"/>
        </w:rPr>
        <w:t>вачів платіжних послуг щодо надсилання до ДПС для включення даних до Єдиного реєстру рахунків повідомлень про відкриття/закриття рахунків, про укладення або припинення договору про надання індивідуального банківського сейфа;</w:t>
      </w:r>
    </w:p>
    <w:p w:rsidR="00C2439F"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визначення ДПС держателем та ад</w:t>
      </w:r>
      <w:r w:rsidRPr="005B27A3">
        <w:rPr>
          <w:rFonts w:ascii="Times New Roman" w:hAnsi="Times New Roman"/>
          <w:color w:val="000000"/>
          <w:kern w:val="28"/>
          <w:sz w:val="28"/>
          <w:szCs w:val="28"/>
          <w:lang w:eastAsia="ru-RU"/>
        </w:rPr>
        <w:t>міністратором Єдиного реєстру рахунків</w:t>
      </w:r>
      <w:r w:rsidR="00C2439F" w:rsidRPr="005B27A3">
        <w:rPr>
          <w:rFonts w:ascii="Times New Roman" w:hAnsi="Times New Roman"/>
          <w:color w:val="000000"/>
          <w:kern w:val="28"/>
          <w:sz w:val="28"/>
          <w:szCs w:val="28"/>
          <w:lang w:eastAsia="ru-RU"/>
        </w:rPr>
        <w:t>;</w:t>
      </w:r>
    </w:p>
    <w:p w:rsidR="002F06D1" w:rsidRPr="005B27A3" w:rsidRDefault="00C2439F">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в</w:t>
      </w:r>
      <w:r w:rsidR="00A307A2" w:rsidRPr="005B27A3">
        <w:rPr>
          <w:rFonts w:ascii="Times New Roman" w:hAnsi="Times New Roman"/>
          <w:color w:val="000000"/>
          <w:kern w:val="28"/>
          <w:sz w:val="28"/>
          <w:szCs w:val="28"/>
          <w:lang w:eastAsia="ru-RU"/>
        </w:rPr>
        <w:t xml:space="preserve">становлення </w:t>
      </w:r>
      <w:r w:rsidRPr="005B27A3">
        <w:rPr>
          <w:rFonts w:ascii="Times New Roman" w:hAnsi="Times New Roman"/>
          <w:color w:val="000000"/>
          <w:kern w:val="28"/>
          <w:sz w:val="28"/>
          <w:szCs w:val="28"/>
          <w:lang w:eastAsia="ru-RU"/>
        </w:rPr>
        <w:t>вимог щодо</w:t>
      </w:r>
      <w:r w:rsidR="00A307A2" w:rsidRPr="005B27A3">
        <w:rPr>
          <w:rFonts w:ascii="Times New Roman" w:hAnsi="Times New Roman"/>
          <w:color w:val="000000"/>
          <w:kern w:val="28"/>
          <w:sz w:val="28"/>
          <w:szCs w:val="28"/>
          <w:lang w:eastAsia="ru-RU"/>
        </w:rPr>
        <w:t xml:space="preserve"> ведення</w:t>
      </w:r>
      <w:r w:rsidRPr="005B27A3">
        <w:rPr>
          <w:rFonts w:ascii="Times New Roman" w:hAnsi="Times New Roman"/>
          <w:color w:val="000000"/>
          <w:kern w:val="28"/>
          <w:sz w:val="28"/>
          <w:szCs w:val="28"/>
          <w:lang w:eastAsia="ru-RU"/>
        </w:rPr>
        <w:t xml:space="preserve"> Єдиного реєстру рахунків</w:t>
      </w:r>
      <w:r w:rsidR="00A307A2" w:rsidRPr="005B27A3">
        <w:rPr>
          <w:rFonts w:ascii="Times New Roman" w:hAnsi="Times New Roman"/>
          <w:color w:val="000000"/>
          <w:kern w:val="28"/>
          <w:sz w:val="28"/>
          <w:szCs w:val="28"/>
          <w:lang w:eastAsia="ru-RU"/>
        </w:rPr>
        <w:t xml:space="preserve">, доступу </w:t>
      </w:r>
      <w:r w:rsidRPr="005B27A3">
        <w:rPr>
          <w:rFonts w:ascii="Times New Roman" w:hAnsi="Times New Roman"/>
          <w:color w:val="000000"/>
          <w:kern w:val="28"/>
          <w:sz w:val="28"/>
          <w:szCs w:val="28"/>
          <w:lang w:eastAsia="ru-RU"/>
        </w:rPr>
        <w:t xml:space="preserve">Держфінмоніторингу </w:t>
      </w:r>
      <w:r w:rsidR="00A307A2" w:rsidRPr="005B27A3">
        <w:rPr>
          <w:rFonts w:ascii="Times New Roman" w:hAnsi="Times New Roman"/>
          <w:color w:val="000000"/>
          <w:kern w:val="28"/>
          <w:sz w:val="28"/>
          <w:szCs w:val="28"/>
          <w:lang w:eastAsia="ru-RU"/>
        </w:rPr>
        <w:t>до даних цього реєстру</w:t>
      </w:r>
      <w:r w:rsidR="00A307A2" w:rsidRPr="005B27A3">
        <w:rPr>
          <w:rFonts w:ascii="Times New Roman" w:hAnsi="Times New Roman"/>
          <w:color w:val="000000"/>
          <w:kern w:val="28"/>
          <w:sz w:val="28"/>
          <w:szCs w:val="28"/>
          <w:lang w:eastAsia="ru-RU"/>
        </w:rPr>
        <w:t>.</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Запропонований законопроект має на меті удосконалення правового регулювання щодо виконання Укр</w:t>
      </w:r>
      <w:r w:rsidRPr="005B27A3">
        <w:rPr>
          <w:rFonts w:ascii="Times New Roman" w:hAnsi="Times New Roman"/>
          <w:color w:val="000000"/>
          <w:kern w:val="28"/>
          <w:sz w:val="28"/>
          <w:szCs w:val="28"/>
          <w:lang w:eastAsia="ru-RU"/>
        </w:rPr>
        <w:t>аїною міжнародних зобов’язань в сфері боротьби з відмиванням доходів, фінансуванням тероризму.</w:t>
      </w:r>
    </w:p>
    <w:p w:rsidR="002F06D1" w:rsidRPr="005B27A3" w:rsidRDefault="00A307A2">
      <w:pPr>
        <w:widowControl w:val="0"/>
        <w:spacing w:after="0" w:line="240" w:lineRule="auto"/>
        <w:ind w:left="20" w:right="20" w:firstLine="547"/>
        <w:jc w:val="both"/>
        <w:rPr>
          <w:rFonts w:ascii="Times New Roman" w:hAnsi="Times New Roman"/>
          <w:color w:val="000000"/>
          <w:kern w:val="28"/>
          <w:sz w:val="28"/>
          <w:szCs w:val="28"/>
          <w:lang w:eastAsia="ru-RU"/>
        </w:rPr>
      </w:pPr>
      <w:r w:rsidRPr="005B27A3">
        <w:rPr>
          <w:rFonts w:ascii="Times New Roman" w:hAnsi="Times New Roman"/>
          <w:color w:val="000000"/>
          <w:kern w:val="28"/>
          <w:sz w:val="28"/>
          <w:szCs w:val="28"/>
          <w:lang w:eastAsia="ru-RU"/>
        </w:rPr>
        <w:t xml:space="preserve">Прийняття регуляторного </w:t>
      </w:r>
      <w:proofErr w:type="spellStart"/>
      <w:r w:rsidRPr="005B27A3">
        <w:rPr>
          <w:rFonts w:ascii="Times New Roman" w:hAnsi="Times New Roman"/>
          <w:color w:val="000000"/>
          <w:kern w:val="28"/>
          <w:sz w:val="28"/>
          <w:szCs w:val="28"/>
          <w:lang w:eastAsia="ru-RU"/>
        </w:rPr>
        <w:t>акта</w:t>
      </w:r>
      <w:proofErr w:type="spellEnd"/>
      <w:r w:rsidRPr="005B27A3">
        <w:rPr>
          <w:rFonts w:ascii="Times New Roman" w:hAnsi="Times New Roman"/>
          <w:color w:val="000000"/>
          <w:kern w:val="28"/>
          <w:sz w:val="28"/>
          <w:szCs w:val="28"/>
          <w:lang w:eastAsia="ru-RU"/>
        </w:rPr>
        <w:t xml:space="preserve"> сприятиме підвищенню загального рівня прозорості фінансової системи України шляхом створення та функціонування Єдиного реєстру рахун</w:t>
      </w:r>
      <w:r w:rsidRPr="005B27A3">
        <w:rPr>
          <w:rFonts w:ascii="Times New Roman" w:hAnsi="Times New Roman"/>
          <w:color w:val="000000"/>
          <w:kern w:val="28"/>
          <w:sz w:val="28"/>
          <w:szCs w:val="28"/>
          <w:lang w:eastAsia="ru-RU"/>
        </w:rPr>
        <w:t>ків, який забезпечить вчасну ідентифікацію будь-якої фізичної чи юридичної особи, яка відкриває рахунок в банку, іншій фінансовій установі та/або небанківського надавача платіжних послуг, індивідуальний банківський сейф, а також – ідентифікацію банківських</w:t>
      </w:r>
      <w:r w:rsidRPr="005B27A3">
        <w:rPr>
          <w:rFonts w:ascii="Times New Roman" w:hAnsi="Times New Roman"/>
          <w:color w:val="000000"/>
          <w:kern w:val="28"/>
          <w:sz w:val="28"/>
          <w:szCs w:val="28"/>
          <w:lang w:eastAsia="ru-RU"/>
        </w:rPr>
        <w:t xml:space="preserve"> рахунків за IBAN та банківських сейфів.</w:t>
      </w:r>
    </w:p>
    <w:p w:rsidR="002F06D1" w:rsidRPr="005B27A3" w:rsidRDefault="00A307A2">
      <w:pPr>
        <w:widowControl w:val="0"/>
        <w:spacing w:before="120" w:after="120" w:line="240" w:lineRule="auto"/>
        <w:ind w:left="23" w:right="23" w:firstLine="459"/>
        <w:jc w:val="both"/>
        <w:rPr>
          <w:rFonts w:ascii="Times New Roman" w:hAnsi="Times New Roman"/>
          <w:b/>
          <w:bCs/>
          <w:color w:val="000000"/>
          <w:sz w:val="28"/>
          <w:szCs w:val="28"/>
          <w:shd w:val="clear" w:color="auto" w:fill="FFFFFF"/>
          <w:lang w:eastAsia="uk-UA"/>
        </w:rPr>
      </w:pPr>
      <w:r w:rsidRPr="005B27A3">
        <w:rPr>
          <w:rFonts w:ascii="Times New Roman" w:hAnsi="Times New Roman"/>
          <w:b/>
          <w:bCs/>
          <w:color w:val="000000"/>
          <w:sz w:val="28"/>
          <w:szCs w:val="28"/>
          <w:shd w:val="clear" w:color="auto" w:fill="FFFFFF"/>
          <w:lang w:eastAsia="uk-UA"/>
        </w:rPr>
        <w:t>ІІІ. Визначення та оцінка альтернативних способів досягнення цілей</w:t>
      </w:r>
    </w:p>
    <w:p w:rsidR="002F06D1" w:rsidRPr="005B27A3" w:rsidRDefault="00A307A2">
      <w:pPr>
        <w:numPr>
          <w:ilvl w:val="0"/>
          <w:numId w:val="16"/>
        </w:numPr>
        <w:tabs>
          <w:tab w:val="left" w:pos="851"/>
        </w:tabs>
        <w:spacing w:after="0" w:line="240" w:lineRule="auto"/>
        <w:ind w:left="0" w:firstLine="567"/>
        <w:jc w:val="both"/>
        <w:rPr>
          <w:rFonts w:ascii="Times New Roman" w:hAnsi="Times New Roman"/>
          <w:color w:val="000000"/>
          <w:sz w:val="28"/>
          <w:szCs w:val="28"/>
        </w:rPr>
      </w:pPr>
      <w:r w:rsidRPr="005B27A3">
        <w:rPr>
          <w:rFonts w:ascii="Times New Roman" w:hAnsi="Times New Roman"/>
          <w:color w:val="000000"/>
          <w:sz w:val="28"/>
          <w:szCs w:val="28"/>
        </w:rPr>
        <w:t>Альтернативні способи досягнення цілей державного регулювання:</w:t>
      </w:r>
    </w:p>
    <w:p w:rsidR="002F06D1" w:rsidRPr="005B27A3" w:rsidRDefault="002F06D1">
      <w:pPr>
        <w:tabs>
          <w:tab w:val="left" w:pos="851"/>
        </w:tabs>
        <w:spacing w:after="0" w:line="240" w:lineRule="auto"/>
        <w:ind w:left="567"/>
        <w:jc w:val="both"/>
        <w:rPr>
          <w:rFonts w:ascii="Times New Roman" w:hAnsi="Times New Roman"/>
          <w:color w:val="000000"/>
          <w:sz w:val="12"/>
          <w:szCs w:val="12"/>
        </w:rPr>
      </w:pPr>
    </w:p>
    <w:tbl>
      <w:tblPr>
        <w:tblW w:w="9639" w:type="dxa"/>
        <w:tblInd w:w="-5" w:type="dxa"/>
        <w:tblLook w:val="00A0" w:firstRow="1" w:lastRow="0" w:firstColumn="1" w:lastColumn="0" w:noHBand="0" w:noVBand="0"/>
      </w:tblPr>
      <w:tblGrid>
        <w:gridCol w:w="3151"/>
        <w:gridCol w:w="6488"/>
      </w:tblGrid>
      <w:tr w:rsidR="002F06D1" w:rsidRPr="005B27A3">
        <w:tc>
          <w:tcPr>
            <w:tcW w:w="3151" w:type="dxa"/>
            <w:tcBorders>
              <w:top w:val="single" w:sz="4" w:space="0" w:color="auto"/>
              <w:left w:val="single" w:sz="4" w:space="0" w:color="auto"/>
              <w:bottom w:val="single" w:sz="4" w:space="0" w:color="auto"/>
              <w:right w:val="single" w:sz="4" w:space="0" w:color="auto"/>
            </w:tcBorders>
            <w:hideMark/>
          </w:tcPr>
          <w:p w:rsidR="002F06D1" w:rsidRPr="005B27A3" w:rsidRDefault="00A307A2" w:rsidP="00C2439F">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Вид альтернативи</w:t>
            </w:r>
          </w:p>
        </w:tc>
        <w:tc>
          <w:tcPr>
            <w:tcW w:w="6488" w:type="dxa"/>
            <w:tcBorders>
              <w:top w:val="single" w:sz="4" w:space="0" w:color="auto"/>
              <w:left w:val="single" w:sz="4" w:space="0" w:color="auto"/>
              <w:bottom w:val="single" w:sz="4" w:space="0" w:color="auto"/>
              <w:right w:val="single" w:sz="4" w:space="0" w:color="auto"/>
            </w:tcBorders>
            <w:hideMark/>
          </w:tcPr>
          <w:p w:rsidR="002F06D1" w:rsidRPr="005B27A3" w:rsidRDefault="00A307A2" w:rsidP="00C2439F">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Опис альтернативи</w:t>
            </w:r>
          </w:p>
        </w:tc>
      </w:tr>
      <w:tr w:rsidR="002F06D1" w:rsidRPr="005B27A3">
        <w:tc>
          <w:tcPr>
            <w:tcW w:w="315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64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Залишення існуючої ситуації без </w:t>
            </w:r>
            <w:r w:rsidRPr="005B27A3">
              <w:rPr>
                <w:rFonts w:ascii="Times New Roman" w:hAnsi="Times New Roman"/>
                <w:color w:val="000000"/>
                <w:sz w:val="28"/>
                <w:szCs w:val="28"/>
              </w:rPr>
              <w:t>змін</w:t>
            </w:r>
          </w:p>
        </w:tc>
      </w:tr>
      <w:tr w:rsidR="002F06D1" w:rsidRPr="005B27A3">
        <w:tc>
          <w:tcPr>
            <w:tcW w:w="315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2</w:t>
            </w:r>
          </w:p>
        </w:tc>
        <w:tc>
          <w:tcPr>
            <w:tcW w:w="64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Скасування правового регулювання</w:t>
            </w:r>
          </w:p>
        </w:tc>
      </w:tr>
      <w:tr w:rsidR="002F06D1" w:rsidRPr="005B27A3">
        <w:tc>
          <w:tcPr>
            <w:tcW w:w="315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3</w:t>
            </w:r>
          </w:p>
        </w:tc>
        <w:tc>
          <w:tcPr>
            <w:tcW w:w="64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Внесення змін до чинних нормативно-правових актів</w:t>
            </w:r>
          </w:p>
        </w:tc>
      </w:tr>
    </w:tbl>
    <w:p w:rsidR="002F06D1" w:rsidRPr="005B27A3" w:rsidRDefault="00A307A2">
      <w:pPr>
        <w:spacing w:before="120"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Інші прийнятні альтернативні способи досягнення цілей державного регулювання відсутні. </w:t>
      </w:r>
    </w:p>
    <w:p w:rsidR="002F06D1" w:rsidRPr="005B27A3" w:rsidRDefault="00A307A2">
      <w:pPr>
        <w:spacing w:before="120"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2. Оцінка вибраних альтернативних способів дося</w:t>
      </w:r>
      <w:r w:rsidRPr="005B27A3">
        <w:rPr>
          <w:rFonts w:ascii="Times New Roman" w:hAnsi="Times New Roman"/>
          <w:color w:val="000000"/>
          <w:sz w:val="28"/>
          <w:szCs w:val="28"/>
        </w:rPr>
        <w:t>гнення цілей</w:t>
      </w:r>
    </w:p>
    <w:p w:rsidR="002F06D1" w:rsidRPr="005B27A3" w:rsidRDefault="00A307A2">
      <w:pPr>
        <w:spacing w:after="12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Оцінка впливу на сферу інтересів держави</w:t>
      </w:r>
    </w:p>
    <w:tbl>
      <w:tblPr>
        <w:tblW w:w="9639" w:type="dxa"/>
        <w:tblInd w:w="-5" w:type="dxa"/>
        <w:tblLook w:val="04A0" w:firstRow="1" w:lastRow="0" w:firstColumn="1" w:lastColumn="0" w:noHBand="0" w:noVBand="1"/>
      </w:tblPr>
      <w:tblGrid>
        <w:gridCol w:w="2127"/>
        <w:gridCol w:w="3214"/>
        <w:gridCol w:w="4298"/>
      </w:tblGrid>
      <w:tr w:rsidR="002F06D1" w:rsidRPr="005B27A3">
        <w:trPr>
          <w:trHeight w:val="519"/>
        </w:trPr>
        <w:tc>
          <w:tcPr>
            <w:tcW w:w="2127"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Вид альтернативи</w:t>
            </w:r>
          </w:p>
        </w:tc>
        <w:tc>
          <w:tcPr>
            <w:tcW w:w="321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Вигоди</w:t>
            </w:r>
          </w:p>
        </w:tc>
        <w:tc>
          <w:tcPr>
            <w:tcW w:w="429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Витрати</w:t>
            </w:r>
          </w:p>
        </w:tc>
      </w:tr>
      <w:tr w:rsidR="002F06D1" w:rsidRPr="005B27A3">
        <w:trPr>
          <w:trHeight w:val="519"/>
        </w:trPr>
        <w:tc>
          <w:tcPr>
            <w:tcW w:w="2127"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3214"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32A70">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429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Негативний вплив:</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 відсутність правового регулювання процесу моніторингу і контролю щодо запобігання використанню фінансової системи для відмивання </w:t>
            </w:r>
            <w:r w:rsidRPr="005B27A3">
              <w:rPr>
                <w:rFonts w:ascii="Times New Roman" w:hAnsi="Times New Roman"/>
                <w:color w:val="000000"/>
                <w:sz w:val="28"/>
                <w:szCs w:val="28"/>
              </w:rPr>
              <w:t>грошей або фінансування тероризму, відповідного вимогам Директиви (ЄС) 2018/843, імплементація якої передбачена Угодою про асоціацію;</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незабезпечення імплементації в законодавство України міжнародних стандартів, які були прийнятті Європейським Союзом;</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в</w:t>
            </w:r>
            <w:r w:rsidRPr="005B27A3">
              <w:rPr>
                <w:rFonts w:ascii="Times New Roman" w:hAnsi="Times New Roman"/>
                <w:color w:val="000000"/>
                <w:sz w:val="28"/>
                <w:szCs w:val="28"/>
              </w:rPr>
              <w:t>ідсутність правових підстав для запровадження ведення Єдиного реєстру рахунків, який</w:t>
            </w:r>
            <w:r w:rsidRPr="005B27A3">
              <w:rPr>
                <w:rFonts w:ascii="Times New Roman" w:hAnsi="Times New Roman"/>
                <w:color w:val="000000"/>
                <w:sz w:val="28"/>
                <w:szCs w:val="28"/>
              </w:rPr>
              <w:t xml:space="preserve"> містить відомості про рахунки фізичних і юридичних осіб, індивідуальні банківські сейфи;</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недостатнє правове забезпечення для здійснення оцінки заходів щодо зап</w:t>
            </w:r>
            <w:r w:rsidRPr="005B27A3">
              <w:rPr>
                <w:rFonts w:ascii="Times New Roman" w:hAnsi="Times New Roman"/>
                <w:color w:val="000000"/>
                <w:sz w:val="28"/>
                <w:szCs w:val="28"/>
              </w:rPr>
              <w:t>обігання легалізації (відмиванню) доходів, одержаних злочинним шляхом.</w:t>
            </w:r>
          </w:p>
        </w:tc>
      </w:tr>
      <w:tr w:rsidR="002F06D1" w:rsidRPr="005B27A3">
        <w:trPr>
          <w:trHeight w:val="519"/>
        </w:trPr>
        <w:tc>
          <w:tcPr>
            <w:tcW w:w="2127"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2</w:t>
            </w:r>
          </w:p>
        </w:tc>
        <w:tc>
          <w:tcPr>
            <w:tcW w:w="3214"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32A70">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429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Негативний вплив:</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неефективний контроль щодо запобігання використанню фінансової системи для відмивання грошей або фінансування тероризму;</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відсутність Єдиного реєс</w:t>
            </w:r>
            <w:r w:rsidRPr="005B27A3">
              <w:rPr>
                <w:rFonts w:ascii="Times New Roman" w:hAnsi="Times New Roman"/>
                <w:color w:val="000000"/>
                <w:sz w:val="28"/>
                <w:szCs w:val="28"/>
              </w:rPr>
              <w:t>тру рахунків не дозволить створити єдиний централізований ресурс даних про рахунки фізичних і юридичних осіб, індивідуальні банківські сейфи, що не дозволить ефективно здійснювати моніторинг і контроль для запобігання використанню фінансової системи для ві</w:t>
            </w:r>
            <w:r w:rsidRPr="005B27A3">
              <w:rPr>
                <w:rFonts w:ascii="Times New Roman" w:hAnsi="Times New Roman"/>
                <w:color w:val="000000"/>
                <w:sz w:val="28"/>
                <w:szCs w:val="28"/>
              </w:rPr>
              <w:t>дмивання грошей або фінансування тероризму;</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погіршення позиції України у міжнародних рейтингах щодо виконання міжнародних зобов’язань.</w:t>
            </w:r>
          </w:p>
        </w:tc>
      </w:tr>
      <w:tr w:rsidR="002F06D1" w:rsidRPr="005B27A3">
        <w:trPr>
          <w:trHeight w:val="519"/>
        </w:trPr>
        <w:tc>
          <w:tcPr>
            <w:tcW w:w="2127"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3</w:t>
            </w:r>
          </w:p>
        </w:tc>
        <w:tc>
          <w:tcPr>
            <w:tcW w:w="321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Позитивний вплив:</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 правове регулювання процесу моніторингу і контролю щодо запобігання використанню </w:t>
            </w:r>
            <w:r w:rsidRPr="005B27A3">
              <w:rPr>
                <w:rFonts w:ascii="Times New Roman" w:hAnsi="Times New Roman"/>
                <w:color w:val="000000"/>
                <w:sz w:val="28"/>
                <w:szCs w:val="28"/>
              </w:rPr>
              <w:t>фінансової системи для відмивання грошей або фінансування тероризму, відповідно</w:t>
            </w:r>
            <w:r w:rsidR="001D2501" w:rsidRPr="005B27A3">
              <w:rPr>
                <w:rFonts w:ascii="Times New Roman" w:hAnsi="Times New Roman"/>
                <w:color w:val="000000"/>
                <w:sz w:val="28"/>
                <w:szCs w:val="28"/>
              </w:rPr>
              <w:t>го</w:t>
            </w:r>
            <w:r w:rsidRPr="005B27A3">
              <w:rPr>
                <w:rFonts w:ascii="Times New Roman" w:hAnsi="Times New Roman"/>
                <w:color w:val="000000"/>
                <w:sz w:val="28"/>
                <w:szCs w:val="28"/>
              </w:rPr>
              <w:t xml:space="preserve"> вимогам Директиви (ЄС) 2018/843, імплементація якої передбачена Угодою про асоціацію;</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імплементація в законодавство України міжнародних стандартів, які були прийнятті Європ</w:t>
            </w:r>
            <w:r w:rsidRPr="005B27A3">
              <w:rPr>
                <w:rFonts w:ascii="Times New Roman" w:hAnsi="Times New Roman"/>
                <w:color w:val="000000"/>
                <w:sz w:val="28"/>
                <w:szCs w:val="28"/>
              </w:rPr>
              <w:t>ейським Союзом;</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створення правових підстав для запровадження ведення Єдиного реєстру</w:t>
            </w:r>
            <w:r w:rsidR="001D2501" w:rsidRPr="005B27A3">
              <w:rPr>
                <w:rFonts w:ascii="Times New Roman" w:hAnsi="Times New Roman"/>
                <w:color w:val="000000"/>
                <w:sz w:val="28"/>
                <w:szCs w:val="28"/>
              </w:rPr>
              <w:t xml:space="preserve"> рахунків</w:t>
            </w:r>
            <w:r w:rsidRPr="005B27A3">
              <w:rPr>
                <w:rFonts w:ascii="Times New Roman" w:hAnsi="Times New Roman"/>
                <w:color w:val="000000"/>
                <w:sz w:val="28"/>
                <w:szCs w:val="28"/>
              </w:rPr>
              <w:t>, до якого включатимуться відомості про рахунки фізичних і юридичних осіб,</w:t>
            </w:r>
            <w:r w:rsidR="001D2501" w:rsidRPr="005B27A3">
              <w:rPr>
                <w:rFonts w:ascii="Times New Roman" w:hAnsi="Times New Roman"/>
                <w:color w:val="000000"/>
                <w:sz w:val="28"/>
                <w:szCs w:val="28"/>
              </w:rPr>
              <w:t xml:space="preserve"> індивідуальні банківські сейфи;</w:t>
            </w:r>
            <w:r w:rsidRPr="005B27A3">
              <w:rPr>
                <w:rFonts w:ascii="Times New Roman" w:hAnsi="Times New Roman"/>
                <w:color w:val="000000"/>
                <w:sz w:val="28"/>
                <w:szCs w:val="28"/>
              </w:rPr>
              <w:t xml:space="preserve"> </w:t>
            </w:r>
            <w:r w:rsidR="00132A70" w:rsidRPr="005B27A3">
              <w:rPr>
                <w:rFonts w:ascii="Times New Roman" w:hAnsi="Times New Roman"/>
                <w:color w:val="000000"/>
                <w:sz w:val="28"/>
                <w:szCs w:val="28"/>
              </w:rPr>
              <w:t xml:space="preserve">- врегулювання </w:t>
            </w:r>
            <w:r w:rsidRPr="005B27A3">
              <w:rPr>
                <w:rFonts w:ascii="Times New Roman" w:hAnsi="Times New Roman"/>
                <w:color w:val="000000"/>
                <w:sz w:val="28"/>
                <w:szCs w:val="28"/>
              </w:rPr>
              <w:t>механізмів кон</w:t>
            </w:r>
            <w:r w:rsidRPr="005B27A3">
              <w:rPr>
                <w:rFonts w:ascii="Times New Roman" w:hAnsi="Times New Roman"/>
                <w:color w:val="000000"/>
                <w:sz w:val="28"/>
                <w:szCs w:val="28"/>
              </w:rPr>
              <w:t>тролю щодо запобігання використанню фінансової системи для відмивання грошей або фінансування тероризму із використанням відомостей Єдиного реєстру рахунків;</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підвищення загального рівня прозорості фінансової системи України;</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покращення позиції України у міжнародних рейтингах щодо виконання міжнародних зобов’язань.</w:t>
            </w:r>
          </w:p>
        </w:tc>
        <w:tc>
          <w:tcPr>
            <w:tcW w:w="4298"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D2501">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Фінансове забезпечення створення програмно-технічних засобів</w:t>
            </w:r>
            <w:r w:rsidRPr="005B27A3">
              <w:rPr>
                <w:rFonts w:ascii="Times New Roman" w:hAnsi="Times New Roman"/>
                <w:color w:val="000000"/>
                <w:sz w:val="28"/>
                <w:szCs w:val="28"/>
              </w:rPr>
              <w:t xml:space="preserve"> Єдиного реєстру рахунків, а також його функціонування </w:t>
            </w:r>
            <w:r w:rsidRPr="005B27A3">
              <w:rPr>
                <w:rFonts w:ascii="Times New Roman" w:hAnsi="Times New Roman"/>
                <w:color w:val="000000"/>
                <w:sz w:val="28"/>
                <w:szCs w:val="28"/>
              </w:rPr>
              <w:t>здійснюється за рахунок бюджетних коштів.</w:t>
            </w:r>
          </w:p>
        </w:tc>
      </w:tr>
    </w:tbl>
    <w:p w:rsidR="002F06D1" w:rsidRPr="005B27A3" w:rsidRDefault="002F06D1">
      <w:pPr>
        <w:spacing w:after="120" w:line="240" w:lineRule="auto"/>
        <w:ind w:firstLine="567"/>
        <w:jc w:val="both"/>
        <w:rPr>
          <w:rFonts w:ascii="Times New Roman" w:hAnsi="Times New Roman"/>
          <w:color w:val="000000"/>
          <w:sz w:val="12"/>
          <w:szCs w:val="12"/>
          <w:highlight w:val="yellow"/>
        </w:rPr>
      </w:pPr>
    </w:p>
    <w:p w:rsidR="002F06D1" w:rsidRPr="005B27A3" w:rsidRDefault="00A307A2">
      <w:pPr>
        <w:spacing w:after="12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Оцінка впливу на сферу інтересів громадян</w:t>
      </w:r>
    </w:p>
    <w:tbl>
      <w:tblPr>
        <w:tblW w:w="9639" w:type="dxa"/>
        <w:tblInd w:w="-5" w:type="dxa"/>
        <w:tblLook w:val="04A0" w:firstRow="1" w:lastRow="0" w:firstColumn="1" w:lastColumn="0" w:noHBand="0" w:noVBand="1"/>
      </w:tblPr>
      <w:tblGrid>
        <w:gridCol w:w="2694"/>
        <w:gridCol w:w="3543"/>
        <w:gridCol w:w="3402"/>
      </w:tblGrid>
      <w:tr w:rsidR="002F06D1" w:rsidRPr="005B27A3">
        <w:trPr>
          <w:trHeight w:val="519"/>
        </w:trPr>
        <w:tc>
          <w:tcPr>
            <w:tcW w:w="269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Вид альтернативи</w:t>
            </w:r>
          </w:p>
        </w:tc>
        <w:tc>
          <w:tcPr>
            <w:tcW w:w="3543"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Вигоди</w:t>
            </w:r>
          </w:p>
        </w:tc>
        <w:tc>
          <w:tcPr>
            <w:tcW w:w="340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Витрати</w:t>
            </w:r>
          </w:p>
        </w:tc>
      </w:tr>
      <w:tr w:rsidR="002F06D1" w:rsidRPr="005B27A3">
        <w:trPr>
          <w:trHeight w:val="519"/>
        </w:trPr>
        <w:tc>
          <w:tcPr>
            <w:tcW w:w="269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3543"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32A70">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32A70">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r>
      <w:tr w:rsidR="002F06D1" w:rsidRPr="005B27A3">
        <w:trPr>
          <w:trHeight w:val="519"/>
        </w:trPr>
        <w:tc>
          <w:tcPr>
            <w:tcW w:w="269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2</w:t>
            </w:r>
          </w:p>
        </w:tc>
        <w:tc>
          <w:tcPr>
            <w:tcW w:w="3543" w:type="dxa"/>
            <w:tcBorders>
              <w:top w:val="single" w:sz="4" w:space="0" w:color="auto"/>
              <w:left w:val="single" w:sz="4" w:space="0" w:color="auto"/>
              <w:bottom w:val="single" w:sz="4" w:space="0" w:color="auto"/>
              <w:right w:val="single" w:sz="4" w:space="0" w:color="auto"/>
            </w:tcBorders>
            <w:hideMark/>
          </w:tcPr>
          <w:p w:rsidR="002F06D1" w:rsidRPr="005B27A3" w:rsidRDefault="00A307A2" w:rsidP="00132A70">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Негативний вплив на:</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 економічний рівень </w:t>
            </w:r>
            <w:r w:rsidRPr="005B27A3">
              <w:rPr>
                <w:rFonts w:ascii="Times New Roman" w:hAnsi="Times New Roman"/>
                <w:color w:val="000000"/>
                <w:sz w:val="28"/>
                <w:szCs w:val="28"/>
              </w:rPr>
              <w:t>життя.</w:t>
            </w:r>
          </w:p>
        </w:tc>
      </w:tr>
      <w:tr w:rsidR="002F06D1" w:rsidRPr="005B27A3">
        <w:trPr>
          <w:trHeight w:val="519"/>
        </w:trPr>
        <w:tc>
          <w:tcPr>
            <w:tcW w:w="2694"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3</w:t>
            </w:r>
          </w:p>
        </w:tc>
        <w:tc>
          <w:tcPr>
            <w:tcW w:w="3543"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Позитивний вплив на:</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економічний рівень життя.</w:t>
            </w:r>
          </w:p>
        </w:tc>
        <w:tc>
          <w:tcPr>
            <w:tcW w:w="340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Відсутні (положеннями законопроекту не встановлені вимоги (обов’язки, права) для громадян).</w:t>
            </w:r>
          </w:p>
        </w:tc>
      </w:tr>
    </w:tbl>
    <w:p w:rsidR="002F06D1" w:rsidRPr="005B27A3" w:rsidRDefault="002F06D1">
      <w:pPr>
        <w:spacing w:after="120" w:line="240" w:lineRule="auto"/>
        <w:ind w:firstLine="567"/>
        <w:jc w:val="both"/>
        <w:rPr>
          <w:rFonts w:ascii="Times New Roman" w:hAnsi="Times New Roman"/>
          <w:color w:val="000000"/>
          <w:sz w:val="12"/>
          <w:szCs w:val="12"/>
        </w:rPr>
      </w:pPr>
    </w:p>
    <w:p w:rsidR="002F06D1" w:rsidRPr="005B27A3" w:rsidRDefault="00A307A2">
      <w:pPr>
        <w:tabs>
          <w:tab w:val="left" w:pos="851"/>
        </w:tabs>
        <w:spacing w:after="120" w:line="240" w:lineRule="auto"/>
        <w:ind w:firstLine="567"/>
        <w:rPr>
          <w:rFonts w:ascii="Times New Roman" w:hAnsi="Times New Roman"/>
          <w:color w:val="000000"/>
          <w:sz w:val="28"/>
          <w:szCs w:val="28"/>
        </w:rPr>
      </w:pPr>
      <w:r w:rsidRPr="005B27A3">
        <w:rPr>
          <w:rFonts w:ascii="Times New Roman" w:hAnsi="Times New Roman"/>
          <w:color w:val="000000"/>
          <w:sz w:val="28"/>
          <w:szCs w:val="28"/>
        </w:rPr>
        <w:t>Оцінка впливу на сферу інтересів суб’єктів господарювання.</w:t>
      </w:r>
    </w:p>
    <w:tbl>
      <w:tblPr>
        <w:tblpPr w:leftFromText="180" w:rightFromText="180" w:vertAnchor="text" w:horzAnchor="margin" w:tblpX="-10" w:tblpY="-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1"/>
        <w:gridCol w:w="1134"/>
        <w:gridCol w:w="1276"/>
        <w:gridCol w:w="1265"/>
        <w:gridCol w:w="1276"/>
        <w:gridCol w:w="997"/>
      </w:tblGrid>
      <w:tr w:rsidR="002F06D1" w:rsidRPr="005B27A3" w:rsidTr="003215BD">
        <w:trPr>
          <w:tblHeader/>
        </w:trPr>
        <w:tc>
          <w:tcPr>
            <w:tcW w:w="36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b/>
                <w:color w:val="000000"/>
                <w:sz w:val="28"/>
                <w:szCs w:val="28"/>
              </w:rPr>
              <w:t>Показник</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b/>
                <w:color w:val="000000"/>
                <w:sz w:val="28"/>
                <w:szCs w:val="28"/>
              </w:rPr>
            </w:pPr>
            <w:r w:rsidRPr="005B27A3">
              <w:rPr>
                <w:rFonts w:ascii="Times New Roman" w:hAnsi="Times New Roman"/>
                <w:b/>
                <w:color w:val="000000"/>
                <w:sz w:val="28"/>
                <w:szCs w:val="28"/>
              </w:rPr>
              <w:t>Великі</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b/>
                <w:color w:val="000000"/>
                <w:sz w:val="28"/>
                <w:szCs w:val="28"/>
              </w:rPr>
            </w:pPr>
            <w:r w:rsidRPr="005B27A3">
              <w:rPr>
                <w:rFonts w:ascii="Times New Roman" w:hAnsi="Times New Roman"/>
                <w:b/>
                <w:color w:val="000000"/>
                <w:sz w:val="28"/>
                <w:szCs w:val="28"/>
              </w:rPr>
              <w:t>Середні</w:t>
            </w:r>
          </w:p>
        </w:tc>
        <w:tc>
          <w:tcPr>
            <w:tcW w:w="126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b/>
                <w:color w:val="000000"/>
                <w:sz w:val="28"/>
                <w:szCs w:val="28"/>
              </w:rPr>
            </w:pPr>
            <w:r w:rsidRPr="005B27A3">
              <w:rPr>
                <w:rFonts w:ascii="Times New Roman" w:hAnsi="Times New Roman"/>
                <w:b/>
                <w:color w:val="000000"/>
                <w:sz w:val="28"/>
                <w:szCs w:val="28"/>
              </w:rPr>
              <w:t>Малі**</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b/>
                <w:color w:val="000000"/>
                <w:sz w:val="28"/>
                <w:szCs w:val="28"/>
              </w:rPr>
            </w:pPr>
            <w:r w:rsidRPr="005B27A3">
              <w:rPr>
                <w:rFonts w:ascii="Times New Roman" w:hAnsi="Times New Roman"/>
                <w:b/>
                <w:color w:val="000000"/>
                <w:sz w:val="28"/>
                <w:szCs w:val="28"/>
              </w:rPr>
              <w:t>Мікро</w:t>
            </w:r>
          </w:p>
        </w:tc>
        <w:tc>
          <w:tcPr>
            <w:tcW w:w="99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2F06D1" w:rsidRPr="005B27A3" w:rsidRDefault="00A307A2">
            <w:pPr>
              <w:spacing w:after="0" w:line="240" w:lineRule="auto"/>
              <w:jc w:val="center"/>
              <w:rPr>
                <w:rFonts w:ascii="Times New Roman" w:hAnsi="Times New Roman"/>
                <w:b/>
                <w:color w:val="000000"/>
                <w:sz w:val="28"/>
                <w:szCs w:val="28"/>
              </w:rPr>
            </w:pPr>
            <w:r w:rsidRPr="005B27A3">
              <w:rPr>
                <w:rFonts w:ascii="Times New Roman" w:hAnsi="Times New Roman"/>
                <w:b/>
                <w:color w:val="000000"/>
                <w:sz w:val="28"/>
                <w:szCs w:val="28"/>
              </w:rPr>
              <w:t>Разом</w:t>
            </w:r>
          </w:p>
        </w:tc>
      </w:tr>
      <w:tr w:rsidR="002F06D1" w:rsidRPr="005B27A3" w:rsidTr="003215BD">
        <w:tc>
          <w:tcPr>
            <w:tcW w:w="3691" w:type="dxa"/>
            <w:tcBorders>
              <w:top w:val="single" w:sz="4" w:space="0" w:color="000000"/>
              <w:left w:val="single" w:sz="4" w:space="0" w:color="000000"/>
              <w:bottom w:val="single" w:sz="4" w:space="0" w:color="000000"/>
              <w:right w:val="single" w:sz="4" w:space="0" w:color="000000"/>
            </w:tcBorders>
            <w:hideMark/>
          </w:tcPr>
          <w:p w:rsidR="002F06D1" w:rsidRPr="005B27A3" w:rsidRDefault="00A307A2" w:rsidP="003215BD">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Кількість суб’єктів господарювання, що підпадають під дію регулювання одиниць</w:t>
            </w:r>
            <w:r w:rsidRPr="005B27A3">
              <w:rPr>
                <w:rFonts w:ascii="Times New Roman" w:hAnsi="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32</w:t>
            </w: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186</w:t>
            </w:r>
          </w:p>
        </w:tc>
      </w:tr>
      <w:tr w:rsidR="002F06D1" w:rsidRPr="005B27A3" w:rsidTr="003215BD">
        <w:tc>
          <w:tcPr>
            <w:tcW w:w="3691" w:type="dxa"/>
            <w:tcBorders>
              <w:top w:val="single" w:sz="4" w:space="0" w:color="000000"/>
              <w:left w:val="single" w:sz="4" w:space="0" w:color="000000"/>
              <w:bottom w:val="single" w:sz="4" w:space="0" w:color="000000"/>
              <w:right w:val="single" w:sz="4" w:space="0" w:color="000000"/>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Питома вага групи у загальній кількості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4,8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17,2</w:t>
            </w: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78,0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0</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100</w:t>
            </w:r>
          </w:p>
        </w:tc>
      </w:tr>
    </w:tbl>
    <w:p w:rsidR="002F06D1" w:rsidRPr="005B27A3" w:rsidRDefault="002F06D1">
      <w:pPr>
        <w:spacing w:after="0" w:line="240" w:lineRule="auto"/>
        <w:ind w:firstLine="567"/>
        <w:jc w:val="both"/>
        <w:rPr>
          <w:rFonts w:ascii="Times New Roman" w:hAnsi="Times New Roman"/>
          <w:color w:val="000000"/>
          <w:sz w:val="12"/>
          <w:szCs w:val="12"/>
        </w:rPr>
      </w:pP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 інформація за 2021 рік з </w:t>
      </w:r>
      <w:r w:rsidRPr="005B27A3">
        <w:rPr>
          <w:rFonts w:ascii="Times New Roman" w:hAnsi="Times New Roman"/>
          <w:color w:val="000000"/>
          <w:sz w:val="28"/>
          <w:szCs w:val="28"/>
        </w:rPr>
        <w:t xml:space="preserve">офіційного сайту </w:t>
      </w:r>
      <w:r w:rsidR="003215BD" w:rsidRPr="005B27A3">
        <w:rPr>
          <w:rFonts w:ascii="Times New Roman" w:hAnsi="Times New Roman"/>
          <w:color w:val="000000"/>
          <w:sz w:val="28"/>
          <w:szCs w:val="28"/>
        </w:rPr>
        <w:t>Національного банку України</w:t>
      </w:r>
      <w:r w:rsidRPr="005B27A3">
        <w:rPr>
          <w:rFonts w:ascii="Times New Roman" w:hAnsi="Times New Roman"/>
          <w:color w:val="000000"/>
          <w:sz w:val="28"/>
          <w:szCs w:val="28"/>
        </w:rPr>
        <w:t xml:space="preserve"> «кількість структурних підрозділів банків» (</w:t>
      </w:r>
      <w:hyperlink r:id="rId8">
        <w:r w:rsidRPr="005B27A3">
          <w:rPr>
            <w:rFonts w:ascii="Times New Roman" w:hAnsi="Times New Roman"/>
            <w:color w:val="000000"/>
            <w:sz w:val="28"/>
            <w:szCs w:val="28"/>
            <w:u w:val="single"/>
          </w:rPr>
          <w:t>https://bank.gov.ua/ua/statistic/supervision-statist</w:t>
        </w:r>
      </w:hyperlink>
      <w:r w:rsidRPr="005B27A3">
        <w:rPr>
          <w:rFonts w:ascii="Times New Roman" w:hAnsi="Times New Roman"/>
          <w:color w:val="000000"/>
          <w:sz w:val="28"/>
          <w:szCs w:val="28"/>
        </w:rPr>
        <w:t xml:space="preserve">). </w:t>
      </w:r>
      <w:r w:rsidRPr="005B27A3">
        <w:rPr>
          <w:rFonts w:ascii="Times New Roman" w:hAnsi="Times New Roman"/>
          <w:iCs/>
          <w:color w:val="000000"/>
          <w:sz w:val="28"/>
          <w:szCs w:val="28"/>
        </w:rPr>
        <w:t>Результати рейтингу банків станом на</w:t>
      </w:r>
      <w:r w:rsidRPr="005B27A3">
        <w:rPr>
          <w:rFonts w:ascii="Times New Roman" w:hAnsi="Times New Roman"/>
          <w:iCs/>
          <w:color w:val="000000"/>
          <w:sz w:val="28"/>
          <w:szCs w:val="28"/>
        </w:rPr>
        <w:t xml:space="preserve"> 1 півріччя 2020 року (http://icps.com.ua/reytynh-bankiv-ukrayiny---rezultaty-pivrichchya-2020-roku/). Інформація за 2021 рік з офіційного сайту Національної комісії з цінних паперів та фондового ринку «кількість депозитарних установ» https://www.nssmc.gov</w:t>
      </w:r>
      <w:r w:rsidRPr="005B27A3">
        <w:rPr>
          <w:rFonts w:ascii="Times New Roman" w:hAnsi="Times New Roman"/>
          <w:iCs/>
          <w:color w:val="000000"/>
          <w:sz w:val="28"/>
          <w:szCs w:val="28"/>
        </w:rPr>
        <w:t>.ua/register/litsenzuvannia-ta-reestratsiia/custuodians/.</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 з урахуванням </w:t>
      </w:r>
      <w:proofErr w:type="spellStart"/>
      <w:r w:rsidRPr="005B27A3">
        <w:rPr>
          <w:rFonts w:ascii="Times New Roman" w:hAnsi="Times New Roman"/>
          <w:color w:val="000000"/>
          <w:sz w:val="28"/>
          <w:szCs w:val="28"/>
        </w:rPr>
        <w:t>мікропідприємництва</w:t>
      </w:r>
      <w:proofErr w:type="spellEnd"/>
      <w:r w:rsidRPr="005B27A3">
        <w:rPr>
          <w:rFonts w:ascii="Times New Roman" w:hAnsi="Times New Roman"/>
          <w:color w:val="000000"/>
          <w:sz w:val="28"/>
          <w:szCs w:val="28"/>
        </w:rPr>
        <w:t>.</w:t>
      </w:r>
    </w:p>
    <w:p w:rsidR="001D2501" w:rsidRPr="005B27A3" w:rsidRDefault="001D2501">
      <w:pPr>
        <w:spacing w:after="0" w:line="240" w:lineRule="auto"/>
        <w:ind w:firstLine="567"/>
        <w:jc w:val="both"/>
        <w:rPr>
          <w:rFonts w:ascii="Times New Roman" w:hAnsi="Times New Roman"/>
          <w:color w:val="000000"/>
          <w:sz w:val="12"/>
          <w:szCs w:val="12"/>
        </w:rPr>
      </w:pPr>
    </w:p>
    <w:tbl>
      <w:tblPr>
        <w:tblW w:w="9639" w:type="dxa"/>
        <w:tblInd w:w="-8" w:type="dxa"/>
        <w:tblLook w:val="00A0" w:firstRow="1" w:lastRow="0" w:firstColumn="1" w:lastColumn="0" w:noHBand="0" w:noVBand="0"/>
      </w:tblPr>
      <w:tblGrid>
        <w:gridCol w:w="2127"/>
        <w:gridCol w:w="2663"/>
        <w:gridCol w:w="4849"/>
      </w:tblGrid>
      <w:tr w:rsidR="002F06D1" w:rsidRPr="005B27A3" w:rsidTr="001D2501">
        <w:tc>
          <w:tcPr>
            <w:tcW w:w="2127" w:type="dxa"/>
            <w:tcBorders>
              <w:top w:val="outset" w:sz="6"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Вид альтернативи</w:t>
            </w:r>
          </w:p>
        </w:tc>
        <w:tc>
          <w:tcPr>
            <w:tcW w:w="2663"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Вигоди</w:t>
            </w:r>
          </w:p>
        </w:tc>
        <w:tc>
          <w:tcPr>
            <w:tcW w:w="4849"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center"/>
              <w:rPr>
                <w:rFonts w:ascii="Times New Roman" w:hAnsi="Times New Roman"/>
                <w:b/>
                <w:bCs/>
                <w:color w:val="000000"/>
                <w:sz w:val="28"/>
                <w:szCs w:val="28"/>
              </w:rPr>
            </w:pPr>
            <w:r w:rsidRPr="005B27A3">
              <w:rPr>
                <w:rFonts w:ascii="Times New Roman" w:hAnsi="Times New Roman"/>
                <w:b/>
                <w:bCs/>
                <w:color w:val="000000"/>
                <w:sz w:val="28"/>
                <w:szCs w:val="28"/>
              </w:rPr>
              <w:t>Витрати</w:t>
            </w:r>
          </w:p>
        </w:tc>
      </w:tr>
      <w:tr w:rsidR="002F06D1" w:rsidRPr="005B27A3" w:rsidTr="001D2501">
        <w:tc>
          <w:tcPr>
            <w:tcW w:w="2127" w:type="dxa"/>
            <w:tcBorders>
              <w:top w:val="outset" w:sz="6"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2663" w:type="dxa"/>
            <w:tcBorders>
              <w:top w:val="outset" w:sz="6" w:space="0" w:color="auto"/>
              <w:left w:val="outset" w:sz="6" w:space="0" w:color="auto"/>
              <w:bottom w:val="outset" w:sz="6" w:space="0" w:color="auto"/>
              <w:right w:val="outset" w:sz="6" w:space="0" w:color="auto"/>
            </w:tcBorders>
            <w:hideMark/>
          </w:tcPr>
          <w:p w:rsidR="002F06D1" w:rsidRPr="005B27A3" w:rsidRDefault="00A307A2" w:rsidP="003215BD">
            <w:pPr>
              <w:widowControl w:val="0"/>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4849"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Внаслідок недостатньої </w:t>
            </w:r>
            <w:proofErr w:type="spellStart"/>
            <w:r w:rsidR="001D2501" w:rsidRPr="005B27A3">
              <w:rPr>
                <w:rFonts w:ascii="Times New Roman" w:hAnsi="Times New Roman"/>
                <w:color w:val="000000"/>
                <w:sz w:val="28"/>
                <w:szCs w:val="28"/>
              </w:rPr>
              <w:t>в</w:t>
            </w:r>
            <w:r w:rsidRPr="005B27A3">
              <w:rPr>
                <w:rFonts w:ascii="Times New Roman" w:hAnsi="Times New Roman"/>
                <w:color w:val="000000"/>
                <w:sz w:val="28"/>
                <w:szCs w:val="28"/>
              </w:rPr>
              <w:t>регульованості</w:t>
            </w:r>
            <w:proofErr w:type="spellEnd"/>
            <w:r w:rsidRPr="005B27A3">
              <w:rPr>
                <w:rFonts w:ascii="Times New Roman" w:hAnsi="Times New Roman"/>
                <w:color w:val="000000"/>
                <w:sz w:val="28"/>
                <w:szCs w:val="28"/>
              </w:rPr>
              <w:t xml:space="preserve"> процесу моніторингу і контролю щодо запобігання використанню фінансової</w:t>
            </w:r>
            <w:r w:rsidRPr="005B27A3">
              <w:rPr>
                <w:rFonts w:ascii="Times New Roman" w:hAnsi="Times New Roman"/>
                <w:color w:val="000000"/>
                <w:sz w:val="28"/>
                <w:szCs w:val="28"/>
              </w:rPr>
              <w:t xml:space="preserve"> системи для відмивання грошей або фінансування тероризму, можливий негативний вплив на:</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продуктивність та конкурентоспроможність суб’єктів господарювання;</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інновації та розвиток;</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доступ до фінансів.</w:t>
            </w:r>
          </w:p>
        </w:tc>
      </w:tr>
      <w:tr w:rsidR="002F06D1" w:rsidRPr="005B27A3" w:rsidTr="001D2501">
        <w:tc>
          <w:tcPr>
            <w:tcW w:w="2127" w:type="dxa"/>
            <w:tcBorders>
              <w:top w:val="outset" w:sz="6"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2</w:t>
            </w:r>
          </w:p>
        </w:tc>
        <w:tc>
          <w:tcPr>
            <w:tcW w:w="2663" w:type="dxa"/>
            <w:tcBorders>
              <w:top w:val="outset" w:sz="6" w:space="0" w:color="auto"/>
              <w:left w:val="outset" w:sz="6" w:space="0" w:color="auto"/>
              <w:bottom w:val="outset" w:sz="6" w:space="0" w:color="auto"/>
              <w:right w:val="outset" w:sz="6" w:space="0" w:color="auto"/>
            </w:tcBorders>
            <w:hideMark/>
          </w:tcPr>
          <w:p w:rsidR="002F06D1" w:rsidRPr="005B27A3" w:rsidRDefault="00A307A2" w:rsidP="003215BD">
            <w:pPr>
              <w:widowControl w:val="0"/>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w:t>
            </w:r>
          </w:p>
        </w:tc>
        <w:tc>
          <w:tcPr>
            <w:tcW w:w="4849"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Внаслідок неврегульованості </w:t>
            </w:r>
            <w:r w:rsidRPr="005B27A3">
              <w:rPr>
                <w:rFonts w:ascii="Times New Roman" w:hAnsi="Times New Roman"/>
                <w:color w:val="000000"/>
                <w:sz w:val="28"/>
                <w:szCs w:val="28"/>
              </w:rPr>
              <w:t>процесу моніторингу і контролю щодо запобігання використанню фінансової системи для відмивання грошей або фінансування тероризму, можливий негативний вплив на:</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продуктивність та конкурентоспроможність суб’єктів господарювання;</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інновації та розвиток;</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 </w:t>
            </w:r>
            <w:r w:rsidRPr="005B27A3">
              <w:rPr>
                <w:rFonts w:ascii="Times New Roman" w:hAnsi="Times New Roman"/>
                <w:color w:val="000000"/>
                <w:sz w:val="28"/>
                <w:szCs w:val="28"/>
              </w:rPr>
              <w:t>доступ до фінансів.</w:t>
            </w:r>
          </w:p>
        </w:tc>
      </w:tr>
      <w:tr w:rsidR="002F06D1" w:rsidRPr="005B27A3" w:rsidTr="001D2501">
        <w:tc>
          <w:tcPr>
            <w:tcW w:w="2127" w:type="dxa"/>
            <w:tcBorders>
              <w:top w:val="outset" w:sz="6"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3</w:t>
            </w:r>
          </w:p>
        </w:tc>
        <w:tc>
          <w:tcPr>
            <w:tcW w:w="2663"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Внаслідок урегульованості процесу моніторингу і контролю щодо запобігання використанню фінансової системи для відмивання грошей або фінансування тероризму позитивний вплив на:</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 продуктивність та конкуренто-спроможність </w:t>
            </w:r>
            <w:r w:rsidRPr="005B27A3">
              <w:rPr>
                <w:rFonts w:ascii="Times New Roman" w:hAnsi="Times New Roman"/>
                <w:color w:val="000000"/>
                <w:sz w:val="28"/>
                <w:szCs w:val="28"/>
              </w:rPr>
              <w:t>суб’єктів господарювання;</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інновації та розвиток;</w:t>
            </w:r>
          </w:p>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доступ до фінансів.</w:t>
            </w:r>
          </w:p>
        </w:tc>
        <w:tc>
          <w:tcPr>
            <w:tcW w:w="4849" w:type="dxa"/>
            <w:tcBorders>
              <w:top w:val="outset" w:sz="6" w:space="0" w:color="auto"/>
              <w:left w:val="outset" w:sz="6" w:space="0" w:color="auto"/>
              <w:bottom w:val="outset" w:sz="6" w:space="0" w:color="auto"/>
              <w:right w:val="outset" w:sz="6"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w:t>
            </w:r>
          </w:p>
        </w:tc>
      </w:tr>
    </w:tbl>
    <w:p w:rsidR="002F06D1" w:rsidRPr="005B27A3" w:rsidRDefault="002F06D1">
      <w:pPr>
        <w:spacing w:after="120" w:line="240" w:lineRule="auto"/>
        <w:ind w:firstLine="567"/>
        <w:jc w:val="both"/>
        <w:rPr>
          <w:rFonts w:ascii="Times New Roman" w:hAnsi="Times New Roman"/>
          <w:color w:val="000000"/>
          <w:sz w:val="12"/>
          <w:szCs w:val="12"/>
        </w:rPr>
      </w:pPr>
    </w:p>
    <w:p w:rsidR="002F06D1" w:rsidRPr="005B27A3" w:rsidRDefault="00A307A2">
      <w:pPr>
        <w:spacing w:after="120" w:line="240" w:lineRule="auto"/>
        <w:jc w:val="center"/>
        <w:rPr>
          <w:rFonts w:ascii="Times New Roman" w:hAnsi="Times New Roman"/>
          <w:color w:val="000000"/>
          <w:sz w:val="28"/>
          <w:szCs w:val="28"/>
        </w:rPr>
      </w:pPr>
      <w:r w:rsidRPr="005B27A3">
        <w:rPr>
          <w:rFonts w:ascii="Times New Roman" w:hAnsi="Times New Roman"/>
          <w:color w:val="000000"/>
          <w:sz w:val="28"/>
          <w:szCs w:val="28"/>
        </w:rPr>
        <w:t xml:space="preserve">Витрати, які будуть виникати внаслідок дії регуляторного </w:t>
      </w:r>
      <w:proofErr w:type="spellStart"/>
      <w:r w:rsidRPr="005B27A3">
        <w:rPr>
          <w:rFonts w:ascii="Times New Roman" w:hAnsi="Times New Roman"/>
          <w:color w:val="000000"/>
          <w:sz w:val="28"/>
          <w:szCs w:val="28"/>
        </w:rPr>
        <w:t>акта</w:t>
      </w:r>
      <w:proofErr w:type="spellEnd"/>
    </w:p>
    <w:tbl>
      <w:tblPr>
        <w:tblStyle w:val="afc"/>
        <w:tblW w:w="9639" w:type="dxa"/>
        <w:tblInd w:w="-5" w:type="dxa"/>
        <w:tblLook w:val="04A0" w:firstRow="1" w:lastRow="0" w:firstColumn="1" w:lastColumn="0" w:noHBand="0" w:noVBand="1"/>
      </w:tblPr>
      <w:tblGrid>
        <w:gridCol w:w="7938"/>
        <w:gridCol w:w="1701"/>
      </w:tblGrid>
      <w:tr w:rsidR="002F06D1" w:rsidRPr="005B27A3">
        <w:tc>
          <w:tcPr>
            <w:tcW w:w="793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line="256" w:lineRule="auto"/>
              <w:ind w:firstLine="22"/>
              <w:jc w:val="center"/>
              <w:rPr>
                <w:rFonts w:ascii="Times New Roman" w:hAnsi="Times New Roman"/>
                <w:b/>
                <w:bCs/>
                <w:color w:val="000000"/>
                <w:sz w:val="28"/>
                <w:szCs w:val="28"/>
                <w:lang w:eastAsia="uk-UA"/>
              </w:rPr>
            </w:pPr>
            <w:r w:rsidRPr="005B27A3">
              <w:rPr>
                <w:rFonts w:ascii="Times New Roman" w:hAnsi="Times New Roman"/>
                <w:b/>
                <w:bCs/>
                <w:color w:val="000000"/>
                <w:sz w:val="28"/>
                <w:szCs w:val="28"/>
                <w:lang w:eastAsia="uk-UA"/>
              </w:rPr>
              <w:t>Сумарні витрати за альтернативами</w:t>
            </w:r>
          </w:p>
        </w:tc>
        <w:tc>
          <w:tcPr>
            <w:tcW w:w="170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line="256" w:lineRule="auto"/>
              <w:jc w:val="center"/>
              <w:rPr>
                <w:rFonts w:ascii="Times New Roman" w:hAnsi="Times New Roman"/>
                <w:b/>
                <w:bCs/>
                <w:color w:val="000000"/>
                <w:sz w:val="28"/>
                <w:szCs w:val="28"/>
                <w:lang w:eastAsia="uk-UA"/>
              </w:rPr>
            </w:pPr>
            <w:r w:rsidRPr="005B27A3">
              <w:rPr>
                <w:rFonts w:ascii="Times New Roman" w:hAnsi="Times New Roman"/>
                <w:b/>
                <w:bCs/>
                <w:color w:val="000000"/>
                <w:sz w:val="28"/>
                <w:szCs w:val="28"/>
                <w:lang w:eastAsia="uk-UA"/>
              </w:rPr>
              <w:t>Сума витрат, гривень</w:t>
            </w:r>
          </w:p>
        </w:tc>
      </w:tr>
      <w:tr w:rsidR="002F06D1" w:rsidRPr="005B27A3">
        <w:tc>
          <w:tcPr>
            <w:tcW w:w="7938"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1. Сумарні витрати для суб’єктів господарювання </w:t>
            </w:r>
            <w:r w:rsidRPr="005B27A3">
              <w:rPr>
                <w:rFonts w:ascii="Times New Roman" w:hAnsi="Times New Roman"/>
                <w:color w:val="000000"/>
                <w:sz w:val="28"/>
                <w:szCs w:val="28"/>
              </w:rPr>
              <w:t xml:space="preserve">великого і середнього підприємництва згідно з додатком 2 до Методики проведення аналізу впливу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5B27A3">
              <w:rPr>
                <w:rFonts w:ascii="Times New Roman" w:hAnsi="Times New Roman"/>
                <w:color w:val="000000"/>
                <w:sz w:val="28"/>
                <w:szCs w:val="28"/>
              </w:rPr>
              <w:t>а</w:t>
            </w:r>
            <w:r w:rsidRPr="005B27A3">
              <w:rPr>
                <w:rFonts w:ascii="Times New Roman" w:hAnsi="Times New Roman"/>
                <w:color w:val="000000"/>
                <w:sz w:val="28"/>
                <w:szCs w:val="28"/>
              </w:rPr>
              <w:t>кта</w:t>
            </w:r>
            <w:proofErr w:type="spellEnd"/>
            <w:r w:rsidRPr="005B27A3">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line="256" w:lineRule="auto"/>
              <w:ind w:firstLine="448"/>
              <w:jc w:val="both"/>
              <w:rPr>
                <w:rFonts w:ascii="Times New Roman" w:hAnsi="Times New Roman"/>
                <w:color w:val="000000"/>
                <w:sz w:val="28"/>
                <w:szCs w:val="28"/>
                <w:lang w:eastAsia="uk-UA"/>
              </w:rPr>
            </w:pPr>
            <w:r w:rsidRPr="005B27A3">
              <w:rPr>
                <w:rFonts w:ascii="Times New Roman" w:hAnsi="Times New Roman"/>
                <w:bCs/>
                <w:color w:val="000000"/>
                <w:sz w:val="28"/>
                <w:szCs w:val="28"/>
                <w:shd w:val="clear" w:color="auto" w:fill="FFFFFF"/>
              </w:rPr>
              <w:t>-</w:t>
            </w:r>
          </w:p>
        </w:tc>
      </w:tr>
      <w:tr w:rsidR="002F06D1" w:rsidRPr="005B27A3">
        <w:tc>
          <w:tcPr>
            <w:tcW w:w="7938"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(рядок 11 таблиці «Витрати на одного суб’єкта господарювання великого і </w:t>
            </w:r>
            <w:r w:rsidRPr="005B27A3">
              <w:rPr>
                <w:rFonts w:ascii="Times New Roman" w:hAnsi="Times New Roman"/>
                <w:color w:val="000000"/>
                <w:sz w:val="28"/>
                <w:szCs w:val="28"/>
              </w:rPr>
              <w:t xml:space="preserve">середнього підприємництва, які виникають внаслідок дії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line="256" w:lineRule="auto"/>
              <w:ind w:firstLine="448"/>
              <w:jc w:val="both"/>
              <w:rPr>
                <w:rFonts w:ascii="Times New Roman" w:hAnsi="Times New Roman"/>
                <w:color w:val="000000"/>
                <w:sz w:val="28"/>
                <w:szCs w:val="28"/>
                <w:lang w:eastAsia="uk-UA"/>
              </w:rPr>
            </w:pPr>
            <w:r w:rsidRPr="005B27A3">
              <w:rPr>
                <w:rFonts w:ascii="Times New Roman" w:hAnsi="Times New Roman"/>
                <w:bCs/>
                <w:color w:val="000000"/>
                <w:sz w:val="28"/>
                <w:szCs w:val="28"/>
                <w:shd w:val="clear" w:color="auto" w:fill="FFFFFF"/>
              </w:rPr>
              <w:t>-</w:t>
            </w:r>
          </w:p>
        </w:tc>
      </w:tr>
      <w:tr w:rsidR="002F06D1" w:rsidRPr="005B27A3">
        <w:tc>
          <w:tcPr>
            <w:tcW w:w="7938"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3.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w:t>
            </w:r>
            <w:r w:rsidRPr="005B27A3">
              <w:rPr>
                <w:rFonts w:ascii="Times New Roman" w:hAnsi="Times New Roman"/>
                <w:color w:val="000000"/>
                <w:sz w:val="28"/>
                <w:szCs w:val="28"/>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273,47 грн – за перший рік</w:t>
            </w:r>
          </w:p>
          <w:p w:rsidR="002F06D1" w:rsidRPr="005B27A3" w:rsidRDefault="00A307A2">
            <w:pPr>
              <w:widowControl w:val="0"/>
              <w:spacing w:after="0" w:line="240" w:lineRule="auto"/>
              <w:jc w:val="both"/>
              <w:rPr>
                <w:rFonts w:ascii="Times New Roman" w:hAnsi="Times New Roman"/>
                <w:color w:val="000000"/>
                <w:sz w:val="28"/>
                <w:szCs w:val="28"/>
                <w:lang w:eastAsia="uk-UA"/>
              </w:rPr>
            </w:pPr>
            <w:r w:rsidRPr="005B27A3">
              <w:rPr>
                <w:rFonts w:ascii="Times New Roman" w:hAnsi="Times New Roman"/>
                <w:color w:val="000000"/>
                <w:spacing w:val="-6"/>
                <w:sz w:val="28"/>
                <w:szCs w:val="28"/>
              </w:rPr>
              <w:t>1368,21 грн –</w:t>
            </w:r>
            <w:r w:rsidRPr="005B27A3">
              <w:rPr>
                <w:rFonts w:ascii="Times New Roman" w:hAnsi="Times New Roman"/>
                <w:color w:val="000000"/>
                <w:sz w:val="28"/>
                <w:szCs w:val="28"/>
              </w:rPr>
              <w:t xml:space="preserve"> за п’ять років</w:t>
            </w:r>
          </w:p>
        </w:tc>
      </w:tr>
    </w:tbl>
    <w:p w:rsidR="002F06D1" w:rsidRPr="005B27A3" w:rsidRDefault="00A307A2">
      <w:pPr>
        <w:widowControl w:val="0"/>
        <w:numPr>
          <w:ilvl w:val="0"/>
          <w:numId w:val="17"/>
        </w:numPr>
        <w:tabs>
          <w:tab w:val="left" w:pos="993"/>
        </w:tabs>
        <w:spacing w:before="240" w:after="120" w:line="240" w:lineRule="auto"/>
        <w:ind w:left="0" w:firstLine="567"/>
        <w:jc w:val="both"/>
        <w:outlineLvl w:val="2"/>
        <w:rPr>
          <w:rFonts w:ascii="Times New Roman" w:hAnsi="Times New Roman"/>
          <w:b/>
          <w:bCs/>
          <w:color w:val="000000"/>
          <w:sz w:val="28"/>
          <w:szCs w:val="28"/>
        </w:rPr>
      </w:pPr>
      <w:r w:rsidRPr="005B27A3">
        <w:rPr>
          <w:rFonts w:ascii="Times New Roman" w:hAnsi="Times New Roman"/>
          <w:b/>
          <w:bCs/>
          <w:color w:val="000000"/>
          <w:sz w:val="28"/>
          <w:szCs w:val="28"/>
        </w:rPr>
        <w:t xml:space="preserve">Вибір найбільш оптимального альтернативного способу </w:t>
      </w:r>
      <w:r w:rsidRPr="005B27A3">
        <w:rPr>
          <w:rFonts w:ascii="Times New Roman" w:hAnsi="Times New Roman"/>
          <w:b/>
          <w:bCs/>
          <w:color w:val="000000"/>
          <w:sz w:val="28"/>
          <w:szCs w:val="28"/>
        </w:rPr>
        <w:t>досягнення цілей</w:t>
      </w:r>
    </w:p>
    <w:tbl>
      <w:tblPr>
        <w:tblStyle w:val="11"/>
        <w:tblW w:w="0" w:type="auto"/>
        <w:tblLook w:val="04A0" w:firstRow="1" w:lastRow="0" w:firstColumn="1" w:lastColumn="0" w:noHBand="0" w:noVBand="1"/>
      </w:tblPr>
      <w:tblGrid>
        <w:gridCol w:w="2830"/>
        <w:gridCol w:w="2410"/>
        <w:gridCol w:w="4388"/>
      </w:tblGrid>
      <w:tr w:rsidR="002F06D1" w:rsidRPr="005B27A3">
        <w:tc>
          <w:tcPr>
            <w:tcW w:w="2830"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Рейтинг результативності (досягнення цілей під час вирішення проблеми)</w:t>
            </w:r>
          </w:p>
        </w:tc>
        <w:tc>
          <w:tcPr>
            <w:tcW w:w="2410"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 xml:space="preserve">Бал результативності </w:t>
            </w:r>
            <w:r w:rsidRPr="005B27A3">
              <w:rPr>
                <w:rFonts w:ascii="Times New Roman" w:hAnsi="Times New Roman"/>
                <w:color w:val="000000"/>
                <w:spacing w:val="-6"/>
                <w:sz w:val="28"/>
                <w:szCs w:val="28"/>
              </w:rPr>
              <w:t>(за чотирибальною системою оцінки)</w:t>
            </w:r>
          </w:p>
        </w:tc>
        <w:tc>
          <w:tcPr>
            <w:tcW w:w="4388" w:type="dxa"/>
            <w:tcBorders>
              <w:top w:val="single" w:sz="4" w:space="0" w:color="auto"/>
              <w:left w:val="single" w:sz="4" w:space="0" w:color="auto"/>
              <w:bottom w:val="single" w:sz="4" w:space="0" w:color="auto"/>
              <w:right w:val="single" w:sz="4" w:space="0" w:color="auto"/>
            </w:tcBorders>
            <w:hideMark/>
          </w:tcPr>
          <w:p w:rsidR="002F06D1" w:rsidRPr="005B27A3" w:rsidRDefault="00A307A2">
            <w:pPr>
              <w:widowControl w:val="0"/>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 xml:space="preserve">Коментарі щодо присвоєння відповідного </w:t>
            </w:r>
            <w:proofErr w:type="spellStart"/>
            <w:r w:rsidRPr="005B27A3">
              <w:rPr>
                <w:rFonts w:ascii="Times New Roman" w:hAnsi="Times New Roman"/>
                <w:color w:val="000000"/>
                <w:sz w:val="28"/>
                <w:szCs w:val="28"/>
              </w:rPr>
              <w:t>бала</w:t>
            </w:r>
            <w:proofErr w:type="spellEnd"/>
          </w:p>
        </w:tc>
      </w:tr>
      <w:tr w:rsidR="002F06D1" w:rsidRPr="005B27A3">
        <w:tc>
          <w:tcPr>
            <w:tcW w:w="283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241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43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Цілі прийняття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не можуть бути </w:t>
            </w:r>
            <w:r w:rsidRPr="005B27A3">
              <w:rPr>
                <w:rFonts w:ascii="Times New Roman" w:hAnsi="Times New Roman"/>
                <w:color w:val="000000"/>
                <w:sz w:val="28"/>
                <w:szCs w:val="28"/>
              </w:rPr>
              <w:t>досягнуті (проблема продовжує існувати).</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Можливе зменшення надходжень державного бюджету від міжнародних фінансових організацій та Європейського Союзу внаслідок незабезпечення імплементації міжнародних стандартів до національного законодавства України.</w:t>
            </w:r>
          </w:p>
        </w:tc>
      </w:tr>
      <w:tr w:rsidR="002F06D1" w:rsidRPr="005B27A3">
        <w:tc>
          <w:tcPr>
            <w:tcW w:w="283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w:t>
            </w:r>
            <w:r w:rsidRPr="005B27A3">
              <w:rPr>
                <w:rFonts w:ascii="Times New Roman" w:hAnsi="Times New Roman"/>
                <w:color w:val="000000"/>
                <w:sz w:val="28"/>
                <w:szCs w:val="28"/>
              </w:rPr>
              <w:t>ьтернатива 2</w:t>
            </w:r>
          </w:p>
        </w:tc>
        <w:tc>
          <w:tcPr>
            <w:tcW w:w="241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43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Цілі прийняття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не можуть бути досягнуті (проблема продовжує існувати).</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Відсутність удосконаленого контролю компетентними та правоохоронними органи за даними юридичних та фізичних осіб.</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Збільшення корупційних ризиків та збі</w:t>
            </w:r>
            <w:r w:rsidRPr="005B27A3">
              <w:rPr>
                <w:rFonts w:ascii="Times New Roman" w:hAnsi="Times New Roman"/>
                <w:color w:val="000000"/>
                <w:sz w:val="28"/>
                <w:szCs w:val="28"/>
              </w:rPr>
              <w:t>льшення рівня тіньової економіки.</w:t>
            </w:r>
          </w:p>
        </w:tc>
      </w:tr>
      <w:tr w:rsidR="002F06D1" w:rsidRPr="005B27A3">
        <w:tc>
          <w:tcPr>
            <w:tcW w:w="283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Альтернатива 3</w:t>
            </w:r>
          </w:p>
        </w:tc>
        <w:tc>
          <w:tcPr>
            <w:tcW w:w="2410"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4</w:t>
            </w:r>
          </w:p>
        </w:tc>
        <w:tc>
          <w:tcPr>
            <w:tcW w:w="4388"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Цілі прийняття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можуть бути досягнуті повною мірою (проблема більше існувати не буде)</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Відповідність національного законодавства міжнародним стандартам та можливість  виділення фінансової</w:t>
            </w:r>
            <w:r w:rsidRPr="005B27A3">
              <w:rPr>
                <w:rFonts w:ascii="Times New Roman" w:hAnsi="Times New Roman"/>
                <w:color w:val="000000"/>
                <w:sz w:val="28"/>
                <w:szCs w:val="28"/>
              </w:rPr>
              <w:t xml:space="preserve"> підтримки Україні від міжнародних партнерів</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Прогрес у розбудові національної системи фінансового моніторингу та підтвердження зростання ефективності дій учасників </w:t>
            </w:r>
            <w:proofErr w:type="spellStart"/>
            <w:r w:rsidRPr="005B27A3">
              <w:rPr>
                <w:rFonts w:ascii="Times New Roman" w:hAnsi="Times New Roman"/>
                <w:color w:val="000000"/>
                <w:sz w:val="28"/>
                <w:szCs w:val="28"/>
              </w:rPr>
              <w:t>антилегалізаційної</w:t>
            </w:r>
            <w:proofErr w:type="spellEnd"/>
            <w:r w:rsidRPr="005B27A3">
              <w:rPr>
                <w:rFonts w:ascii="Times New Roman" w:hAnsi="Times New Roman"/>
                <w:color w:val="000000"/>
                <w:sz w:val="28"/>
                <w:szCs w:val="28"/>
              </w:rPr>
              <w:t xml:space="preserve"> системи.</w:t>
            </w:r>
          </w:p>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Удосконалення процедури отримання компетентними та правоохоронни</w:t>
            </w:r>
            <w:r w:rsidRPr="005B27A3">
              <w:rPr>
                <w:rFonts w:ascii="Times New Roman" w:hAnsi="Times New Roman"/>
                <w:color w:val="000000"/>
                <w:sz w:val="28"/>
                <w:szCs w:val="28"/>
              </w:rPr>
              <w:t>ми органами відповідної інформації про фізичних та юридичних осіб.</w:t>
            </w:r>
          </w:p>
        </w:tc>
      </w:tr>
    </w:tbl>
    <w:p w:rsidR="002F06D1" w:rsidRPr="005B27A3" w:rsidRDefault="002F06D1">
      <w:pPr>
        <w:widowControl w:val="0"/>
        <w:tabs>
          <w:tab w:val="left" w:pos="993"/>
        </w:tabs>
        <w:spacing w:after="0" w:line="240" w:lineRule="auto"/>
        <w:jc w:val="both"/>
        <w:outlineLvl w:val="2"/>
        <w:rPr>
          <w:rFonts w:ascii="Times New Roman" w:hAnsi="Times New Roman"/>
          <w:b/>
          <w:bCs/>
          <w:color w:val="000000"/>
          <w:sz w:val="28"/>
          <w:szCs w:val="28"/>
        </w:rPr>
      </w:pPr>
    </w:p>
    <w:tbl>
      <w:tblPr>
        <w:tblW w:w="9639" w:type="dxa"/>
        <w:tblInd w:w="-8" w:type="dxa"/>
        <w:tblLook w:val="00A0" w:firstRow="1" w:lastRow="0" w:firstColumn="1" w:lastColumn="0" w:noHBand="0" w:noVBand="0"/>
      </w:tblPr>
      <w:tblGrid>
        <w:gridCol w:w="2265"/>
        <w:gridCol w:w="1903"/>
        <w:gridCol w:w="1903"/>
        <w:gridCol w:w="3568"/>
      </w:tblGrid>
      <w:tr w:rsidR="002F06D1" w:rsidRPr="005B27A3">
        <w:tc>
          <w:tcPr>
            <w:tcW w:w="184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Рейтинг результативності</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tabs>
                <w:tab w:val="left" w:pos="325"/>
              </w:tabs>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Вигоди (підсумок)</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Витрати (підсумок)</w:t>
            </w:r>
          </w:p>
        </w:tc>
        <w:tc>
          <w:tcPr>
            <w:tcW w:w="3827"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ind w:firstLine="113"/>
              <w:jc w:val="center"/>
              <w:rPr>
                <w:rFonts w:ascii="Times New Roman" w:hAnsi="Times New Roman"/>
                <w:color w:val="000000"/>
                <w:sz w:val="28"/>
                <w:szCs w:val="28"/>
              </w:rPr>
            </w:pPr>
            <w:r w:rsidRPr="005B27A3">
              <w:rPr>
                <w:rFonts w:ascii="Times New Roman" w:hAnsi="Times New Roman"/>
                <w:color w:val="000000"/>
                <w:sz w:val="28"/>
                <w:szCs w:val="28"/>
              </w:rPr>
              <w:t>Обґрунтування відповідного місця альтернативи у рейтингу</w:t>
            </w:r>
          </w:p>
        </w:tc>
      </w:tr>
      <w:tr w:rsidR="002F06D1" w:rsidRPr="005B27A3">
        <w:tc>
          <w:tcPr>
            <w:tcW w:w="184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rPr>
                <w:rFonts w:ascii="Times New Roman" w:hAnsi="Times New Roman"/>
                <w:color w:val="000000"/>
                <w:sz w:val="28"/>
                <w:szCs w:val="28"/>
              </w:rPr>
            </w:pPr>
            <w:r w:rsidRPr="005B27A3">
              <w:rPr>
                <w:rFonts w:ascii="Times New Roman" w:hAnsi="Times New Roman"/>
                <w:color w:val="000000"/>
                <w:sz w:val="28"/>
                <w:szCs w:val="28"/>
              </w:rPr>
              <w:t>Альтернатива 1</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tabs>
                <w:tab w:val="left" w:pos="325"/>
              </w:tabs>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3827"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не забезпечує досягнення цілей </w:t>
            </w:r>
            <w:r w:rsidRPr="005B27A3">
              <w:rPr>
                <w:rFonts w:ascii="Times New Roman" w:hAnsi="Times New Roman"/>
                <w:color w:val="000000"/>
                <w:sz w:val="28"/>
                <w:szCs w:val="28"/>
              </w:rPr>
              <w:t xml:space="preserve">регулювання. За відсутності </w:t>
            </w:r>
            <w:proofErr w:type="spellStart"/>
            <w:r w:rsidRPr="005B27A3">
              <w:rPr>
                <w:rFonts w:ascii="Times New Roman" w:hAnsi="Times New Roman"/>
                <w:color w:val="000000"/>
                <w:sz w:val="28"/>
                <w:szCs w:val="28"/>
              </w:rPr>
              <w:t>вигод</w:t>
            </w:r>
            <w:proofErr w:type="spellEnd"/>
            <w:r w:rsidRPr="005B27A3">
              <w:rPr>
                <w:rFonts w:ascii="Times New Roman" w:hAnsi="Times New Roman"/>
                <w:color w:val="000000"/>
                <w:sz w:val="28"/>
                <w:szCs w:val="28"/>
              </w:rPr>
              <w:t>,</w:t>
            </w:r>
            <w:bookmarkStart w:id="1" w:name="_GoBack"/>
            <w:bookmarkEnd w:id="1"/>
            <w:r w:rsidRPr="005B27A3">
              <w:rPr>
                <w:rFonts w:ascii="Times New Roman" w:hAnsi="Times New Roman"/>
                <w:color w:val="000000"/>
                <w:sz w:val="28"/>
                <w:szCs w:val="28"/>
              </w:rPr>
              <w:t xml:space="preserve"> кількість неврегульованих витрат залишається значною.</w:t>
            </w:r>
          </w:p>
        </w:tc>
      </w:tr>
      <w:tr w:rsidR="002F06D1" w:rsidRPr="005B27A3">
        <w:tc>
          <w:tcPr>
            <w:tcW w:w="184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rPr>
                <w:rFonts w:ascii="Times New Roman" w:hAnsi="Times New Roman"/>
                <w:color w:val="000000"/>
                <w:sz w:val="28"/>
                <w:szCs w:val="28"/>
              </w:rPr>
            </w:pPr>
            <w:r w:rsidRPr="005B27A3">
              <w:rPr>
                <w:rFonts w:ascii="Times New Roman" w:hAnsi="Times New Roman"/>
                <w:color w:val="000000"/>
                <w:sz w:val="28"/>
                <w:szCs w:val="28"/>
              </w:rPr>
              <w:t>Альтернатива 2</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tabs>
                <w:tab w:val="left" w:pos="325"/>
              </w:tabs>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1</w:t>
            </w:r>
          </w:p>
        </w:tc>
        <w:tc>
          <w:tcPr>
            <w:tcW w:w="3827"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не забезпечує досягнення цілей регулювання. За відсутності </w:t>
            </w:r>
            <w:proofErr w:type="spellStart"/>
            <w:r w:rsidRPr="005B27A3">
              <w:rPr>
                <w:rFonts w:ascii="Times New Roman" w:hAnsi="Times New Roman"/>
                <w:color w:val="000000"/>
                <w:sz w:val="28"/>
                <w:szCs w:val="28"/>
              </w:rPr>
              <w:t>вигод</w:t>
            </w:r>
            <w:proofErr w:type="spellEnd"/>
            <w:r w:rsidRPr="005B27A3">
              <w:rPr>
                <w:rFonts w:ascii="Times New Roman" w:hAnsi="Times New Roman"/>
                <w:color w:val="000000"/>
                <w:sz w:val="28"/>
                <w:szCs w:val="28"/>
              </w:rPr>
              <w:t>, кількість неврегульованих витрат залишається значною.</w:t>
            </w:r>
          </w:p>
        </w:tc>
      </w:tr>
      <w:tr w:rsidR="002F06D1" w:rsidRPr="005B27A3">
        <w:tc>
          <w:tcPr>
            <w:tcW w:w="184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rPr>
                <w:rFonts w:ascii="Times New Roman" w:hAnsi="Times New Roman"/>
                <w:color w:val="000000"/>
                <w:sz w:val="28"/>
                <w:szCs w:val="28"/>
              </w:rPr>
            </w:pPr>
            <w:r w:rsidRPr="005B27A3">
              <w:rPr>
                <w:rFonts w:ascii="Times New Roman" w:hAnsi="Times New Roman"/>
                <w:color w:val="000000"/>
                <w:sz w:val="28"/>
                <w:szCs w:val="28"/>
              </w:rPr>
              <w:t xml:space="preserve">Альтернатива </w:t>
            </w:r>
            <w:r w:rsidRPr="005B27A3">
              <w:rPr>
                <w:rFonts w:ascii="Times New Roman" w:hAnsi="Times New Roman"/>
                <w:color w:val="000000"/>
                <w:sz w:val="28"/>
                <w:szCs w:val="28"/>
              </w:rPr>
              <w:t>3</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tabs>
                <w:tab w:val="left" w:pos="325"/>
              </w:tabs>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4</w:t>
            </w:r>
          </w:p>
        </w:tc>
        <w:tc>
          <w:tcPr>
            <w:tcW w:w="1984"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center"/>
              <w:rPr>
                <w:rFonts w:ascii="Times New Roman" w:hAnsi="Times New Roman"/>
                <w:color w:val="000000"/>
                <w:sz w:val="28"/>
                <w:szCs w:val="28"/>
              </w:rPr>
            </w:pPr>
            <w:r w:rsidRPr="005B27A3">
              <w:rPr>
                <w:rFonts w:ascii="Times New Roman" w:hAnsi="Times New Roman"/>
                <w:color w:val="000000"/>
                <w:sz w:val="28"/>
                <w:szCs w:val="28"/>
              </w:rPr>
              <w:t>4</w:t>
            </w:r>
          </w:p>
        </w:tc>
        <w:tc>
          <w:tcPr>
            <w:tcW w:w="3827" w:type="dxa"/>
            <w:tcBorders>
              <w:top w:val="single" w:sz="4" w:space="0" w:color="auto"/>
              <w:left w:val="outset" w:sz="6" w:space="0" w:color="auto"/>
              <w:bottom w:val="outset" w:sz="6" w:space="0" w:color="auto"/>
              <w:right w:val="outset" w:sz="6" w:space="0" w:color="auto"/>
            </w:tcBorders>
            <w:hideMark/>
          </w:tcPr>
          <w:p w:rsidR="002F06D1" w:rsidRPr="005B27A3" w:rsidRDefault="00A307A2">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 xml:space="preserve">Альтернатива забезпечує досягнення цілей регулювання. За відсутності неврегульованих витрат, дозволяє досягнути максимальної кількості </w:t>
            </w:r>
            <w:proofErr w:type="spellStart"/>
            <w:r w:rsidRPr="005B27A3">
              <w:rPr>
                <w:rFonts w:ascii="Times New Roman" w:hAnsi="Times New Roman"/>
                <w:color w:val="000000"/>
                <w:sz w:val="28"/>
                <w:szCs w:val="28"/>
              </w:rPr>
              <w:t>вигод</w:t>
            </w:r>
            <w:proofErr w:type="spellEnd"/>
            <w:r w:rsidRPr="005B27A3">
              <w:rPr>
                <w:rFonts w:ascii="Times New Roman" w:hAnsi="Times New Roman"/>
                <w:color w:val="000000"/>
                <w:sz w:val="28"/>
                <w:szCs w:val="28"/>
              </w:rPr>
              <w:t>.</w:t>
            </w:r>
          </w:p>
        </w:tc>
      </w:tr>
    </w:tbl>
    <w:p w:rsidR="002F06D1" w:rsidRPr="005B27A3" w:rsidRDefault="002F06D1">
      <w:pPr>
        <w:widowControl w:val="0"/>
        <w:tabs>
          <w:tab w:val="left" w:pos="993"/>
        </w:tabs>
        <w:spacing w:after="0" w:line="240" w:lineRule="auto"/>
        <w:jc w:val="both"/>
        <w:outlineLvl w:val="2"/>
        <w:rPr>
          <w:rFonts w:ascii="Times New Roman" w:hAnsi="Times New Roman"/>
          <w:b/>
          <w:bCs/>
          <w:color w:val="000000"/>
          <w:sz w:val="28"/>
          <w:szCs w:val="28"/>
        </w:rPr>
      </w:pPr>
    </w:p>
    <w:tbl>
      <w:tblPr>
        <w:tblStyle w:val="2"/>
        <w:tblW w:w="0" w:type="auto"/>
        <w:tblLook w:val="04A0" w:firstRow="1" w:lastRow="0" w:firstColumn="1" w:lastColumn="0" w:noHBand="0" w:noVBand="1"/>
      </w:tblPr>
      <w:tblGrid>
        <w:gridCol w:w="2292"/>
        <w:gridCol w:w="4791"/>
        <w:gridCol w:w="2545"/>
      </w:tblGrid>
      <w:tr w:rsidR="002F06D1" w:rsidRPr="005B27A3">
        <w:tc>
          <w:tcPr>
            <w:tcW w:w="229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strike/>
                <w:color w:val="000000"/>
                <w:sz w:val="28"/>
                <w:szCs w:val="28"/>
                <w:lang w:eastAsia="uk-UA"/>
              </w:rPr>
            </w:pPr>
            <w:r w:rsidRPr="005B27A3">
              <w:rPr>
                <w:rFonts w:ascii="Times New Roman" w:hAnsi="Times New Roman"/>
                <w:color w:val="000000"/>
                <w:sz w:val="28"/>
                <w:szCs w:val="28"/>
                <w:lang w:eastAsia="uk-UA"/>
              </w:rPr>
              <w:t>Рейтинг</w:t>
            </w:r>
          </w:p>
        </w:tc>
        <w:tc>
          <w:tcPr>
            <w:tcW w:w="4791"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strike/>
                <w:color w:val="000000"/>
                <w:sz w:val="28"/>
                <w:szCs w:val="28"/>
                <w:lang w:eastAsia="uk-UA"/>
              </w:rPr>
            </w:pPr>
            <w:r w:rsidRPr="005B27A3">
              <w:rPr>
                <w:rFonts w:ascii="Times New Roman" w:hAnsi="Times New Roman"/>
                <w:color w:val="000000"/>
                <w:sz w:val="28"/>
                <w:szCs w:val="28"/>
                <w:lang w:eastAsia="uk-UA"/>
              </w:rPr>
              <w:t>Аргументи щодо переваги обраної альтернативи/причини відмови від альтернативи</w:t>
            </w:r>
          </w:p>
        </w:tc>
        <w:tc>
          <w:tcPr>
            <w:tcW w:w="2545"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strike/>
                <w:color w:val="000000"/>
                <w:sz w:val="28"/>
                <w:szCs w:val="28"/>
                <w:lang w:eastAsia="uk-UA"/>
              </w:rPr>
            </w:pPr>
            <w:r w:rsidRPr="005B27A3">
              <w:rPr>
                <w:rFonts w:ascii="Times New Roman" w:hAnsi="Times New Roman"/>
                <w:color w:val="000000"/>
                <w:sz w:val="28"/>
                <w:szCs w:val="28"/>
                <w:lang w:eastAsia="uk-UA"/>
              </w:rPr>
              <w:t xml:space="preserve">Оцінка ризику </w:t>
            </w:r>
            <w:r w:rsidRPr="005B27A3">
              <w:rPr>
                <w:rFonts w:ascii="Times New Roman" w:hAnsi="Times New Roman"/>
                <w:color w:val="000000"/>
                <w:sz w:val="28"/>
                <w:szCs w:val="28"/>
                <w:lang w:eastAsia="uk-UA"/>
              </w:rPr>
              <w:t xml:space="preserve">зовнішніх чинників на дію запропонованого регуляторного </w:t>
            </w:r>
            <w:proofErr w:type="spellStart"/>
            <w:r w:rsidRPr="005B27A3">
              <w:rPr>
                <w:rFonts w:ascii="Times New Roman" w:hAnsi="Times New Roman"/>
                <w:color w:val="000000"/>
                <w:sz w:val="28"/>
                <w:szCs w:val="28"/>
                <w:lang w:eastAsia="uk-UA"/>
              </w:rPr>
              <w:t>акта</w:t>
            </w:r>
            <w:proofErr w:type="spellEnd"/>
          </w:p>
        </w:tc>
      </w:tr>
      <w:tr w:rsidR="002F06D1" w:rsidRPr="005B27A3">
        <w:tc>
          <w:tcPr>
            <w:tcW w:w="229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strike/>
                <w:color w:val="000000"/>
                <w:sz w:val="28"/>
                <w:szCs w:val="28"/>
                <w:lang w:eastAsia="uk-UA"/>
              </w:rPr>
            </w:pPr>
            <w:r w:rsidRPr="005B27A3">
              <w:rPr>
                <w:rFonts w:ascii="Times New Roman" w:hAnsi="Times New Roman"/>
                <w:color w:val="000000"/>
                <w:sz w:val="28"/>
                <w:szCs w:val="28"/>
                <w:lang w:eastAsia="uk-UA"/>
              </w:rPr>
              <w:t>Альтернатива 1</w:t>
            </w:r>
          </w:p>
        </w:tc>
        <w:tc>
          <w:tcPr>
            <w:tcW w:w="4791" w:type="dxa"/>
            <w:tcBorders>
              <w:top w:val="single" w:sz="4" w:space="0" w:color="auto"/>
              <w:left w:val="single" w:sz="4" w:space="0" w:color="auto"/>
              <w:bottom w:val="single" w:sz="4" w:space="0" w:color="auto"/>
              <w:right w:val="single" w:sz="4" w:space="0" w:color="auto"/>
            </w:tcBorders>
            <w:hideMark/>
          </w:tcPr>
          <w:p w:rsidR="002F06D1" w:rsidRPr="005B27A3" w:rsidRDefault="00A307A2" w:rsidP="003215BD">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Невнесення змін до чинних нормативно-правових актів не дозволить:</w:t>
            </w:r>
          </w:p>
          <w:p w:rsidR="002F06D1" w:rsidRPr="005B27A3" w:rsidRDefault="00A307A2" w:rsidP="003215BD">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законодавчо врегулювати процес моніторингу і контролю щодо запобігання використанню фінансової системи для відмив</w:t>
            </w:r>
            <w:r w:rsidRPr="005B27A3">
              <w:rPr>
                <w:rFonts w:ascii="Times New Roman" w:hAnsi="Times New Roman"/>
                <w:color w:val="000000"/>
                <w:sz w:val="28"/>
                <w:szCs w:val="28"/>
              </w:rPr>
              <w:t>ання грошей або фінансування тероризму, який відповідатиме вимогам директив Європейського парламенту і Ради (ЄС), адаптації положень Директиви (ЄС) 2018/843, імплементація якої передбачена Угодою про асоціацію;</w:t>
            </w:r>
          </w:p>
          <w:p w:rsidR="002F06D1" w:rsidRPr="005B27A3" w:rsidRDefault="00A307A2" w:rsidP="003215BD">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забезпечити імплементацію в законодавство Укр</w:t>
            </w:r>
            <w:r w:rsidRPr="005B27A3">
              <w:rPr>
                <w:rFonts w:ascii="Times New Roman" w:hAnsi="Times New Roman"/>
                <w:color w:val="000000"/>
                <w:sz w:val="28"/>
                <w:szCs w:val="28"/>
              </w:rPr>
              <w:t>аїни міжнародних стандартів, які були прийняті Європейським Союзом.</w:t>
            </w:r>
          </w:p>
          <w:p w:rsidR="002F06D1" w:rsidRPr="005B27A3" w:rsidRDefault="00A307A2" w:rsidP="003215BD">
            <w:pPr>
              <w:spacing w:after="0" w:line="240" w:lineRule="auto"/>
              <w:jc w:val="both"/>
              <w:rPr>
                <w:rFonts w:ascii="Times New Roman" w:hAnsi="Times New Roman"/>
                <w:color w:val="000000"/>
                <w:sz w:val="28"/>
                <w:szCs w:val="28"/>
              </w:rPr>
            </w:pPr>
            <w:r w:rsidRPr="005B27A3">
              <w:rPr>
                <w:rFonts w:ascii="Times New Roman" w:hAnsi="Times New Roman"/>
                <w:color w:val="000000"/>
                <w:sz w:val="28"/>
                <w:szCs w:val="28"/>
              </w:rPr>
              <w:t>Від такої альтернативи слід відмовитись.</w:t>
            </w:r>
          </w:p>
        </w:tc>
        <w:tc>
          <w:tcPr>
            <w:tcW w:w="2545"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lang w:eastAsia="uk-UA"/>
              </w:rPr>
            </w:pPr>
            <w:r w:rsidRPr="005B27A3">
              <w:rPr>
                <w:rFonts w:ascii="Times New Roman" w:hAnsi="Times New Roman"/>
                <w:color w:val="000000"/>
                <w:sz w:val="28"/>
                <w:szCs w:val="28"/>
                <w:lang w:eastAsia="uk-UA"/>
              </w:rPr>
              <w:t>Х</w:t>
            </w:r>
          </w:p>
        </w:tc>
      </w:tr>
      <w:tr w:rsidR="002F06D1" w:rsidRPr="005B27A3">
        <w:tc>
          <w:tcPr>
            <w:tcW w:w="229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Альтернатива 2</w:t>
            </w:r>
          </w:p>
        </w:tc>
        <w:tc>
          <w:tcPr>
            <w:tcW w:w="4791" w:type="dxa"/>
            <w:tcBorders>
              <w:top w:val="single" w:sz="4" w:space="0" w:color="auto"/>
              <w:left w:val="single" w:sz="4" w:space="0" w:color="auto"/>
              <w:bottom w:val="single" w:sz="4" w:space="0" w:color="auto"/>
              <w:right w:val="single" w:sz="4" w:space="0" w:color="auto"/>
            </w:tcBorders>
            <w:hideMark/>
          </w:tcPr>
          <w:p w:rsidR="002F06D1" w:rsidRPr="005B27A3" w:rsidRDefault="00A307A2" w:rsidP="003215BD">
            <w:pPr>
              <w:spacing w:after="0" w:line="240" w:lineRule="auto"/>
              <w:ind w:firstLine="5"/>
              <w:jc w:val="both"/>
              <w:rPr>
                <w:rFonts w:ascii="Times New Roman" w:hAnsi="Times New Roman"/>
                <w:color w:val="000000"/>
                <w:sz w:val="28"/>
                <w:szCs w:val="28"/>
              </w:rPr>
            </w:pPr>
            <w:r w:rsidRPr="005B27A3">
              <w:rPr>
                <w:rFonts w:ascii="Times New Roman" w:hAnsi="Times New Roman"/>
                <w:color w:val="000000"/>
                <w:sz w:val="28"/>
                <w:szCs w:val="28"/>
              </w:rPr>
              <w:t>Прийняття рішення щодо скасування правового регулювання унеможливить функціонування системи моніторингу і контролю щодо запобіган</w:t>
            </w:r>
            <w:r w:rsidRPr="005B27A3">
              <w:rPr>
                <w:rFonts w:ascii="Times New Roman" w:hAnsi="Times New Roman"/>
                <w:color w:val="000000"/>
                <w:sz w:val="28"/>
                <w:szCs w:val="28"/>
              </w:rPr>
              <w:t>ня використанню фінансової системи для відмивання гро</w:t>
            </w:r>
            <w:r w:rsidR="001D2501" w:rsidRPr="005B27A3">
              <w:rPr>
                <w:rFonts w:ascii="Times New Roman" w:hAnsi="Times New Roman"/>
                <w:color w:val="000000"/>
                <w:sz w:val="28"/>
                <w:szCs w:val="28"/>
              </w:rPr>
              <w:t>шей або фінансування тероризму.</w:t>
            </w:r>
          </w:p>
          <w:p w:rsidR="002F06D1" w:rsidRPr="005B27A3" w:rsidRDefault="00A307A2" w:rsidP="003215BD">
            <w:pPr>
              <w:spacing w:after="0" w:line="240" w:lineRule="auto"/>
              <w:ind w:firstLine="5"/>
              <w:jc w:val="both"/>
              <w:rPr>
                <w:rFonts w:ascii="Times New Roman" w:hAnsi="Times New Roman"/>
                <w:color w:val="000000"/>
                <w:sz w:val="28"/>
                <w:szCs w:val="28"/>
              </w:rPr>
            </w:pPr>
            <w:r w:rsidRPr="005B27A3">
              <w:rPr>
                <w:rFonts w:ascii="Times New Roman" w:hAnsi="Times New Roman"/>
                <w:color w:val="000000"/>
                <w:sz w:val="28"/>
                <w:szCs w:val="28"/>
              </w:rPr>
              <w:t>Наслідком скасування правового регулювання у цій сфері буде не виконання Україною міжнародних зобов’язань взятих відповідно до Уго</w:t>
            </w:r>
            <w:r w:rsidRPr="005B27A3">
              <w:rPr>
                <w:rFonts w:ascii="Times New Roman" w:hAnsi="Times New Roman"/>
                <w:color w:val="000000"/>
                <w:sz w:val="28"/>
                <w:szCs w:val="28"/>
              </w:rPr>
              <w:t>ди про асоціацію.</w:t>
            </w:r>
          </w:p>
          <w:p w:rsidR="002F06D1" w:rsidRPr="005B27A3" w:rsidRDefault="00A307A2" w:rsidP="003215BD">
            <w:pPr>
              <w:spacing w:after="0" w:line="240" w:lineRule="auto"/>
              <w:ind w:firstLine="5"/>
              <w:jc w:val="both"/>
              <w:rPr>
                <w:rFonts w:ascii="Times New Roman" w:hAnsi="Times New Roman"/>
                <w:color w:val="000000"/>
                <w:sz w:val="28"/>
                <w:szCs w:val="28"/>
              </w:rPr>
            </w:pPr>
            <w:r w:rsidRPr="005B27A3">
              <w:rPr>
                <w:rFonts w:ascii="Times New Roman" w:hAnsi="Times New Roman"/>
                <w:color w:val="000000"/>
                <w:sz w:val="28"/>
                <w:szCs w:val="28"/>
              </w:rPr>
              <w:t>Від такої альтернативи слід відмовитись.</w:t>
            </w:r>
          </w:p>
        </w:tc>
        <w:tc>
          <w:tcPr>
            <w:tcW w:w="2545"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lang w:eastAsia="uk-UA"/>
              </w:rPr>
            </w:pPr>
            <w:r w:rsidRPr="005B27A3">
              <w:rPr>
                <w:rFonts w:ascii="Times New Roman" w:hAnsi="Times New Roman"/>
                <w:color w:val="000000"/>
                <w:sz w:val="28"/>
                <w:szCs w:val="28"/>
                <w:lang w:eastAsia="uk-UA"/>
              </w:rPr>
              <w:t>Х</w:t>
            </w:r>
          </w:p>
        </w:tc>
      </w:tr>
      <w:tr w:rsidR="002F06D1" w:rsidRPr="005B27A3">
        <w:tc>
          <w:tcPr>
            <w:tcW w:w="2292"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both"/>
              <w:rPr>
                <w:rFonts w:ascii="Times New Roman" w:hAnsi="Times New Roman"/>
                <w:color w:val="000000"/>
                <w:sz w:val="28"/>
                <w:szCs w:val="28"/>
                <w:lang w:eastAsia="uk-UA"/>
              </w:rPr>
            </w:pPr>
            <w:r w:rsidRPr="005B27A3">
              <w:rPr>
                <w:rFonts w:ascii="Times New Roman" w:hAnsi="Times New Roman"/>
                <w:color w:val="000000"/>
                <w:sz w:val="28"/>
                <w:szCs w:val="28"/>
                <w:lang w:eastAsia="uk-UA"/>
              </w:rPr>
              <w:t>Альтернатива 3</w:t>
            </w:r>
          </w:p>
        </w:tc>
        <w:tc>
          <w:tcPr>
            <w:tcW w:w="4791" w:type="dxa"/>
            <w:tcBorders>
              <w:top w:val="single" w:sz="4" w:space="0" w:color="auto"/>
              <w:left w:val="single" w:sz="4" w:space="0" w:color="auto"/>
              <w:bottom w:val="single" w:sz="4" w:space="0" w:color="auto"/>
              <w:right w:val="single" w:sz="4" w:space="0" w:color="auto"/>
            </w:tcBorders>
            <w:hideMark/>
          </w:tcPr>
          <w:p w:rsidR="002F06D1" w:rsidRPr="005B27A3" w:rsidRDefault="00A307A2" w:rsidP="003215BD">
            <w:pPr>
              <w:spacing w:after="0" w:line="240" w:lineRule="auto"/>
              <w:ind w:firstLine="5"/>
              <w:jc w:val="both"/>
              <w:rPr>
                <w:rFonts w:ascii="Times New Roman" w:hAnsi="Times New Roman"/>
                <w:color w:val="000000"/>
                <w:sz w:val="28"/>
                <w:szCs w:val="28"/>
              </w:rPr>
            </w:pPr>
            <w:r w:rsidRPr="005B27A3">
              <w:rPr>
                <w:rFonts w:ascii="Times New Roman" w:hAnsi="Times New Roman"/>
                <w:color w:val="000000"/>
                <w:sz w:val="28"/>
                <w:szCs w:val="28"/>
              </w:rPr>
              <w:t>Прийняття законопроекту сприятиме врегулюванню механізмів здійснення моніторингу і контролю щодо запобігання використанню фінансової системи для відмивання грошей або фінансування</w:t>
            </w:r>
            <w:r w:rsidRPr="005B27A3">
              <w:rPr>
                <w:rFonts w:ascii="Times New Roman" w:hAnsi="Times New Roman"/>
                <w:color w:val="000000"/>
                <w:sz w:val="28"/>
                <w:szCs w:val="28"/>
              </w:rPr>
              <w:t xml:space="preserve"> тероризму, який відповідатиме вимогам директив Європейського парламенту і Ради (ЄС), адаптації положень Директиви (ЄС) 2018/843, імплементація якої передбачена Угодою про асоціацію;</w:t>
            </w:r>
          </w:p>
          <w:p w:rsidR="002F06D1" w:rsidRPr="005B27A3" w:rsidRDefault="00A307A2" w:rsidP="003215BD">
            <w:pPr>
              <w:spacing w:after="0" w:line="240" w:lineRule="auto"/>
              <w:ind w:firstLine="5"/>
              <w:jc w:val="both"/>
              <w:rPr>
                <w:rFonts w:ascii="Times New Roman" w:hAnsi="Times New Roman"/>
                <w:color w:val="000000"/>
                <w:sz w:val="28"/>
                <w:szCs w:val="28"/>
              </w:rPr>
            </w:pPr>
            <w:r w:rsidRPr="005B27A3">
              <w:rPr>
                <w:rFonts w:ascii="Times New Roman" w:hAnsi="Times New Roman"/>
                <w:color w:val="000000"/>
                <w:sz w:val="28"/>
                <w:szCs w:val="28"/>
              </w:rPr>
              <w:t>забезпечить імплементацію в законодавство України міжнародних стандартів,</w:t>
            </w:r>
            <w:r w:rsidRPr="005B27A3">
              <w:rPr>
                <w:rFonts w:ascii="Times New Roman" w:hAnsi="Times New Roman"/>
                <w:color w:val="000000"/>
                <w:sz w:val="28"/>
                <w:szCs w:val="28"/>
              </w:rPr>
              <w:t xml:space="preserve"> які були прийняті Європейським Союзом, що сприятиме економічному зростанню та розвитку конкуренції, підвищенн</w:t>
            </w:r>
            <w:r w:rsidR="003215BD" w:rsidRPr="005B27A3">
              <w:rPr>
                <w:rFonts w:ascii="Times New Roman" w:hAnsi="Times New Roman"/>
                <w:color w:val="000000"/>
                <w:sz w:val="28"/>
                <w:szCs w:val="28"/>
              </w:rPr>
              <w:t>ю</w:t>
            </w:r>
            <w:r w:rsidRPr="005B27A3">
              <w:rPr>
                <w:rFonts w:ascii="Times New Roman" w:hAnsi="Times New Roman"/>
                <w:color w:val="000000"/>
                <w:sz w:val="28"/>
                <w:szCs w:val="28"/>
              </w:rPr>
              <w:t xml:space="preserve"> прозорості фінансової системи України.</w:t>
            </w:r>
          </w:p>
        </w:tc>
        <w:tc>
          <w:tcPr>
            <w:tcW w:w="2545" w:type="dxa"/>
            <w:tcBorders>
              <w:top w:val="single" w:sz="4" w:space="0" w:color="auto"/>
              <w:left w:val="single" w:sz="4" w:space="0" w:color="auto"/>
              <w:bottom w:val="single" w:sz="4" w:space="0" w:color="auto"/>
              <w:right w:val="single" w:sz="4" w:space="0" w:color="auto"/>
            </w:tcBorders>
            <w:hideMark/>
          </w:tcPr>
          <w:p w:rsidR="002F06D1" w:rsidRPr="005B27A3" w:rsidRDefault="00A307A2">
            <w:pPr>
              <w:spacing w:after="0" w:line="240" w:lineRule="auto"/>
              <w:jc w:val="center"/>
              <w:rPr>
                <w:rFonts w:ascii="Times New Roman" w:hAnsi="Times New Roman"/>
                <w:color w:val="000000"/>
                <w:sz w:val="28"/>
                <w:szCs w:val="28"/>
                <w:lang w:eastAsia="uk-UA"/>
              </w:rPr>
            </w:pPr>
            <w:r w:rsidRPr="005B27A3">
              <w:rPr>
                <w:rFonts w:ascii="Times New Roman" w:hAnsi="Times New Roman"/>
                <w:color w:val="000000"/>
                <w:sz w:val="28"/>
                <w:szCs w:val="28"/>
                <w:lang w:eastAsia="uk-UA"/>
              </w:rPr>
              <w:t>Х</w:t>
            </w:r>
          </w:p>
        </w:tc>
      </w:tr>
    </w:tbl>
    <w:p w:rsidR="002F06D1" w:rsidRPr="005B27A3" w:rsidRDefault="00A307A2">
      <w:pPr>
        <w:widowControl w:val="0"/>
        <w:spacing w:before="240" w:after="60" w:line="240" w:lineRule="auto"/>
        <w:ind w:left="23" w:right="23" w:firstLine="567"/>
        <w:jc w:val="both"/>
        <w:rPr>
          <w:rFonts w:ascii="Times New Roman" w:hAnsi="Times New Roman"/>
          <w:color w:val="000000"/>
          <w:sz w:val="28"/>
          <w:szCs w:val="28"/>
          <w:lang w:eastAsia="uk-UA"/>
        </w:rPr>
      </w:pPr>
      <w:r w:rsidRPr="005B27A3">
        <w:rPr>
          <w:rFonts w:ascii="Times New Roman" w:hAnsi="Times New Roman"/>
          <w:b/>
          <w:bCs/>
          <w:color w:val="000000"/>
          <w:sz w:val="28"/>
          <w:szCs w:val="28"/>
          <w:shd w:val="clear" w:color="auto" w:fill="FFFFFF"/>
          <w:lang w:eastAsia="uk-UA"/>
        </w:rPr>
        <w:t>V. Механізми та заходи, які забезпечать розв’язання визначеної проблеми</w:t>
      </w:r>
    </w:p>
    <w:p w:rsidR="002F06D1" w:rsidRPr="005B27A3" w:rsidRDefault="00A307A2">
      <w:pPr>
        <w:widowControl w:val="0"/>
        <w:spacing w:after="0" w:line="240" w:lineRule="auto"/>
        <w:ind w:left="23" w:right="23" w:firstLine="567"/>
        <w:jc w:val="both"/>
        <w:rPr>
          <w:rFonts w:ascii="Times New Roman" w:hAnsi="Times New Roman"/>
          <w:i/>
          <w:color w:val="000000"/>
          <w:sz w:val="28"/>
          <w:szCs w:val="28"/>
          <w:shd w:val="clear" w:color="auto" w:fill="FFFFFF"/>
          <w:lang w:eastAsia="uk-UA"/>
        </w:rPr>
      </w:pPr>
      <w:r w:rsidRPr="005B27A3">
        <w:rPr>
          <w:rFonts w:ascii="Times New Roman" w:hAnsi="Times New Roman"/>
          <w:i/>
          <w:color w:val="000000"/>
          <w:sz w:val="28"/>
          <w:szCs w:val="28"/>
          <w:shd w:val="clear" w:color="auto" w:fill="FFFFFF"/>
          <w:lang w:eastAsia="uk-UA"/>
        </w:rPr>
        <w:t xml:space="preserve">Механізм дії регуляторного </w:t>
      </w:r>
      <w:proofErr w:type="spellStart"/>
      <w:r w:rsidRPr="005B27A3">
        <w:rPr>
          <w:rFonts w:ascii="Times New Roman" w:hAnsi="Times New Roman"/>
          <w:i/>
          <w:color w:val="000000"/>
          <w:sz w:val="28"/>
          <w:szCs w:val="28"/>
          <w:shd w:val="clear" w:color="auto" w:fill="FFFFFF"/>
          <w:lang w:eastAsia="uk-UA"/>
        </w:rPr>
        <w:t>акта</w:t>
      </w:r>
      <w:proofErr w:type="spellEnd"/>
      <w:r w:rsidRPr="005B27A3">
        <w:rPr>
          <w:rFonts w:ascii="Times New Roman" w:hAnsi="Times New Roman"/>
          <w:i/>
          <w:color w:val="000000"/>
          <w:sz w:val="28"/>
          <w:szCs w:val="28"/>
          <w:shd w:val="clear" w:color="auto" w:fill="FFFFFF"/>
          <w:lang w:eastAsia="uk-UA"/>
        </w:rPr>
        <w:t xml:space="preserve">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Прийняття законопроекту створить умови для ведення Єдиного реєстру </w:t>
      </w:r>
      <w:r w:rsidRPr="005B27A3">
        <w:rPr>
          <w:rFonts w:ascii="Times New Roman" w:hAnsi="Times New Roman"/>
          <w:color w:val="000000"/>
          <w:sz w:val="28"/>
          <w:szCs w:val="28"/>
          <w:lang w:eastAsia="uk-UA"/>
        </w:rPr>
        <w:t>рахунків</w:t>
      </w:r>
      <w:r w:rsidRPr="005B27A3">
        <w:rPr>
          <w:rFonts w:ascii="Times New Roman" w:hAnsi="Times New Roman"/>
          <w:color w:val="000000"/>
          <w:sz w:val="28"/>
          <w:szCs w:val="28"/>
          <w:shd w:val="clear" w:color="auto" w:fill="FFFFFF"/>
          <w:lang w:eastAsia="uk-UA"/>
        </w:rPr>
        <w:t xml:space="preserve"> як єдиної державної інформаційної системи.</w:t>
      </w:r>
      <w:r w:rsidRPr="005B27A3">
        <w:rPr>
          <w:rFonts w:ascii="Times New Roman" w:hAnsi="Times New Roman"/>
          <w:color w:val="000000"/>
          <w:sz w:val="28"/>
          <w:szCs w:val="28"/>
        </w:rPr>
        <w:t xml:space="preserve"> </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Проектом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пропонується </w:t>
      </w:r>
      <w:proofErr w:type="spellStart"/>
      <w:r w:rsidRPr="005B27A3">
        <w:rPr>
          <w:rFonts w:ascii="Times New Roman" w:hAnsi="Times New Roman"/>
          <w:color w:val="000000"/>
          <w:sz w:val="28"/>
          <w:szCs w:val="28"/>
          <w:shd w:val="clear" w:color="auto" w:fill="FFFFFF"/>
          <w:lang w:eastAsia="uk-UA"/>
        </w:rPr>
        <w:t>внести</w:t>
      </w:r>
      <w:proofErr w:type="spellEnd"/>
      <w:r w:rsidRPr="005B27A3">
        <w:rPr>
          <w:rFonts w:ascii="Times New Roman" w:hAnsi="Times New Roman"/>
          <w:color w:val="000000"/>
          <w:sz w:val="28"/>
          <w:szCs w:val="28"/>
          <w:shd w:val="clear" w:color="auto" w:fill="FFFFFF"/>
          <w:lang w:eastAsia="uk-UA"/>
        </w:rPr>
        <w:t xml:space="preserve"> зміни до:</w:t>
      </w:r>
    </w:p>
    <w:p w:rsidR="002F06D1" w:rsidRPr="005B27A3" w:rsidRDefault="003215BD">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1. </w:t>
      </w:r>
      <w:r w:rsidR="00A307A2" w:rsidRPr="005B27A3">
        <w:rPr>
          <w:rFonts w:ascii="Times New Roman" w:hAnsi="Times New Roman"/>
          <w:color w:val="000000"/>
          <w:sz w:val="28"/>
          <w:szCs w:val="28"/>
          <w:shd w:val="clear" w:color="auto" w:fill="FFFFFF"/>
          <w:lang w:eastAsia="uk-UA"/>
        </w:rPr>
        <w:t xml:space="preserve">Податкового кодексу України, відповідно до яких визначити: </w:t>
      </w:r>
    </w:p>
    <w:p w:rsidR="002F06D1" w:rsidRPr="005B27A3" w:rsidRDefault="003215BD">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Д</w:t>
      </w:r>
      <w:r w:rsidR="00A307A2" w:rsidRPr="005B27A3">
        <w:rPr>
          <w:rFonts w:ascii="Times New Roman" w:hAnsi="Times New Roman"/>
          <w:color w:val="000000"/>
          <w:sz w:val="28"/>
          <w:szCs w:val="28"/>
          <w:shd w:val="clear" w:color="auto" w:fill="FFFFFF"/>
          <w:lang w:eastAsia="uk-UA"/>
        </w:rPr>
        <w:t>ПС держателем та адміністратором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відомості, які вносяться до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перелік суб’єктів які надсилатимуть до ДПС відповідні відомості, для включення даних до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2. Закону України «Про </w:t>
      </w:r>
      <w:r w:rsidRPr="005B27A3">
        <w:rPr>
          <w:rFonts w:ascii="Times New Roman" w:hAnsi="Times New Roman"/>
          <w:color w:val="000000"/>
          <w:sz w:val="28"/>
          <w:szCs w:val="28"/>
          <w:shd w:val="clear" w:color="auto" w:fill="FFFFFF"/>
          <w:lang w:eastAsia="uk-UA"/>
        </w:rPr>
        <w:t xml:space="preserve">банки і банківську діяльність», відповідно до яких банки надаватимуть ДПС відомості про </w:t>
      </w:r>
      <w:r w:rsidRPr="005B27A3">
        <w:rPr>
          <w:rFonts w:ascii="Times New Roman" w:hAnsi="Times New Roman"/>
          <w:color w:val="000000"/>
          <w:sz w:val="28"/>
          <w:szCs w:val="28"/>
          <w:shd w:val="clear" w:color="auto" w:fill="FFFFFF"/>
          <w:lang w:eastAsia="uk-UA"/>
        </w:rPr>
        <w:t>рахунки, а також інформацію про укладення або припинення договору про надання індивідуального банківського сейфа до 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3. Закону Украї</w:t>
      </w:r>
      <w:r w:rsidRPr="005B27A3">
        <w:rPr>
          <w:rFonts w:ascii="Times New Roman" w:hAnsi="Times New Roman"/>
          <w:color w:val="000000"/>
          <w:sz w:val="28"/>
          <w:szCs w:val="28"/>
          <w:shd w:val="clear" w:color="auto" w:fill="FFFFFF"/>
          <w:lang w:eastAsia="uk-UA"/>
        </w:rPr>
        <w:t xml:space="preserve">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доповнивши положеннями відповідно до яких </w:t>
      </w:r>
      <w:proofErr w:type="spellStart"/>
      <w:r w:rsidRPr="005B27A3">
        <w:rPr>
          <w:rFonts w:ascii="Times New Roman" w:hAnsi="Times New Roman"/>
          <w:color w:val="000000"/>
          <w:sz w:val="28"/>
          <w:szCs w:val="28"/>
          <w:shd w:val="clear" w:color="auto" w:fill="FFFFFF"/>
          <w:lang w:eastAsia="uk-UA"/>
        </w:rPr>
        <w:t>Держфінмоніторинг</w:t>
      </w:r>
      <w:proofErr w:type="spellEnd"/>
      <w:r w:rsidR="001D2501" w:rsidRPr="005B27A3">
        <w:rPr>
          <w:rFonts w:ascii="Times New Roman" w:hAnsi="Times New Roman"/>
          <w:color w:val="000000"/>
          <w:sz w:val="28"/>
          <w:szCs w:val="28"/>
          <w:shd w:val="clear" w:color="auto" w:fill="FFFFFF"/>
          <w:lang w:eastAsia="uk-UA"/>
        </w:rPr>
        <w:t xml:space="preserve"> матиме</w:t>
      </w:r>
      <w:r w:rsidRPr="005B27A3">
        <w:rPr>
          <w:rFonts w:ascii="Times New Roman" w:hAnsi="Times New Roman"/>
          <w:color w:val="000000"/>
          <w:sz w:val="28"/>
          <w:szCs w:val="28"/>
          <w:shd w:val="clear" w:color="auto" w:fill="FFFFFF"/>
          <w:lang w:eastAsia="uk-UA"/>
        </w:rPr>
        <w:t xml:space="preserve"> доступ до </w:t>
      </w:r>
      <w:r w:rsidRPr="005B27A3">
        <w:rPr>
          <w:rFonts w:ascii="Times New Roman" w:hAnsi="Times New Roman"/>
          <w:color w:val="000000"/>
          <w:sz w:val="28"/>
          <w:szCs w:val="28"/>
          <w:shd w:val="clear" w:color="auto" w:fill="FFFFFF"/>
          <w:lang w:eastAsia="uk-UA"/>
        </w:rPr>
        <w:t>Єдиного реєстру рахунків;</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4. Закону України «Про платіжні послуги», відповідно до яких небанківські надавачі платіжних послуг надаватимуть до ДПС відомості про платіжні рахунки;</w:t>
      </w:r>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5. Закону України «Про ринки капіталу та організовані товарні ринки», відповід</w:t>
      </w:r>
      <w:r w:rsidRPr="005B27A3">
        <w:rPr>
          <w:rFonts w:ascii="Times New Roman" w:hAnsi="Times New Roman"/>
          <w:color w:val="000000"/>
          <w:sz w:val="28"/>
          <w:szCs w:val="28"/>
          <w:shd w:val="clear" w:color="auto" w:fill="FFFFFF"/>
          <w:lang w:eastAsia="uk-UA"/>
        </w:rPr>
        <w:t>но до яких Центральний депозитарій цінних паперів, депозитарні установи надаватимуть ДПС відповідні відомості про рахунки в цінних паперах до Єдиного реєстру рахунків.</w:t>
      </w:r>
    </w:p>
    <w:p w:rsidR="002F06D1" w:rsidRPr="005B27A3" w:rsidRDefault="005B27A3">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Також реалізація законопроекту п</w:t>
      </w:r>
      <w:r w:rsidR="00A307A2" w:rsidRPr="005B27A3">
        <w:rPr>
          <w:rFonts w:ascii="Times New Roman" w:hAnsi="Times New Roman"/>
          <w:color w:val="000000"/>
          <w:sz w:val="28"/>
          <w:szCs w:val="28"/>
          <w:shd w:val="clear" w:color="auto" w:fill="FFFFFF"/>
          <w:lang w:eastAsia="uk-UA"/>
        </w:rPr>
        <w:t>ідвищить загальний рівень прозорості фінансової системи України, що призведе до зменшен</w:t>
      </w:r>
      <w:r w:rsidR="00A307A2" w:rsidRPr="005B27A3">
        <w:rPr>
          <w:rFonts w:ascii="Times New Roman" w:hAnsi="Times New Roman"/>
          <w:color w:val="000000"/>
          <w:sz w:val="28"/>
          <w:szCs w:val="28"/>
          <w:shd w:val="clear" w:color="auto" w:fill="FFFFFF"/>
          <w:lang w:eastAsia="uk-UA"/>
        </w:rPr>
        <w:t>ня корупційних ризиків, та зменшення рівня тіньової економіки.</w:t>
      </w:r>
    </w:p>
    <w:p w:rsidR="002F06D1" w:rsidRPr="005B27A3" w:rsidRDefault="00A307A2">
      <w:pPr>
        <w:widowControl w:val="0"/>
        <w:spacing w:before="60" w:after="0" w:line="240" w:lineRule="auto"/>
        <w:ind w:left="23" w:right="23" w:firstLine="567"/>
        <w:jc w:val="both"/>
        <w:rPr>
          <w:rFonts w:ascii="Times New Roman" w:hAnsi="Times New Roman"/>
          <w:i/>
          <w:color w:val="000000"/>
          <w:sz w:val="28"/>
          <w:szCs w:val="28"/>
          <w:shd w:val="clear" w:color="auto" w:fill="FFFFFF"/>
          <w:lang w:eastAsia="uk-UA"/>
        </w:rPr>
      </w:pPr>
      <w:r w:rsidRPr="005B27A3">
        <w:rPr>
          <w:rFonts w:ascii="Times New Roman" w:hAnsi="Times New Roman"/>
          <w:i/>
          <w:color w:val="000000"/>
          <w:sz w:val="28"/>
          <w:szCs w:val="28"/>
          <w:shd w:val="clear" w:color="auto" w:fill="FFFFFF"/>
          <w:lang w:eastAsia="uk-UA"/>
        </w:rPr>
        <w:t xml:space="preserve">Організаційні заходи впровадження регуляторного </w:t>
      </w:r>
      <w:proofErr w:type="spellStart"/>
      <w:r w:rsidRPr="005B27A3">
        <w:rPr>
          <w:rFonts w:ascii="Times New Roman" w:hAnsi="Times New Roman"/>
          <w:i/>
          <w:color w:val="000000"/>
          <w:sz w:val="28"/>
          <w:szCs w:val="28"/>
          <w:shd w:val="clear" w:color="auto" w:fill="FFFFFF"/>
          <w:lang w:eastAsia="uk-UA"/>
        </w:rPr>
        <w:t>акта</w:t>
      </w:r>
      <w:proofErr w:type="spellEnd"/>
      <w:r w:rsidRPr="005B27A3">
        <w:rPr>
          <w:rFonts w:ascii="Times New Roman" w:hAnsi="Times New Roman"/>
          <w:i/>
          <w:color w:val="000000"/>
          <w:sz w:val="28"/>
          <w:szCs w:val="28"/>
          <w:shd w:val="clear" w:color="auto" w:fill="FFFFFF"/>
          <w:lang w:eastAsia="uk-UA"/>
        </w:rPr>
        <w:t xml:space="preserve"> в дію</w:t>
      </w:r>
    </w:p>
    <w:p w:rsidR="002F06D1" w:rsidRPr="005B27A3" w:rsidRDefault="00A307A2">
      <w:pPr>
        <w:widowControl w:val="0"/>
        <w:spacing w:after="0" w:line="240" w:lineRule="auto"/>
        <w:ind w:lef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Для впровадження цього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необхідно забезпечити інформування відповідних органів державної влади, суб’єктів господарюв</w:t>
      </w:r>
      <w:r w:rsidRPr="005B27A3">
        <w:rPr>
          <w:rFonts w:ascii="Times New Roman" w:hAnsi="Times New Roman"/>
          <w:color w:val="000000"/>
          <w:sz w:val="28"/>
          <w:szCs w:val="28"/>
          <w:shd w:val="clear" w:color="auto" w:fill="FFFFFF"/>
          <w:lang w:eastAsia="uk-UA"/>
        </w:rPr>
        <w:t xml:space="preserve">ання та громадян про вимоги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шляхом його оприлюднення в засобах масової інформації та на офіційному </w:t>
      </w:r>
      <w:proofErr w:type="spellStart"/>
      <w:r w:rsidRPr="005B27A3">
        <w:rPr>
          <w:rFonts w:ascii="Times New Roman" w:hAnsi="Times New Roman"/>
          <w:color w:val="000000"/>
          <w:sz w:val="28"/>
          <w:szCs w:val="28"/>
          <w:shd w:val="clear" w:color="auto" w:fill="FFFFFF"/>
          <w:lang w:eastAsia="uk-UA"/>
        </w:rPr>
        <w:t>вебсайті</w:t>
      </w:r>
      <w:proofErr w:type="spellEnd"/>
      <w:r w:rsidRPr="005B27A3">
        <w:rPr>
          <w:rFonts w:ascii="Times New Roman" w:hAnsi="Times New Roman"/>
          <w:color w:val="000000"/>
          <w:sz w:val="28"/>
          <w:szCs w:val="28"/>
          <w:shd w:val="clear" w:color="auto" w:fill="FFFFFF"/>
          <w:lang w:eastAsia="uk-UA"/>
        </w:rPr>
        <w:t xml:space="preserve"> Міністерства фінансів України.</w:t>
      </w:r>
    </w:p>
    <w:p w:rsidR="002F06D1" w:rsidRPr="005B27A3" w:rsidRDefault="00A307A2">
      <w:pPr>
        <w:widowControl w:val="0"/>
        <w:spacing w:after="0" w:line="240" w:lineRule="auto"/>
        <w:ind w:lef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Негативний вплив зовнішніх факторів на дію цього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відсутній.</w:t>
      </w:r>
    </w:p>
    <w:p w:rsidR="002F06D1" w:rsidRPr="005B27A3" w:rsidRDefault="00A307A2">
      <w:pPr>
        <w:widowControl w:val="0"/>
        <w:spacing w:after="0" w:line="240" w:lineRule="auto"/>
        <w:ind w:lef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Національному банку</w:t>
      </w:r>
      <w:r w:rsidRPr="005B27A3">
        <w:rPr>
          <w:rFonts w:ascii="Times New Roman" w:hAnsi="Times New Roman"/>
          <w:color w:val="000000"/>
          <w:sz w:val="28"/>
          <w:szCs w:val="28"/>
          <w:shd w:val="clear" w:color="auto" w:fill="FFFFFF"/>
          <w:lang w:eastAsia="uk-UA"/>
        </w:rPr>
        <w:t xml:space="preserve"> України, Центральному депозитарію цінних паперів,</w:t>
      </w:r>
      <w:r w:rsidR="005B27A3" w:rsidRPr="005B27A3">
        <w:rPr>
          <w:rFonts w:ascii="Times New Roman" w:hAnsi="Times New Roman"/>
          <w:color w:val="000000"/>
          <w:sz w:val="28"/>
          <w:szCs w:val="28"/>
          <w:shd w:val="clear" w:color="auto" w:fill="FFFFFF"/>
          <w:lang w:eastAsia="uk-UA"/>
        </w:rPr>
        <w:t xml:space="preserve"> депозитарним установам, банкам,</w:t>
      </w:r>
      <w:r w:rsidRPr="005B27A3">
        <w:rPr>
          <w:rFonts w:ascii="Times New Roman" w:hAnsi="Times New Roman"/>
          <w:color w:val="000000"/>
          <w:sz w:val="28"/>
          <w:szCs w:val="28"/>
          <w:shd w:val="clear" w:color="auto" w:fill="FFFFFF"/>
          <w:lang w:eastAsia="uk-UA"/>
        </w:rPr>
        <w:t xml:space="preserve"> іншим фінансовим установам </w:t>
      </w:r>
      <w:r w:rsidR="005B27A3" w:rsidRPr="005B27A3">
        <w:rPr>
          <w:rFonts w:ascii="Times New Roman" w:hAnsi="Times New Roman"/>
          <w:color w:val="000000"/>
          <w:sz w:val="28"/>
          <w:szCs w:val="28"/>
          <w:shd w:val="clear" w:color="auto" w:fill="FFFFFF"/>
          <w:lang w:eastAsia="uk-UA"/>
        </w:rPr>
        <w:t xml:space="preserve">та небанківським надавачам платіжних послуг </w:t>
      </w:r>
      <w:r w:rsidRPr="005B27A3">
        <w:rPr>
          <w:rFonts w:ascii="Times New Roman" w:hAnsi="Times New Roman"/>
          <w:color w:val="000000"/>
          <w:sz w:val="28"/>
          <w:szCs w:val="28"/>
          <w:shd w:val="clear" w:color="auto" w:fill="FFFFFF"/>
          <w:lang w:eastAsia="uk-UA"/>
        </w:rPr>
        <w:t>на постійній основі забезпечувати подання інформації про відкриття та закриття рахунків, про укладення або припинення договору про надання індив</w:t>
      </w:r>
      <w:r w:rsidRPr="005B27A3">
        <w:rPr>
          <w:rFonts w:ascii="Times New Roman" w:hAnsi="Times New Roman"/>
          <w:color w:val="000000"/>
          <w:sz w:val="28"/>
          <w:szCs w:val="28"/>
          <w:shd w:val="clear" w:color="auto" w:fill="FFFFFF"/>
          <w:lang w:eastAsia="uk-UA"/>
        </w:rPr>
        <w:t xml:space="preserve">ідуального банківського сейфа. </w:t>
      </w:r>
    </w:p>
    <w:p w:rsidR="002F06D1" w:rsidRPr="005B27A3" w:rsidRDefault="00A307A2">
      <w:pPr>
        <w:widowControl w:val="0"/>
        <w:spacing w:after="0" w:line="240" w:lineRule="auto"/>
        <w:ind w:lef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ДПС забезпечити ведення </w:t>
      </w:r>
      <w:r w:rsidR="003215BD" w:rsidRPr="005B27A3">
        <w:rPr>
          <w:rFonts w:ascii="Times New Roman" w:hAnsi="Times New Roman"/>
          <w:color w:val="000000"/>
          <w:sz w:val="28"/>
          <w:szCs w:val="28"/>
          <w:shd w:val="clear" w:color="auto" w:fill="FFFFFF"/>
          <w:lang w:eastAsia="uk-UA"/>
        </w:rPr>
        <w:t xml:space="preserve">та функціонування </w:t>
      </w:r>
      <w:r w:rsidRPr="005B27A3">
        <w:rPr>
          <w:rFonts w:ascii="Times New Roman" w:hAnsi="Times New Roman"/>
          <w:color w:val="000000"/>
          <w:sz w:val="28"/>
          <w:szCs w:val="28"/>
          <w:shd w:val="clear" w:color="auto" w:fill="FFFFFF"/>
          <w:lang w:eastAsia="uk-UA"/>
        </w:rPr>
        <w:t>Єдиного реєстру рахунку</w:t>
      </w:r>
      <w:r w:rsidR="005B27A3" w:rsidRPr="005B27A3">
        <w:rPr>
          <w:rFonts w:ascii="Times New Roman" w:hAnsi="Times New Roman"/>
          <w:color w:val="000000"/>
          <w:sz w:val="28"/>
          <w:szCs w:val="28"/>
          <w:shd w:val="clear" w:color="auto" w:fill="FFFFFF"/>
          <w:lang w:eastAsia="uk-UA"/>
        </w:rPr>
        <w:t>, а також доступ Держфінмоніторингу до цього реєстру</w:t>
      </w:r>
      <w:r w:rsidRPr="005B27A3">
        <w:rPr>
          <w:rFonts w:ascii="Times New Roman" w:hAnsi="Times New Roman"/>
          <w:color w:val="000000"/>
          <w:sz w:val="28"/>
          <w:szCs w:val="28"/>
          <w:shd w:val="clear" w:color="auto" w:fill="FFFFFF"/>
          <w:lang w:eastAsia="uk-UA"/>
        </w:rPr>
        <w:t>.</w:t>
      </w:r>
    </w:p>
    <w:p w:rsidR="002F06D1" w:rsidRPr="005B27A3" w:rsidRDefault="00A307A2">
      <w:pPr>
        <w:widowControl w:val="0"/>
        <w:spacing w:before="120" w:after="120" w:line="240" w:lineRule="auto"/>
        <w:ind w:left="23" w:firstLine="567"/>
        <w:jc w:val="both"/>
        <w:rPr>
          <w:rFonts w:ascii="Times New Roman" w:hAnsi="Times New Roman"/>
          <w:b/>
          <w:bCs/>
          <w:color w:val="000000"/>
          <w:sz w:val="28"/>
          <w:szCs w:val="28"/>
          <w:shd w:val="clear" w:color="auto" w:fill="FFFFFF"/>
          <w:lang w:eastAsia="uk-UA"/>
        </w:rPr>
      </w:pPr>
      <w:r w:rsidRPr="005B27A3">
        <w:rPr>
          <w:rFonts w:ascii="Times New Roman" w:hAnsi="Times New Roman"/>
          <w:b/>
          <w:bCs/>
          <w:color w:val="000000"/>
          <w:sz w:val="28"/>
          <w:szCs w:val="28"/>
          <w:shd w:val="clear" w:color="auto" w:fill="FFFFFF"/>
          <w:lang w:eastAsia="uk-UA"/>
        </w:rPr>
        <w:t xml:space="preserve">VI. Оцінка виконання вимог регуляторного </w:t>
      </w:r>
      <w:proofErr w:type="spellStart"/>
      <w:r w:rsidRPr="005B27A3">
        <w:rPr>
          <w:rFonts w:ascii="Times New Roman" w:hAnsi="Times New Roman"/>
          <w:b/>
          <w:bCs/>
          <w:color w:val="000000"/>
          <w:sz w:val="28"/>
          <w:szCs w:val="28"/>
          <w:shd w:val="clear" w:color="auto" w:fill="FFFFFF"/>
          <w:lang w:eastAsia="uk-UA"/>
        </w:rPr>
        <w:t>акта</w:t>
      </w:r>
      <w:proofErr w:type="spellEnd"/>
      <w:r w:rsidRPr="005B27A3">
        <w:rPr>
          <w:rFonts w:ascii="Times New Roman" w:hAnsi="Times New Roman"/>
          <w:b/>
          <w:bCs/>
          <w:color w:val="000000"/>
          <w:sz w:val="28"/>
          <w:szCs w:val="28"/>
          <w:shd w:val="clear" w:color="auto" w:fill="FFFFFF"/>
          <w:lang w:eastAsia="uk-UA"/>
        </w:rPr>
        <w:t xml:space="preserve"> залежно від ресурсів, якими розпоряджаються органи виконавчої влади чи органи місцевого самоврядування, фізичні та юридичні </w:t>
      </w:r>
      <w:r w:rsidRPr="005B27A3">
        <w:rPr>
          <w:rFonts w:ascii="Times New Roman" w:hAnsi="Times New Roman"/>
          <w:b/>
          <w:bCs/>
          <w:color w:val="000000"/>
          <w:sz w:val="28"/>
          <w:szCs w:val="28"/>
          <w:shd w:val="clear" w:color="auto" w:fill="FFFFFF"/>
          <w:lang w:eastAsia="uk-UA"/>
        </w:rPr>
        <w:t>особи, які повинні впроваджувати або виконувати ці вимоги</w:t>
      </w:r>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Здійснено розра</w:t>
      </w:r>
      <w:r w:rsidRPr="005B27A3">
        <w:rPr>
          <w:rFonts w:ascii="Times New Roman" w:hAnsi="Times New Roman"/>
          <w:color w:val="000000"/>
          <w:sz w:val="28"/>
          <w:szCs w:val="28"/>
          <w:shd w:val="clear" w:color="auto" w:fill="FFFFFF"/>
          <w:lang w:eastAsia="uk-UA"/>
        </w:rPr>
        <w:t xml:space="preserve">хунок витрат на запровадження державного регулювання для суб’єктів малого підприємництва (Тест малого підприємництва у додатку </w:t>
      </w:r>
      <w:r w:rsidRPr="005B27A3">
        <w:rPr>
          <w:rFonts w:ascii="Times New Roman" w:hAnsi="Times New Roman"/>
          <w:color w:val="000000"/>
          <w:sz w:val="28"/>
          <w:shd w:val="clear" w:color="auto" w:fill="FFFFFF"/>
          <w:lang w:eastAsia="uk-UA"/>
        </w:rPr>
        <w:t>1</w:t>
      </w:r>
      <w:r w:rsidRPr="005B27A3">
        <w:rPr>
          <w:rFonts w:ascii="Times New Roman" w:hAnsi="Times New Roman"/>
          <w:color w:val="000000"/>
          <w:sz w:val="28"/>
          <w:szCs w:val="28"/>
          <w:shd w:val="clear" w:color="auto" w:fill="FFFFFF"/>
          <w:lang w:eastAsia="uk-UA"/>
        </w:rPr>
        <w:t>).</w:t>
      </w:r>
    </w:p>
    <w:p w:rsidR="002F06D1" w:rsidRPr="005B27A3" w:rsidRDefault="00A307A2">
      <w:pPr>
        <w:widowControl w:val="0"/>
        <w:spacing w:before="120" w:after="120" w:line="240" w:lineRule="auto"/>
        <w:ind w:left="23" w:right="23" w:firstLine="567"/>
        <w:jc w:val="both"/>
        <w:rPr>
          <w:rFonts w:ascii="Times New Roman" w:hAnsi="Times New Roman"/>
          <w:color w:val="000000"/>
          <w:sz w:val="28"/>
          <w:szCs w:val="28"/>
          <w:lang w:eastAsia="uk-UA"/>
        </w:rPr>
      </w:pPr>
      <w:bookmarkStart w:id="2" w:name="bookmark6"/>
      <w:r w:rsidRPr="005B27A3">
        <w:rPr>
          <w:rFonts w:ascii="Times New Roman" w:hAnsi="Times New Roman"/>
          <w:b/>
          <w:bCs/>
          <w:color w:val="000000"/>
          <w:sz w:val="28"/>
          <w:szCs w:val="28"/>
          <w:shd w:val="clear" w:color="auto" w:fill="FFFFFF"/>
          <w:lang w:eastAsia="uk-UA"/>
        </w:rPr>
        <w:t xml:space="preserve">VII. Обґрунтування запропонованого строку дії регуляторного </w:t>
      </w:r>
      <w:proofErr w:type="spellStart"/>
      <w:r w:rsidRPr="005B27A3">
        <w:rPr>
          <w:rFonts w:ascii="Times New Roman" w:hAnsi="Times New Roman"/>
          <w:b/>
          <w:bCs/>
          <w:color w:val="000000"/>
          <w:sz w:val="28"/>
          <w:szCs w:val="28"/>
          <w:shd w:val="clear" w:color="auto" w:fill="FFFFFF"/>
          <w:lang w:eastAsia="uk-UA"/>
        </w:rPr>
        <w:t>акта</w:t>
      </w:r>
      <w:bookmarkEnd w:id="2"/>
      <w:proofErr w:type="spellEnd"/>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bookmarkStart w:id="3" w:name="bookmark7"/>
      <w:r w:rsidRPr="005B27A3">
        <w:rPr>
          <w:rFonts w:ascii="Times New Roman" w:hAnsi="Times New Roman"/>
          <w:color w:val="000000"/>
          <w:sz w:val="28"/>
          <w:szCs w:val="28"/>
          <w:shd w:val="clear" w:color="auto" w:fill="FFFFFF"/>
          <w:lang w:eastAsia="uk-UA"/>
        </w:rPr>
        <w:t xml:space="preserve">Строк дії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не обмежується в часі, </w:t>
      </w:r>
      <w:r w:rsidRPr="005B27A3">
        <w:rPr>
          <w:rFonts w:ascii="Times New Roman" w:hAnsi="Times New Roman"/>
          <w:color w:val="000000"/>
          <w:sz w:val="28"/>
          <w:szCs w:val="28"/>
          <w:shd w:val="clear" w:color="auto" w:fill="FFFFFF"/>
          <w:lang w:eastAsia="uk-UA"/>
        </w:rPr>
        <w:t>оскільки необхідність виконання положень цього проекту є постійною.</w:t>
      </w:r>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Запропонований регуляторний акт розроблено з метою започаткування умов для створення та ведення Єдиного реєстру рахунків фізичних і юридичних осіб та індивідуальних банківських сейфів.</w:t>
      </w:r>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Наб</w:t>
      </w:r>
      <w:r w:rsidRPr="005B27A3">
        <w:rPr>
          <w:rFonts w:ascii="Times New Roman" w:hAnsi="Times New Roman"/>
          <w:color w:val="000000"/>
          <w:sz w:val="28"/>
          <w:szCs w:val="28"/>
          <w:shd w:val="clear" w:color="auto" w:fill="FFFFFF"/>
          <w:lang w:eastAsia="uk-UA"/>
        </w:rPr>
        <w:t>рання чинності цим регуляторним актом пропонується встановити через шість місяців з дня його опублікування.</w:t>
      </w:r>
    </w:p>
    <w:p w:rsidR="002F06D1" w:rsidRPr="005B27A3" w:rsidRDefault="00A307A2">
      <w:pPr>
        <w:widowControl w:val="0"/>
        <w:spacing w:before="120" w:after="120" w:line="240" w:lineRule="auto"/>
        <w:ind w:left="23" w:right="23" w:firstLine="567"/>
        <w:jc w:val="both"/>
        <w:rPr>
          <w:rFonts w:ascii="Times New Roman" w:hAnsi="Times New Roman"/>
          <w:b/>
          <w:bCs/>
          <w:color w:val="000000"/>
          <w:sz w:val="28"/>
          <w:szCs w:val="28"/>
          <w:lang w:eastAsia="uk-UA"/>
        </w:rPr>
      </w:pPr>
      <w:r w:rsidRPr="005B27A3">
        <w:rPr>
          <w:rFonts w:ascii="Times New Roman" w:hAnsi="Times New Roman"/>
          <w:b/>
          <w:bCs/>
          <w:color w:val="000000"/>
          <w:sz w:val="28"/>
          <w:szCs w:val="28"/>
          <w:shd w:val="clear" w:color="auto" w:fill="FFFFFF"/>
          <w:lang w:eastAsia="uk-UA"/>
        </w:rPr>
        <w:t xml:space="preserve">VIII. Визначення показників результативності дії регуляторного </w:t>
      </w:r>
      <w:proofErr w:type="spellStart"/>
      <w:r w:rsidRPr="005B27A3">
        <w:rPr>
          <w:rFonts w:ascii="Times New Roman" w:hAnsi="Times New Roman"/>
          <w:b/>
          <w:bCs/>
          <w:color w:val="000000"/>
          <w:sz w:val="28"/>
          <w:szCs w:val="28"/>
          <w:shd w:val="clear" w:color="auto" w:fill="FFFFFF"/>
          <w:lang w:eastAsia="uk-UA"/>
        </w:rPr>
        <w:t>акта</w:t>
      </w:r>
      <w:bookmarkEnd w:id="3"/>
      <w:proofErr w:type="spellEnd"/>
    </w:p>
    <w:p w:rsidR="002F06D1" w:rsidRPr="005B27A3" w:rsidRDefault="00A307A2">
      <w:pPr>
        <w:widowControl w:val="0"/>
        <w:spacing w:after="0" w:line="240" w:lineRule="auto"/>
        <w:ind w:left="23" w:right="23"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Розмір надходжень до державного та місцевих бюджетів і державних цільових фондів</w:t>
      </w:r>
      <w:r w:rsidRPr="005B27A3">
        <w:rPr>
          <w:rFonts w:ascii="Times New Roman" w:hAnsi="Times New Roman"/>
          <w:color w:val="000000"/>
          <w:sz w:val="28"/>
          <w:szCs w:val="28"/>
          <w:shd w:val="clear" w:color="auto" w:fill="FFFFFF"/>
          <w:lang w:eastAsia="uk-UA"/>
        </w:rPr>
        <w:t xml:space="preserve">, пов’язаних з дією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 надходження не передбачаються.</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Рівень поінформованості суб’єктів </w:t>
      </w:r>
      <w:r w:rsidRPr="005B27A3">
        <w:rPr>
          <w:rFonts w:ascii="Times New Roman" w:hAnsi="Times New Roman"/>
          <w:color w:val="000000"/>
          <w:sz w:val="28"/>
          <w:szCs w:val="28"/>
          <w:shd w:val="clear" w:color="auto" w:fill="FFFFFF"/>
          <w:lang w:eastAsia="uk-UA"/>
        </w:rPr>
        <w:t>господарювання</w:t>
      </w:r>
      <w:r w:rsidRPr="005B27A3">
        <w:rPr>
          <w:rFonts w:ascii="Times New Roman" w:hAnsi="Times New Roman"/>
          <w:color w:val="000000"/>
          <w:sz w:val="28"/>
          <w:szCs w:val="28"/>
        </w:rPr>
        <w:t xml:space="preserve"> щодо основних положень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є високим. </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Проект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розміщено в мережі Інтернет на офіційному </w:t>
      </w:r>
      <w:proofErr w:type="spellStart"/>
      <w:r w:rsidRPr="005B27A3">
        <w:rPr>
          <w:rFonts w:ascii="Times New Roman" w:hAnsi="Times New Roman"/>
          <w:color w:val="000000"/>
          <w:sz w:val="28"/>
          <w:szCs w:val="28"/>
        </w:rPr>
        <w:t>вебсайті</w:t>
      </w:r>
      <w:proofErr w:type="spellEnd"/>
      <w:r w:rsidRPr="005B27A3">
        <w:rPr>
          <w:rFonts w:ascii="Times New Roman" w:hAnsi="Times New Roman"/>
          <w:color w:val="000000"/>
          <w:sz w:val="28"/>
          <w:szCs w:val="28"/>
        </w:rPr>
        <w:t xml:space="preserve"> Міністерства фінансів України </w:t>
      </w:r>
      <w:r w:rsidRPr="005B27A3">
        <w:rPr>
          <w:rFonts w:ascii="Times New Roman" w:hAnsi="Times New Roman"/>
          <w:color w:val="000000"/>
          <w:sz w:val="28"/>
          <w:szCs w:val="28"/>
        </w:rPr>
        <w:t xml:space="preserve">для громадського обговорення. Після прийняття проекту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закон буде оприлюднено у засобах масової інформації, а також на сайті Верховної Ради України.</w:t>
      </w:r>
    </w:p>
    <w:p w:rsidR="002F06D1" w:rsidRPr="005B27A3" w:rsidRDefault="00A307A2">
      <w:pPr>
        <w:tabs>
          <w:tab w:val="left" w:pos="993"/>
        </w:tabs>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Показниками результативності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w:t>
      </w:r>
      <w:r w:rsidRPr="005B27A3">
        <w:rPr>
          <w:rFonts w:ascii="Times New Roman" w:hAnsi="Times New Roman"/>
          <w:color w:val="000000"/>
          <w:sz w:val="28"/>
          <w:szCs w:val="28"/>
          <w:shd w:val="clear" w:color="auto" w:fill="FFFFFF"/>
          <w:lang w:eastAsia="uk-UA"/>
        </w:rPr>
        <w:t xml:space="preserve">після набрання чинності проекту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w:t>
      </w:r>
      <w:r w:rsidRPr="005B27A3">
        <w:rPr>
          <w:rFonts w:ascii="Times New Roman" w:hAnsi="Times New Roman"/>
          <w:color w:val="000000"/>
          <w:sz w:val="28"/>
          <w:szCs w:val="28"/>
        </w:rPr>
        <w:t xml:space="preserve"> є:</w:t>
      </w:r>
    </w:p>
    <w:p w:rsidR="002F06D1" w:rsidRPr="005B27A3" w:rsidRDefault="00A307A2">
      <w:pPr>
        <w:numPr>
          <w:ilvl w:val="0"/>
          <w:numId w:val="18"/>
        </w:numPr>
        <w:tabs>
          <w:tab w:val="left" w:pos="993"/>
          <w:tab w:val="left" w:pos="1134"/>
        </w:tabs>
        <w:spacing w:after="0" w:line="240" w:lineRule="auto"/>
        <w:ind w:left="0"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кількість суб’єктів </w:t>
      </w:r>
      <w:r w:rsidRPr="005B27A3">
        <w:rPr>
          <w:rFonts w:ascii="Times New Roman" w:hAnsi="Times New Roman"/>
          <w:color w:val="000000"/>
          <w:sz w:val="28"/>
          <w:szCs w:val="28"/>
          <w:shd w:val="clear" w:color="auto" w:fill="FFFFFF"/>
          <w:lang w:eastAsia="uk-UA"/>
        </w:rPr>
        <w:t>господарювання</w:t>
      </w:r>
      <w:r w:rsidRPr="005B27A3">
        <w:rPr>
          <w:rFonts w:ascii="Times New Roman" w:hAnsi="Times New Roman"/>
          <w:color w:val="000000"/>
          <w:sz w:val="28"/>
          <w:szCs w:val="28"/>
        </w:rPr>
        <w:t xml:space="preserve">, на яких поширюється дія цього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xml:space="preserve">; </w:t>
      </w:r>
    </w:p>
    <w:p w:rsidR="002F06D1" w:rsidRPr="005B27A3" w:rsidRDefault="00A307A2">
      <w:pPr>
        <w:numPr>
          <w:ilvl w:val="0"/>
          <w:numId w:val="18"/>
        </w:numPr>
        <w:tabs>
          <w:tab w:val="left" w:pos="993"/>
          <w:tab w:val="left" w:pos="1134"/>
        </w:tabs>
        <w:spacing w:after="0" w:line="240" w:lineRule="auto"/>
        <w:ind w:left="0" w:firstLine="567"/>
        <w:jc w:val="both"/>
        <w:rPr>
          <w:rFonts w:ascii="Times New Roman" w:hAnsi="Times New Roman"/>
          <w:color w:val="000000"/>
          <w:sz w:val="28"/>
          <w:szCs w:val="28"/>
        </w:rPr>
      </w:pPr>
      <w:r w:rsidRPr="005B27A3">
        <w:rPr>
          <w:rFonts w:ascii="Times New Roman" w:hAnsi="Times New Roman"/>
          <w:color w:val="000000"/>
          <w:sz w:val="28"/>
          <w:szCs w:val="28"/>
        </w:rPr>
        <w:t xml:space="preserve">кількість суб’єктів </w:t>
      </w:r>
      <w:r w:rsidRPr="005B27A3">
        <w:rPr>
          <w:rFonts w:ascii="Times New Roman" w:hAnsi="Times New Roman"/>
          <w:color w:val="000000"/>
          <w:sz w:val="28"/>
          <w:szCs w:val="28"/>
          <w:shd w:val="clear" w:color="auto" w:fill="FFFFFF"/>
          <w:lang w:eastAsia="uk-UA"/>
        </w:rPr>
        <w:t>господарювання</w:t>
      </w:r>
      <w:r w:rsidRPr="005B27A3">
        <w:rPr>
          <w:rFonts w:ascii="Times New Roman" w:hAnsi="Times New Roman"/>
          <w:color w:val="000000"/>
          <w:sz w:val="28"/>
          <w:szCs w:val="28"/>
        </w:rPr>
        <w:t>, які подали інформацію про відкриття банківських рахунків, рахунків у цінних паперах, інших рахунків фізичних і юридичних осіб та індивідуальних ба</w:t>
      </w:r>
      <w:r w:rsidRPr="005B27A3">
        <w:rPr>
          <w:rFonts w:ascii="Times New Roman" w:hAnsi="Times New Roman"/>
          <w:color w:val="000000"/>
          <w:sz w:val="28"/>
          <w:szCs w:val="28"/>
        </w:rPr>
        <w:t>нківських сейфів до ДПС;</w:t>
      </w:r>
    </w:p>
    <w:p w:rsidR="002F06D1" w:rsidRPr="005B27A3" w:rsidRDefault="00A307A2">
      <w:pPr>
        <w:numPr>
          <w:ilvl w:val="0"/>
          <w:numId w:val="18"/>
        </w:numPr>
        <w:tabs>
          <w:tab w:val="left" w:pos="993"/>
          <w:tab w:val="left" w:pos="1134"/>
        </w:tabs>
        <w:spacing w:after="0" w:line="240" w:lineRule="auto"/>
        <w:ind w:left="0" w:firstLine="567"/>
        <w:jc w:val="both"/>
        <w:rPr>
          <w:rFonts w:ascii="Times New Roman" w:hAnsi="Times New Roman"/>
          <w:color w:val="000000"/>
          <w:sz w:val="28"/>
          <w:szCs w:val="28"/>
        </w:rPr>
      </w:pPr>
      <w:r w:rsidRPr="005B27A3">
        <w:rPr>
          <w:rFonts w:ascii="Times New Roman" w:hAnsi="Times New Roman"/>
          <w:color w:val="000000"/>
          <w:sz w:val="28"/>
          <w:szCs w:val="28"/>
        </w:rPr>
        <w:t>кількість повідомлень про відкриття банківських рахунків, рахунків у цінних паперах, інших рахунків фізичних і юридичних осіб та індивідуальних банківських сейфів до ДПС;</w:t>
      </w:r>
    </w:p>
    <w:p w:rsidR="002F06D1" w:rsidRPr="005B27A3" w:rsidRDefault="00A307A2">
      <w:pPr>
        <w:numPr>
          <w:ilvl w:val="0"/>
          <w:numId w:val="18"/>
        </w:numPr>
        <w:tabs>
          <w:tab w:val="left" w:pos="993"/>
          <w:tab w:val="left" w:pos="1134"/>
        </w:tabs>
        <w:spacing w:after="0" w:line="240" w:lineRule="auto"/>
        <w:ind w:left="0" w:firstLine="567"/>
        <w:jc w:val="both"/>
        <w:rPr>
          <w:rFonts w:ascii="Times New Roman" w:hAnsi="Times New Roman"/>
          <w:color w:val="000000"/>
          <w:sz w:val="28"/>
          <w:szCs w:val="28"/>
        </w:rPr>
      </w:pPr>
      <w:r w:rsidRPr="005B27A3">
        <w:rPr>
          <w:rFonts w:ascii="Times New Roman" w:hAnsi="Times New Roman"/>
          <w:color w:val="000000"/>
          <w:sz w:val="28"/>
          <w:szCs w:val="28"/>
        </w:rPr>
        <w:t>кількість</w:t>
      </w:r>
      <w:r w:rsidR="00515A57" w:rsidRPr="005B27A3">
        <w:rPr>
          <w:rFonts w:ascii="Times New Roman" w:hAnsi="Times New Roman"/>
          <w:color w:val="000000"/>
          <w:sz w:val="28"/>
          <w:szCs w:val="28"/>
        </w:rPr>
        <w:t xml:space="preserve"> </w:t>
      </w:r>
      <w:r w:rsidR="00515A57" w:rsidRPr="005B27A3">
        <w:rPr>
          <w:rFonts w:ascii="Times New Roman" w:hAnsi="Times New Roman"/>
          <w:color w:val="000000"/>
          <w:sz w:val="28"/>
          <w:szCs w:val="28"/>
        </w:rPr>
        <w:t xml:space="preserve">переданих </w:t>
      </w:r>
      <w:proofErr w:type="spellStart"/>
      <w:r w:rsidR="00515A57" w:rsidRPr="005B27A3">
        <w:rPr>
          <w:rFonts w:ascii="Times New Roman" w:hAnsi="Times New Roman"/>
          <w:color w:val="000000"/>
          <w:sz w:val="28"/>
          <w:szCs w:val="28"/>
        </w:rPr>
        <w:t>Держфінмоніторингом</w:t>
      </w:r>
      <w:proofErr w:type="spellEnd"/>
      <w:r w:rsidR="00515A57" w:rsidRPr="005B27A3">
        <w:rPr>
          <w:rFonts w:ascii="Times New Roman" w:hAnsi="Times New Roman"/>
          <w:color w:val="000000"/>
          <w:sz w:val="28"/>
          <w:szCs w:val="28"/>
        </w:rPr>
        <w:t xml:space="preserve"> до правоохоронних та розвідувальних органів</w:t>
      </w:r>
      <w:r w:rsidR="00515A57" w:rsidRPr="005B27A3">
        <w:rPr>
          <w:rFonts w:ascii="Times New Roman" w:hAnsi="Times New Roman"/>
          <w:color w:val="000000"/>
          <w:sz w:val="28"/>
          <w:szCs w:val="28"/>
        </w:rPr>
        <w:t xml:space="preserve"> </w:t>
      </w:r>
      <w:r w:rsidR="00515A57" w:rsidRPr="005B27A3">
        <w:rPr>
          <w:rFonts w:ascii="Times New Roman" w:hAnsi="Times New Roman"/>
          <w:color w:val="000000"/>
          <w:sz w:val="28"/>
          <w:szCs w:val="28"/>
        </w:rPr>
        <w:t>узагальнених матеріалів</w:t>
      </w:r>
      <w:r w:rsidR="0030715C" w:rsidRPr="005B27A3">
        <w:rPr>
          <w:rFonts w:ascii="Times New Roman" w:hAnsi="Times New Roman"/>
          <w:color w:val="000000"/>
          <w:sz w:val="28"/>
          <w:szCs w:val="28"/>
        </w:rPr>
        <w:t xml:space="preserve"> в яких використовувалася інформація з Єдиного реєстру рахунків</w:t>
      </w:r>
      <w:r w:rsidRPr="005B27A3">
        <w:rPr>
          <w:rFonts w:ascii="Times New Roman" w:hAnsi="Times New Roman"/>
          <w:color w:val="000000"/>
          <w:sz w:val="28"/>
          <w:szCs w:val="28"/>
        </w:rPr>
        <w:t>.</w:t>
      </w:r>
    </w:p>
    <w:p w:rsidR="002F06D1" w:rsidRPr="005B27A3" w:rsidRDefault="00A307A2">
      <w:pPr>
        <w:spacing w:after="0" w:line="240" w:lineRule="auto"/>
        <w:ind w:firstLine="567"/>
        <w:jc w:val="both"/>
        <w:rPr>
          <w:rFonts w:ascii="Times New Roman" w:hAnsi="Times New Roman"/>
          <w:color w:val="000000"/>
          <w:sz w:val="28"/>
          <w:szCs w:val="28"/>
        </w:rPr>
      </w:pPr>
      <w:r w:rsidRPr="005B27A3">
        <w:rPr>
          <w:rFonts w:ascii="Times New Roman" w:hAnsi="Times New Roman"/>
          <w:color w:val="000000"/>
          <w:sz w:val="28"/>
          <w:szCs w:val="28"/>
        </w:rPr>
        <w:t>Витрати на заповнення суб’єктом господарювання інформації про відкриття банківських рахунків, рахунків у цінних паперах, інших рахунків фізичних і юридичних осіб та індивідуальних банківських сейфів становит</w:t>
      </w:r>
      <w:r w:rsidRPr="005B27A3">
        <w:rPr>
          <w:rFonts w:ascii="Times New Roman" w:hAnsi="Times New Roman"/>
          <w:color w:val="000000"/>
          <w:sz w:val="28"/>
          <w:szCs w:val="28"/>
        </w:rPr>
        <w:t>имуть: 0,17 год Х 39,26 грн/год = 6,67 гривень.</w:t>
      </w:r>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Розрахунок витрат суб’єктів господарювання наведено у додатках 1 та 2 до аналізу регуляторного впливу. </w:t>
      </w:r>
    </w:p>
    <w:p w:rsidR="002F06D1" w:rsidRPr="005B27A3" w:rsidRDefault="00A307A2">
      <w:pPr>
        <w:widowControl w:val="0"/>
        <w:spacing w:after="0" w:line="240" w:lineRule="auto"/>
        <w:ind w:left="20"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Визначення орієнтовного розміру втрат та </w:t>
      </w:r>
      <w:proofErr w:type="spellStart"/>
      <w:r w:rsidRPr="005B27A3">
        <w:rPr>
          <w:rFonts w:ascii="Times New Roman" w:hAnsi="Times New Roman"/>
          <w:color w:val="000000"/>
          <w:sz w:val="28"/>
          <w:szCs w:val="28"/>
          <w:shd w:val="clear" w:color="auto" w:fill="FFFFFF"/>
          <w:lang w:eastAsia="uk-UA"/>
        </w:rPr>
        <w:t>вигод</w:t>
      </w:r>
      <w:proofErr w:type="spellEnd"/>
      <w:r w:rsidRPr="005B27A3">
        <w:rPr>
          <w:rFonts w:ascii="Times New Roman" w:hAnsi="Times New Roman"/>
          <w:color w:val="000000"/>
          <w:sz w:val="28"/>
          <w:szCs w:val="28"/>
          <w:shd w:val="clear" w:color="auto" w:fill="FFFFFF"/>
          <w:lang w:eastAsia="uk-UA"/>
        </w:rPr>
        <w:t xml:space="preserve"> для суспільства, пов’язаних з застосуванням проекту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w:t>
      </w:r>
      <w:r w:rsidRPr="005B27A3">
        <w:rPr>
          <w:rFonts w:ascii="Times New Roman" w:hAnsi="Times New Roman"/>
          <w:color w:val="000000"/>
          <w:sz w:val="28"/>
          <w:szCs w:val="28"/>
          <w:shd w:val="clear" w:color="auto" w:fill="FFFFFF"/>
          <w:lang w:eastAsia="uk-UA"/>
        </w:rPr>
        <w:t>є неможливим. Якісним показником результативності запропонованого регуляторного акту можна визначити виконання завдань моніторингу і контро</w:t>
      </w:r>
      <w:r w:rsidR="005B27A3" w:rsidRPr="005B27A3">
        <w:rPr>
          <w:rFonts w:ascii="Times New Roman" w:hAnsi="Times New Roman"/>
          <w:color w:val="000000"/>
          <w:sz w:val="28"/>
          <w:szCs w:val="28"/>
          <w:shd w:val="clear" w:color="auto" w:fill="FFFFFF"/>
          <w:lang w:eastAsia="uk-UA"/>
        </w:rPr>
        <w:t>л</w:t>
      </w:r>
      <w:r w:rsidRPr="005B27A3">
        <w:rPr>
          <w:rFonts w:ascii="Times New Roman" w:hAnsi="Times New Roman"/>
          <w:color w:val="000000"/>
          <w:sz w:val="28"/>
          <w:szCs w:val="28"/>
          <w:shd w:val="clear" w:color="auto" w:fill="FFFFFF"/>
          <w:lang w:eastAsia="uk-UA"/>
        </w:rPr>
        <w:t>ю щодо запобігання використанню фінансової системи для відмивання грошей або фінансування тероризму після впровадженн</w:t>
      </w:r>
      <w:r w:rsidRPr="005B27A3">
        <w:rPr>
          <w:rFonts w:ascii="Times New Roman" w:hAnsi="Times New Roman"/>
          <w:color w:val="000000"/>
          <w:sz w:val="28"/>
          <w:szCs w:val="28"/>
          <w:shd w:val="clear" w:color="auto" w:fill="FFFFFF"/>
          <w:lang w:eastAsia="uk-UA"/>
        </w:rPr>
        <w:t>я Єдиного реєстру рахунків.</w:t>
      </w:r>
    </w:p>
    <w:p w:rsidR="002F06D1" w:rsidRPr="005B27A3" w:rsidRDefault="002F06D1">
      <w:pPr>
        <w:widowControl w:val="0"/>
        <w:spacing w:after="0" w:line="240" w:lineRule="auto"/>
        <w:ind w:right="20"/>
        <w:jc w:val="both"/>
        <w:rPr>
          <w:rFonts w:ascii="Times New Roman" w:hAnsi="Times New Roman"/>
          <w:color w:val="000000"/>
          <w:sz w:val="28"/>
          <w:szCs w:val="28"/>
          <w:shd w:val="clear" w:color="auto" w:fill="FFFFFF"/>
          <w:lang w:eastAsia="uk-UA"/>
        </w:rPr>
      </w:pPr>
    </w:p>
    <w:p w:rsidR="005B27A3" w:rsidRPr="005B27A3" w:rsidRDefault="005B27A3">
      <w:pPr>
        <w:widowControl w:val="0"/>
        <w:spacing w:after="0" w:line="240" w:lineRule="auto"/>
        <w:ind w:right="20"/>
        <w:jc w:val="both"/>
        <w:rPr>
          <w:rFonts w:ascii="Times New Roman" w:hAnsi="Times New Roman"/>
          <w:color w:val="000000"/>
          <w:sz w:val="28"/>
          <w:szCs w:val="28"/>
          <w:shd w:val="clear" w:color="auto" w:fill="FFFFFF"/>
          <w:lang w:eastAsia="uk-UA"/>
        </w:rPr>
      </w:pPr>
    </w:p>
    <w:p w:rsidR="002F06D1" w:rsidRPr="005B27A3" w:rsidRDefault="00A307A2">
      <w:pPr>
        <w:widowControl w:val="0"/>
        <w:spacing w:before="120" w:after="120" w:line="240" w:lineRule="auto"/>
        <w:ind w:right="23" w:firstLine="567"/>
        <w:jc w:val="both"/>
        <w:rPr>
          <w:rFonts w:ascii="Times New Roman" w:hAnsi="Times New Roman"/>
          <w:b/>
          <w:bCs/>
          <w:color w:val="000000"/>
          <w:sz w:val="28"/>
          <w:szCs w:val="28"/>
          <w:shd w:val="clear" w:color="auto" w:fill="FFFFFF"/>
          <w:lang w:eastAsia="uk-UA"/>
        </w:rPr>
      </w:pPr>
      <w:r w:rsidRPr="005B27A3">
        <w:rPr>
          <w:rFonts w:ascii="Times New Roman" w:hAnsi="Times New Roman"/>
          <w:b/>
          <w:bCs/>
          <w:color w:val="000000"/>
          <w:sz w:val="28"/>
          <w:szCs w:val="28"/>
          <w:shd w:val="clear" w:color="auto" w:fill="FFFFFF"/>
          <w:lang w:eastAsia="uk-UA"/>
        </w:rPr>
        <w:t>IX. Визначення заходів, за допомогою яких здійснюватиметься</w:t>
      </w:r>
      <w:r w:rsidRPr="005B27A3">
        <w:rPr>
          <w:rFonts w:ascii="Times New Roman" w:hAnsi="Times New Roman"/>
          <w:b/>
          <w:bCs/>
          <w:color w:val="000000"/>
          <w:sz w:val="28"/>
          <w:szCs w:val="28"/>
          <w:shd w:val="clear" w:color="auto" w:fill="FFFFFF"/>
          <w:lang w:eastAsia="uk-UA"/>
        </w:rPr>
        <w:t xml:space="preserve"> </w:t>
      </w:r>
      <w:r w:rsidRPr="005B27A3">
        <w:rPr>
          <w:rFonts w:ascii="Times New Roman" w:hAnsi="Times New Roman"/>
          <w:b/>
          <w:bCs/>
          <w:color w:val="000000"/>
          <w:sz w:val="28"/>
          <w:szCs w:val="28"/>
          <w:shd w:val="clear" w:color="auto" w:fill="FFFFFF"/>
          <w:lang w:eastAsia="uk-UA"/>
        </w:rPr>
        <w:t xml:space="preserve">відстеження результативності дії регуляторного </w:t>
      </w:r>
      <w:proofErr w:type="spellStart"/>
      <w:r w:rsidRPr="005B27A3">
        <w:rPr>
          <w:rFonts w:ascii="Times New Roman" w:hAnsi="Times New Roman"/>
          <w:b/>
          <w:bCs/>
          <w:color w:val="000000"/>
          <w:sz w:val="28"/>
          <w:szCs w:val="28"/>
          <w:shd w:val="clear" w:color="auto" w:fill="FFFFFF"/>
          <w:lang w:eastAsia="uk-UA"/>
        </w:rPr>
        <w:t>акта</w:t>
      </w:r>
      <w:proofErr w:type="spellEnd"/>
    </w:p>
    <w:p w:rsidR="002F06D1" w:rsidRPr="005B27A3" w:rsidRDefault="00A307A2">
      <w:pPr>
        <w:widowControl w:val="0"/>
        <w:spacing w:after="0" w:line="240" w:lineRule="auto"/>
        <w:ind w:right="20" w:firstLine="567"/>
        <w:jc w:val="both"/>
        <w:rPr>
          <w:rFonts w:ascii="Times New Roman" w:hAnsi="Times New Roman"/>
          <w:color w:val="000000"/>
          <w:sz w:val="28"/>
          <w:szCs w:val="28"/>
          <w:lang w:eastAsia="uk-UA"/>
        </w:rPr>
      </w:pPr>
      <w:r w:rsidRPr="005B27A3">
        <w:rPr>
          <w:rFonts w:ascii="Times New Roman" w:hAnsi="Times New Roman"/>
          <w:color w:val="000000"/>
          <w:sz w:val="28"/>
          <w:szCs w:val="28"/>
          <w:shd w:val="clear" w:color="auto" w:fill="FFFFFF"/>
          <w:lang w:eastAsia="uk-UA"/>
        </w:rPr>
        <w:t xml:space="preserve">Відстеження результативності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буде здійснюватися шляхом аналізу статистичних даних, отриманих від</w:t>
      </w:r>
      <w:r w:rsidRPr="005B27A3">
        <w:rPr>
          <w:rFonts w:ascii="Times New Roman" w:hAnsi="Times New Roman"/>
          <w:color w:val="000000"/>
          <w:sz w:val="28"/>
          <w:szCs w:val="28"/>
          <w:shd w:val="clear" w:color="auto" w:fill="FFFFFF"/>
          <w:lang w:eastAsia="uk-UA"/>
        </w:rPr>
        <w:t xml:space="preserve"> ДПС та Держфінмоніторингу</w:t>
      </w:r>
      <w:r w:rsidRPr="005B27A3">
        <w:rPr>
          <w:rFonts w:ascii="Times New Roman" w:hAnsi="Times New Roman"/>
          <w:color w:val="000000"/>
          <w:sz w:val="28"/>
          <w:szCs w:val="28"/>
          <w:lang w:eastAsia="uk-UA"/>
        </w:rPr>
        <w:t>.</w:t>
      </w:r>
    </w:p>
    <w:p w:rsidR="002F06D1" w:rsidRPr="005B27A3" w:rsidRDefault="00A307A2">
      <w:pPr>
        <w:widowControl w:val="0"/>
        <w:spacing w:after="0" w:line="240" w:lineRule="auto"/>
        <w:ind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Результативність дії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буде здійснюватися за допомогою здійснення базового, повторного та періодичного </w:t>
      </w:r>
      <w:proofErr w:type="spellStart"/>
      <w:r w:rsidRPr="005B27A3">
        <w:rPr>
          <w:rFonts w:ascii="Times New Roman" w:hAnsi="Times New Roman"/>
          <w:color w:val="000000"/>
          <w:sz w:val="28"/>
          <w:szCs w:val="28"/>
          <w:shd w:val="clear" w:color="auto" w:fill="FFFFFF"/>
          <w:lang w:eastAsia="uk-UA"/>
        </w:rPr>
        <w:t>відстежень</w:t>
      </w:r>
      <w:proofErr w:type="spellEnd"/>
      <w:r w:rsidRPr="005B27A3">
        <w:rPr>
          <w:rFonts w:ascii="Times New Roman" w:hAnsi="Times New Roman"/>
          <w:color w:val="000000"/>
          <w:sz w:val="28"/>
          <w:szCs w:val="28"/>
          <w:shd w:val="clear" w:color="auto" w:fill="FFFFFF"/>
          <w:lang w:eastAsia="uk-UA"/>
        </w:rPr>
        <w:t>.</w:t>
      </w:r>
    </w:p>
    <w:p w:rsidR="002F06D1" w:rsidRPr="005B27A3" w:rsidRDefault="00A307A2">
      <w:pPr>
        <w:widowControl w:val="0"/>
        <w:spacing w:after="0" w:line="240" w:lineRule="auto"/>
        <w:ind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Базове відстеження результативності дії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буде проведено через рік з дня набран</w:t>
      </w:r>
      <w:r w:rsidRPr="005B27A3">
        <w:rPr>
          <w:rFonts w:ascii="Times New Roman" w:hAnsi="Times New Roman"/>
          <w:color w:val="000000"/>
          <w:sz w:val="28"/>
          <w:szCs w:val="28"/>
          <w:shd w:val="clear" w:color="auto" w:fill="FFFFFF"/>
          <w:lang w:eastAsia="uk-UA"/>
        </w:rPr>
        <w:t>ня чинності регуляторним актом шляхом аналізу статистичних даних, отриманих від ДПС та Держфінмоніторингу.</w:t>
      </w:r>
    </w:p>
    <w:p w:rsidR="002F06D1" w:rsidRPr="005B27A3" w:rsidRDefault="00A307A2">
      <w:pPr>
        <w:widowControl w:val="0"/>
        <w:spacing w:after="0" w:line="240" w:lineRule="auto"/>
        <w:ind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 xml:space="preserve">Повторне відстеження результативності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здійснюється через два роки з дня набрання ним чинності.</w:t>
      </w:r>
    </w:p>
    <w:p w:rsidR="002F06D1" w:rsidRPr="005B27A3" w:rsidRDefault="00A307A2">
      <w:pPr>
        <w:widowControl w:val="0"/>
        <w:spacing w:after="0" w:line="240" w:lineRule="auto"/>
        <w:ind w:right="20" w:firstLine="567"/>
        <w:jc w:val="both"/>
        <w:rPr>
          <w:rFonts w:ascii="Times New Roman" w:hAnsi="Times New Roman"/>
          <w:color w:val="000000"/>
          <w:sz w:val="28"/>
          <w:szCs w:val="28"/>
          <w:shd w:val="clear" w:color="auto" w:fill="FFFFFF"/>
          <w:lang w:eastAsia="uk-UA"/>
        </w:rPr>
      </w:pPr>
      <w:r w:rsidRPr="005B27A3">
        <w:rPr>
          <w:rFonts w:ascii="Times New Roman" w:hAnsi="Times New Roman"/>
          <w:color w:val="000000"/>
          <w:sz w:val="28"/>
          <w:szCs w:val="28"/>
          <w:shd w:val="clear" w:color="auto" w:fill="FFFFFF"/>
          <w:lang w:eastAsia="uk-UA"/>
        </w:rPr>
        <w:t>Періодичне відстеження результативн</w:t>
      </w:r>
      <w:r w:rsidRPr="005B27A3">
        <w:rPr>
          <w:rFonts w:ascii="Times New Roman" w:hAnsi="Times New Roman"/>
          <w:color w:val="000000"/>
          <w:sz w:val="28"/>
          <w:szCs w:val="28"/>
          <w:shd w:val="clear" w:color="auto" w:fill="FFFFFF"/>
          <w:lang w:eastAsia="uk-UA"/>
        </w:rPr>
        <w:t xml:space="preserve">ості регуляторного </w:t>
      </w:r>
      <w:proofErr w:type="spellStart"/>
      <w:r w:rsidRPr="005B27A3">
        <w:rPr>
          <w:rFonts w:ascii="Times New Roman" w:hAnsi="Times New Roman"/>
          <w:color w:val="000000"/>
          <w:sz w:val="28"/>
          <w:szCs w:val="28"/>
          <w:shd w:val="clear" w:color="auto" w:fill="FFFFFF"/>
          <w:lang w:eastAsia="uk-UA"/>
        </w:rPr>
        <w:t>акта</w:t>
      </w:r>
      <w:proofErr w:type="spellEnd"/>
      <w:r w:rsidRPr="005B27A3">
        <w:rPr>
          <w:rFonts w:ascii="Times New Roman" w:hAnsi="Times New Roman"/>
          <w:color w:val="000000"/>
          <w:sz w:val="28"/>
          <w:szCs w:val="28"/>
          <w:shd w:val="clear" w:color="auto" w:fill="FFFFFF"/>
          <w:lang w:eastAsia="uk-UA"/>
        </w:rPr>
        <w:t xml:space="preserve"> здійснюється раз на три роки, починаючи із дня виконання заходів із повторного відстеження.</w:t>
      </w:r>
    </w:p>
    <w:p w:rsidR="002F06D1" w:rsidRPr="005B27A3" w:rsidRDefault="00A307A2">
      <w:pPr>
        <w:widowControl w:val="0"/>
        <w:spacing w:after="0" w:line="240" w:lineRule="auto"/>
        <w:ind w:right="20" w:firstLine="567"/>
        <w:jc w:val="both"/>
        <w:rPr>
          <w:rFonts w:ascii="Times New Roman" w:hAnsi="Times New Roman"/>
          <w:sz w:val="28"/>
          <w:szCs w:val="28"/>
        </w:rPr>
      </w:pPr>
      <w:r w:rsidRPr="005B27A3">
        <w:rPr>
          <w:rFonts w:ascii="Times New Roman" w:hAnsi="Times New Roman"/>
          <w:color w:val="000000"/>
          <w:sz w:val="28"/>
          <w:szCs w:val="28"/>
        </w:rPr>
        <w:t xml:space="preserve">Відстеження результативності цього регуляторного </w:t>
      </w:r>
      <w:proofErr w:type="spellStart"/>
      <w:r w:rsidRPr="005B27A3">
        <w:rPr>
          <w:rFonts w:ascii="Times New Roman" w:hAnsi="Times New Roman"/>
          <w:color w:val="000000"/>
          <w:sz w:val="28"/>
          <w:szCs w:val="28"/>
        </w:rPr>
        <w:t>акта</w:t>
      </w:r>
      <w:proofErr w:type="spellEnd"/>
      <w:r w:rsidRPr="005B27A3">
        <w:rPr>
          <w:rFonts w:ascii="Times New Roman" w:hAnsi="Times New Roman"/>
          <w:color w:val="000000"/>
          <w:sz w:val="28"/>
          <w:szCs w:val="28"/>
        </w:rPr>
        <w:t>, у разі його прийняття, здійснюватиметься Міністерством фінансів України.</w:t>
      </w:r>
    </w:p>
    <w:p w:rsidR="002F06D1" w:rsidRPr="005B27A3" w:rsidRDefault="002F06D1">
      <w:pPr>
        <w:widowControl w:val="0"/>
        <w:spacing w:after="0" w:line="240" w:lineRule="auto"/>
        <w:ind w:right="20"/>
        <w:jc w:val="both"/>
        <w:rPr>
          <w:rFonts w:ascii="Times New Roman" w:hAnsi="Times New Roman"/>
          <w:b/>
          <w:bCs/>
          <w:sz w:val="28"/>
          <w:szCs w:val="28"/>
          <w:shd w:val="clear" w:color="auto" w:fill="FFFFFF"/>
          <w:lang w:eastAsia="uk-UA"/>
        </w:rPr>
      </w:pPr>
    </w:p>
    <w:p w:rsidR="002F06D1" w:rsidRPr="005B27A3" w:rsidRDefault="002F06D1">
      <w:pPr>
        <w:widowControl w:val="0"/>
        <w:spacing w:after="0" w:line="240" w:lineRule="auto"/>
        <w:ind w:right="20"/>
        <w:jc w:val="both"/>
        <w:rPr>
          <w:rFonts w:ascii="Times New Roman" w:hAnsi="Times New Roman"/>
          <w:b/>
          <w:bCs/>
          <w:sz w:val="28"/>
          <w:szCs w:val="28"/>
          <w:shd w:val="clear" w:color="auto" w:fill="FFFFFF"/>
          <w:lang w:eastAsia="uk-UA"/>
        </w:rPr>
      </w:pPr>
    </w:p>
    <w:p w:rsidR="002F06D1" w:rsidRPr="005B27A3" w:rsidRDefault="00A307A2">
      <w:pPr>
        <w:widowControl w:val="0"/>
        <w:tabs>
          <w:tab w:val="left" w:pos="851"/>
        </w:tabs>
        <w:spacing w:after="0" w:line="240" w:lineRule="auto"/>
        <w:jc w:val="both"/>
        <w:rPr>
          <w:rFonts w:ascii="Times New Roman" w:hAnsi="Times New Roman"/>
          <w:b/>
          <w:sz w:val="28"/>
          <w:szCs w:val="28"/>
          <w:lang w:eastAsia="ru-RU"/>
        </w:rPr>
      </w:pPr>
      <w:r w:rsidRPr="005B27A3">
        <w:rPr>
          <w:rFonts w:ascii="Times New Roman" w:hAnsi="Times New Roman"/>
          <w:b/>
          <w:sz w:val="28"/>
          <w:szCs w:val="28"/>
          <w:lang w:eastAsia="ru-RU"/>
        </w:rPr>
        <w:t>Міністр фі</w:t>
      </w:r>
      <w:r w:rsidRPr="005B27A3">
        <w:rPr>
          <w:rFonts w:ascii="Times New Roman" w:hAnsi="Times New Roman"/>
          <w:b/>
          <w:sz w:val="28"/>
          <w:szCs w:val="28"/>
          <w:lang w:eastAsia="ru-RU"/>
        </w:rPr>
        <w:t>нансів України                                                              Сергій МАРЧЕНКО</w:t>
      </w:r>
    </w:p>
    <w:p w:rsidR="002F06D1" w:rsidRPr="005B27A3" w:rsidRDefault="002F06D1">
      <w:pPr>
        <w:spacing w:after="0" w:line="240" w:lineRule="auto"/>
        <w:ind w:firstLine="567"/>
        <w:jc w:val="both"/>
        <w:rPr>
          <w:rFonts w:ascii="Times New Roman" w:hAnsi="Times New Roman"/>
          <w:sz w:val="28"/>
          <w:szCs w:val="28"/>
          <w:lang w:eastAsia="ru-RU"/>
        </w:rPr>
      </w:pPr>
    </w:p>
    <w:p w:rsidR="002F06D1" w:rsidRPr="005B27A3" w:rsidRDefault="00A307A2">
      <w:pPr>
        <w:widowControl w:val="0"/>
        <w:spacing w:after="0" w:line="240" w:lineRule="auto"/>
        <w:ind w:right="23"/>
        <w:jc w:val="both"/>
        <w:rPr>
          <w:rFonts w:ascii="Times New Roman" w:hAnsi="Times New Roman"/>
          <w:sz w:val="28"/>
          <w:szCs w:val="28"/>
          <w:shd w:val="clear" w:color="auto" w:fill="FFFFFF"/>
          <w:lang w:eastAsia="uk-UA"/>
        </w:rPr>
      </w:pPr>
      <w:r w:rsidRPr="005B27A3">
        <w:rPr>
          <w:rFonts w:ascii="Times New Roman" w:hAnsi="Times New Roman"/>
          <w:sz w:val="28"/>
          <w:szCs w:val="28"/>
          <w:shd w:val="clear" w:color="auto" w:fill="FFFFFF"/>
          <w:lang w:eastAsia="uk-UA"/>
        </w:rPr>
        <w:t xml:space="preserve"> </w:t>
      </w:r>
    </w:p>
    <w:p w:rsidR="002F06D1" w:rsidRPr="005B27A3" w:rsidRDefault="00A307A2">
      <w:pPr>
        <w:spacing w:after="0" w:line="240" w:lineRule="auto"/>
        <w:rPr>
          <w:rFonts w:ascii="Times New Roman" w:hAnsi="Times New Roman"/>
          <w:sz w:val="28"/>
          <w:szCs w:val="28"/>
        </w:rPr>
      </w:pPr>
      <w:r w:rsidRPr="005B27A3">
        <w:rPr>
          <w:rFonts w:ascii="Times New Roman" w:hAnsi="Times New Roman"/>
          <w:sz w:val="28"/>
          <w:szCs w:val="28"/>
          <w:shd w:val="clear" w:color="auto" w:fill="FFFFFF"/>
          <w:lang w:eastAsia="uk-UA"/>
        </w:rPr>
        <w:t>___._______________2022 р.</w:t>
      </w:r>
    </w:p>
    <w:p w:rsidR="002F06D1" w:rsidRPr="005B27A3" w:rsidRDefault="002F06D1">
      <w:pPr>
        <w:widowControl w:val="0"/>
        <w:spacing w:before="120" w:after="120" w:line="240" w:lineRule="auto"/>
        <w:ind w:left="23" w:right="23" w:firstLine="544"/>
        <w:jc w:val="both"/>
        <w:rPr>
          <w:rFonts w:ascii="Times New Roman" w:hAnsi="Times New Roman"/>
          <w:sz w:val="28"/>
          <w:szCs w:val="28"/>
        </w:rPr>
      </w:pPr>
    </w:p>
    <w:p w:rsidR="002F06D1" w:rsidRPr="005B27A3" w:rsidRDefault="002F06D1"/>
    <w:sectPr w:rsidR="002F06D1" w:rsidRPr="005B27A3">
      <w:headerReference w:type="default" r:id="rId9"/>
      <w:pgSz w:w="11906" w:h="16838"/>
      <w:pgMar w:top="1134" w:right="567"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A2" w:rsidRDefault="00A307A2">
      <w:pPr>
        <w:spacing w:after="0" w:line="240" w:lineRule="auto"/>
      </w:pPr>
    </w:p>
  </w:endnote>
  <w:endnote w:type="continuationSeparator" w:id="0">
    <w:p w:rsidR="00A307A2" w:rsidRDefault="00A30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A2" w:rsidRDefault="00A307A2">
      <w:pPr>
        <w:spacing w:after="0" w:line="240" w:lineRule="auto"/>
      </w:pPr>
    </w:p>
  </w:footnote>
  <w:footnote w:type="continuationSeparator" w:id="0">
    <w:p w:rsidR="00A307A2" w:rsidRDefault="00A30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D1" w:rsidRDefault="00A307A2">
    <w:pPr>
      <w:pStyle w:val="a6"/>
      <w:jc w:val="center"/>
    </w:pPr>
    <w:r>
      <w:fldChar w:fldCharType="begin"/>
    </w:r>
    <w:r>
      <w:instrText>PAGE   \* MERGEFORMAT</w:instrText>
    </w:r>
    <w:r>
      <w:fldChar w:fldCharType="separate"/>
    </w:r>
    <w:r w:rsidR="005B27A3">
      <w:rPr>
        <w:noProof/>
      </w:rPr>
      <w:t>16</w:t>
    </w:r>
    <w:r>
      <w:rPr>
        <w:noProof/>
      </w:rPr>
      <w:fldChar w:fldCharType="end"/>
    </w:r>
  </w:p>
  <w:p w:rsidR="002F06D1" w:rsidRDefault="002F06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CA5"/>
    <w:multiLevelType w:val="hybridMultilevel"/>
    <w:tmpl w:val="7F0EA522"/>
    <w:lvl w:ilvl="0" w:tplc="EFFADF6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0E1A1D02"/>
    <w:multiLevelType w:val="hybridMultilevel"/>
    <w:tmpl w:val="09684C82"/>
    <w:lvl w:ilvl="0" w:tplc="3646AA4A">
      <w:start w:val="6"/>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2" w15:restartNumberingAfterBreak="0">
    <w:nsid w:val="134B4D40"/>
    <w:multiLevelType w:val="multilevel"/>
    <w:tmpl w:val="566A8F80"/>
    <w:lvl w:ilvl="0">
      <w:start w:val="1"/>
      <w:numFmt w:val="decimal"/>
      <w:lvlText w:val="%1."/>
      <w:lvlJc w:val="left"/>
      <w:rPr>
        <w:rFonts w:ascii="Times New Roman" w:hAnsi="Times New Roman"/>
        <w:b w:val="0"/>
        <w:bCs w:val="0"/>
        <w:i w:val="0"/>
        <w:iCs w:val="0"/>
        <w:smallCaps w:val="0"/>
        <w:color w:val="000000"/>
        <w:spacing w:val="0"/>
        <w:w w:val="100"/>
        <w:position w:val="0"/>
        <w:sz w:val="28"/>
        <w:szCs w:val="28"/>
        <w:u w:val="none"/>
        <w:lang w:val="uk"/>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A840261"/>
    <w:multiLevelType w:val="hybridMultilevel"/>
    <w:tmpl w:val="B9D2231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D1E3060"/>
    <w:multiLevelType w:val="hybridMultilevel"/>
    <w:tmpl w:val="DDB05CFE"/>
    <w:lvl w:ilvl="0" w:tplc="63927202">
      <w:start w:val="2"/>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5" w15:restartNumberingAfterBreak="0">
    <w:nsid w:val="1FCB745E"/>
    <w:multiLevelType w:val="hybridMultilevel"/>
    <w:tmpl w:val="AE581B06"/>
    <w:lvl w:ilvl="0" w:tplc="246E03FE">
      <w:start w:val="1"/>
      <w:numFmt w:val="decimal"/>
      <w:lvlText w:val="%1)"/>
      <w:lvlJc w:val="left"/>
      <w:pPr>
        <w:ind w:left="1080" w:hanging="360"/>
      </w:pPr>
      <w:rPr>
        <w:b w:val="0"/>
        <w:bCs w:val="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15:restartNumberingAfterBreak="0">
    <w:nsid w:val="3A3F4DC8"/>
    <w:multiLevelType w:val="hybridMultilevel"/>
    <w:tmpl w:val="27EA97B6"/>
    <w:lvl w:ilvl="0" w:tplc="FDAAEF76">
      <w:start w:val="6"/>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7" w15:restartNumberingAfterBreak="0">
    <w:nsid w:val="40455CC3"/>
    <w:multiLevelType w:val="hybridMultilevel"/>
    <w:tmpl w:val="F6640DD6"/>
    <w:lvl w:ilvl="0" w:tplc="2F1803C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6B01F93"/>
    <w:multiLevelType w:val="hybridMultilevel"/>
    <w:tmpl w:val="BC70AC00"/>
    <w:lvl w:ilvl="0" w:tplc="A1EA13B8">
      <w:start w:val="1"/>
      <w:numFmt w:val="decimal"/>
      <w:lvlText w:val="%1."/>
      <w:lvlJc w:val="left"/>
      <w:pPr>
        <w:ind w:left="832" w:hanging="360"/>
      </w:pPr>
      <w:rPr>
        <w:b w:val="0"/>
        <w:bCs w:val="0"/>
        <w:sz w:val="24"/>
        <w:szCs w:val="24"/>
      </w:rPr>
    </w:lvl>
    <w:lvl w:ilvl="1" w:tplc="04220019">
      <w:start w:val="1"/>
      <w:numFmt w:val="lowerLetter"/>
      <w:lvlText w:val="%2."/>
      <w:lvlJc w:val="left"/>
      <w:pPr>
        <w:ind w:left="1552" w:hanging="360"/>
      </w:pPr>
    </w:lvl>
    <w:lvl w:ilvl="2" w:tplc="0422001B">
      <w:start w:val="1"/>
      <w:numFmt w:val="lowerRoman"/>
      <w:lvlText w:val="%3."/>
      <w:lvlJc w:val="right"/>
      <w:pPr>
        <w:ind w:left="2272" w:hanging="180"/>
      </w:pPr>
    </w:lvl>
    <w:lvl w:ilvl="3" w:tplc="0422000F">
      <w:start w:val="1"/>
      <w:numFmt w:val="decimal"/>
      <w:lvlText w:val="%4."/>
      <w:lvlJc w:val="left"/>
      <w:pPr>
        <w:ind w:left="2992" w:hanging="360"/>
      </w:pPr>
    </w:lvl>
    <w:lvl w:ilvl="4" w:tplc="04220019">
      <w:start w:val="1"/>
      <w:numFmt w:val="lowerLetter"/>
      <w:lvlText w:val="%5."/>
      <w:lvlJc w:val="left"/>
      <w:pPr>
        <w:ind w:left="3712" w:hanging="360"/>
      </w:pPr>
    </w:lvl>
    <w:lvl w:ilvl="5" w:tplc="0422001B">
      <w:start w:val="1"/>
      <w:numFmt w:val="lowerRoman"/>
      <w:lvlText w:val="%6."/>
      <w:lvlJc w:val="right"/>
      <w:pPr>
        <w:ind w:left="4432" w:hanging="180"/>
      </w:pPr>
    </w:lvl>
    <w:lvl w:ilvl="6" w:tplc="0422000F">
      <w:start w:val="1"/>
      <w:numFmt w:val="decimal"/>
      <w:lvlText w:val="%7."/>
      <w:lvlJc w:val="left"/>
      <w:pPr>
        <w:ind w:left="5152" w:hanging="360"/>
      </w:pPr>
    </w:lvl>
    <w:lvl w:ilvl="7" w:tplc="04220019">
      <w:start w:val="1"/>
      <w:numFmt w:val="lowerLetter"/>
      <w:lvlText w:val="%8."/>
      <w:lvlJc w:val="left"/>
      <w:pPr>
        <w:ind w:left="5872" w:hanging="360"/>
      </w:pPr>
    </w:lvl>
    <w:lvl w:ilvl="8" w:tplc="0422001B">
      <w:start w:val="1"/>
      <w:numFmt w:val="lowerRoman"/>
      <w:lvlText w:val="%9."/>
      <w:lvlJc w:val="right"/>
      <w:pPr>
        <w:ind w:left="6592" w:hanging="180"/>
      </w:pPr>
    </w:lvl>
  </w:abstractNum>
  <w:abstractNum w:abstractNumId="9" w15:restartNumberingAfterBreak="0">
    <w:nsid w:val="4A364964"/>
    <w:multiLevelType w:val="hybridMultilevel"/>
    <w:tmpl w:val="90DE293A"/>
    <w:lvl w:ilvl="0" w:tplc="1402EECA">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0" w15:restartNumberingAfterBreak="0">
    <w:nsid w:val="5BD42F14"/>
    <w:multiLevelType w:val="hybridMultilevel"/>
    <w:tmpl w:val="071AEF32"/>
    <w:lvl w:ilvl="0" w:tplc="FD3EFD82">
      <w:start w:val="6"/>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6BC40B0E"/>
    <w:multiLevelType w:val="hybridMultilevel"/>
    <w:tmpl w:val="AF526E14"/>
    <w:lvl w:ilvl="0" w:tplc="F926B84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2" w15:restartNumberingAfterBreak="0">
    <w:nsid w:val="6CCD4624"/>
    <w:multiLevelType w:val="hybridMultilevel"/>
    <w:tmpl w:val="25B60D16"/>
    <w:lvl w:ilvl="0" w:tplc="1422A550">
      <w:start w:val="1"/>
      <w:numFmt w:val="decimal"/>
      <w:lvlText w:val="%1."/>
      <w:lvlJc w:val="left"/>
      <w:pPr>
        <w:ind w:left="842" w:hanging="360"/>
      </w:pPr>
    </w:lvl>
    <w:lvl w:ilvl="1" w:tplc="04220019">
      <w:start w:val="1"/>
      <w:numFmt w:val="lowerLetter"/>
      <w:lvlText w:val="%2."/>
      <w:lvlJc w:val="left"/>
      <w:pPr>
        <w:ind w:left="1562" w:hanging="360"/>
      </w:pPr>
    </w:lvl>
    <w:lvl w:ilvl="2" w:tplc="0422001B">
      <w:start w:val="1"/>
      <w:numFmt w:val="lowerRoman"/>
      <w:lvlText w:val="%3."/>
      <w:lvlJc w:val="right"/>
      <w:pPr>
        <w:ind w:left="2282" w:hanging="180"/>
      </w:pPr>
    </w:lvl>
    <w:lvl w:ilvl="3" w:tplc="0422000F">
      <w:start w:val="1"/>
      <w:numFmt w:val="decimal"/>
      <w:lvlText w:val="%4."/>
      <w:lvlJc w:val="left"/>
      <w:pPr>
        <w:ind w:left="3002" w:hanging="360"/>
      </w:pPr>
    </w:lvl>
    <w:lvl w:ilvl="4" w:tplc="04220019">
      <w:start w:val="1"/>
      <w:numFmt w:val="lowerLetter"/>
      <w:lvlText w:val="%5."/>
      <w:lvlJc w:val="left"/>
      <w:pPr>
        <w:ind w:left="3722" w:hanging="360"/>
      </w:pPr>
    </w:lvl>
    <w:lvl w:ilvl="5" w:tplc="0422001B">
      <w:start w:val="1"/>
      <w:numFmt w:val="lowerRoman"/>
      <w:lvlText w:val="%6."/>
      <w:lvlJc w:val="right"/>
      <w:pPr>
        <w:ind w:left="4442" w:hanging="180"/>
      </w:pPr>
    </w:lvl>
    <w:lvl w:ilvl="6" w:tplc="0422000F">
      <w:start w:val="1"/>
      <w:numFmt w:val="decimal"/>
      <w:lvlText w:val="%7."/>
      <w:lvlJc w:val="left"/>
      <w:pPr>
        <w:ind w:left="5162" w:hanging="360"/>
      </w:pPr>
    </w:lvl>
    <w:lvl w:ilvl="7" w:tplc="04220019">
      <w:start w:val="1"/>
      <w:numFmt w:val="lowerLetter"/>
      <w:lvlText w:val="%8."/>
      <w:lvlJc w:val="left"/>
      <w:pPr>
        <w:ind w:left="5882" w:hanging="360"/>
      </w:pPr>
    </w:lvl>
    <w:lvl w:ilvl="8" w:tplc="0422001B">
      <w:start w:val="1"/>
      <w:numFmt w:val="lowerRoman"/>
      <w:lvlText w:val="%9."/>
      <w:lvlJc w:val="right"/>
      <w:pPr>
        <w:ind w:left="6602" w:hanging="180"/>
      </w:pPr>
    </w:lvl>
  </w:abstractNum>
  <w:abstractNum w:abstractNumId="13" w15:restartNumberingAfterBreak="0">
    <w:nsid w:val="71384D5E"/>
    <w:multiLevelType w:val="hybridMultilevel"/>
    <w:tmpl w:val="5524C73E"/>
    <w:lvl w:ilvl="0" w:tplc="FD2414F0">
      <w:start w:val="4"/>
      <w:numFmt w:val="upperRoman"/>
      <w:lvlText w:val="%1."/>
      <w:lvlJc w:val="left"/>
      <w:pPr>
        <w:ind w:left="1287" w:hanging="72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4" w15:restartNumberingAfterBreak="0">
    <w:nsid w:val="7F76301E"/>
    <w:multiLevelType w:val="hybridMultilevel"/>
    <w:tmpl w:val="B6D0E7D6"/>
    <w:lvl w:ilvl="0" w:tplc="CCAA4478">
      <w:start w:val="1"/>
      <w:numFmt w:val="decimal"/>
      <w:lvlText w:val="%1."/>
      <w:lvlJc w:val="left"/>
      <w:pPr>
        <w:ind w:left="473" w:hanging="360"/>
      </w:pPr>
      <w:rPr>
        <w:b w:val="0"/>
        <w:bCs w:val="0"/>
      </w:rPr>
    </w:lvl>
    <w:lvl w:ilvl="1" w:tplc="04220019">
      <w:start w:val="1"/>
      <w:numFmt w:val="lowerLetter"/>
      <w:lvlText w:val="%2."/>
      <w:lvlJc w:val="left"/>
      <w:pPr>
        <w:ind w:left="1193" w:hanging="360"/>
      </w:pPr>
    </w:lvl>
    <w:lvl w:ilvl="2" w:tplc="0422001B">
      <w:start w:val="1"/>
      <w:numFmt w:val="lowerRoman"/>
      <w:lvlText w:val="%3."/>
      <w:lvlJc w:val="right"/>
      <w:pPr>
        <w:ind w:left="1913" w:hanging="180"/>
      </w:pPr>
    </w:lvl>
    <w:lvl w:ilvl="3" w:tplc="0422000F">
      <w:start w:val="1"/>
      <w:numFmt w:val="decimal"/>
      <w:lvlText w:val="%4."/>
      <w:lvlJc w:val="left"/>
      <w:pPr>
        <w:ind w:left="2633" w:hanging="360"/>
      </w:pPr>
    </w:lvl>
    <w:lvl w:ilvl="4" w:tplc="04220019">
      <w:start w:val="1"/>
      <w:numFmt w:val="lowerLetter"/>
      <w:lvlText w:val="%5."/>
      <w:lvlJc w:val="left"/>
      <w:pPr>
        <w:ind w:left="3353" w:hanging="360"/>
      </w:pPr>
    </w:lvl>
    <w:lvl w:ilvl="5" w:tplc="0422001B">
      <w:start w:val="1"/>
      <w:numFmt w:val="lowerRoman"/>
      <w:lvlText w:val="%6."/>
      <w:lvlJc w:val="right"/>
      <w:pPr>
        <w:ind w:left="4073" w:hanging="180"/>
      </w:pPr>
    </w:lvl>
    <w:lvl w:ilvl="6" w:tplc="0422000F">
      <w:start w:val="1"/>
      <w:numFmt w:val="decimal"/>
      <w:lvlText w:val="%7."/>
      <w:lvlJc w:val="left"/>
      <w:pPr>
        <w:ind w:left="4793" w:hanging="360"/>
      </w:pPr>
    </w:lvl>
    <w:lvl w:ilvl="7" w:tplc="04220019">
      <w:start w:val="1"/>
      <w:numFmt w:val="lowerLetter"/>
      <w:lvlText w:val="%8."/>
      <w:lvlJc w:val="left"/>
      <w:pPr>
        <w:ind w:left="5513" w:hanging="360"/>
      </w:pPr>
    </w:lvl>
    <w:lvl w:ilvl="8" w:tplc="0422001B">
      <w:start w:val="1"/>
      <w:numFmt w:val="lowerRoman"/>
      <w:lvlText w:val="%9."/>
      <w:lvlJc w:val="right"/>
      <w:pPr>
        <w:ind w:left="6233" w:hanging="180"/>
      </w:pPr>
    </w:lvl>
  </w:abstractNum>
  <w:num w:numId="1">
    <w:abstractNumId w:val="12"/>
  </w:num>
  <w:num w:numId="2">
    <w:abstractNumId w:val="9"/>
  </w:num>
  <w:num w:numId="3">
    <w:abstractNumId w:val="3"/>
  </w:num>
  <w:num w:numId="4">
    <w:abstractNumId w:val="13"/>
  </w:num>
  <w:num w:numId="5">
    <w:abstractNumId w:val="8"/>
  </w:num>
  <w:num w:numId="6">
    <w:abstractNumId w:val="14"/>
  </w:num>
  <w:num w:numId="7">
    <w:abstractNumId w:val="11"/>
  </w:num>
  <w:num w:numId="8">
    <w:abstractNumId w:val="5"/>
  </w:num>
  <w:num w:numId="9">
    <w:abstractNumId w:val="4"/>
  </w:num>
  <w:num w:numId="10">
    <w:abstractNumId w:val="1"/>
  </w:num>
  <w:num w:numId="11">
    <w:abstractNumId w:val="6"/>
  </w:num>
  <w:num w:numId="12">
    <w:abstractNumId w:val="10"/>
  </w:num>
  <w:num w:numId="13">
    <w:abstractNumId w:val="2"/>
  </w:num>
  <w:num w:numId="14">
    <w:abstractNumId w:val="7"/>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D1"/>
    <w:rsid w:val="00091AC4"/>
    <w:rsid w:val="00132A70"/>
    <w:rsid w:val="001D2501"/>
    <w:rsid w:val="002F06D1"/>
    <w:rsid w:val="0030715C"/>
    <w:rsid w:val="003215BD"/>
    <w:rsid w:val="00515A57"/>
    <w:rsid w:val="005B27A3"/>
    <w:rsid w:val="00A307A2"/>
    <w:rsid w:val="00AD4D0F"/>
    <w:rsid w:val="00C24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22EA"/>
  <w15:docId w15:val="{120BFE03-6FAA-45F4-B76B-DBEBA84B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val="uk-UA" w:eastAsia="en-US"/>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pPr>
  </w:style>
  <w:style w:type="paragraph" w:styleId="a4">
    <w:name w:val="Normal (Web)"/>
    <w:basedOn w:val="a"/>
    <w:link w:val="a5"/>
    <w:qFormat/>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Pr>
      <w:rFonts w:ascii="Times New Roman" w:hAnsi="Times New Roman"/>
      <w:color w:val="000000"/>
      <w:sz w:val="24"/>
      <w:szCs w:val="24"/>
      <w:lang w:val="uk-UA" w:eastAsia="en-US"/>
    </w:rPr>
  </w:style>
  <w:style w:type="paragraph" w:styleId="a6">
    <w:name w:val="header"/>
    <w:basedOn w:val="a"/>
    <w:link w:val="a7"/>
    <w:pPr>
      <w:tabs>
        <w:tab w:val="center" w:pos="4819"/>
        <w:tab w:val="right" w:pos="9639"/>
      </w:tabs>
      <w:spacing w:after="0" w:line="240" w:lineRule="auto"/>
    </w:pPr>
  </w:style>
  <w:style w:type="paragraph" w:styleId="a8">
    <w:name w:val="footer"/>
    <w:basedOn w:val="a"/>
    <w:link w:val="a9"/>
    <w:pPr>
      <w:tabs>
        <w:tab w:val="center" w:pos="4819"/>
        <w:tab w:val="right" w:pos="9639"/>
      </w:tabs>
      <w:spacing w:after="0" w:line="240" w:lineRule="auto"/>
    </w:pPr>
  </w:style>
  <w:style w:type="paragraph" w:styleId="aa">
    <w:name w:val="annotation text"/>
    <w:basedOn w:val="a"/>
    <w:link w:val="ab"/>
    <w:semiHidden/>
    <w:rPr>
      <w:sz w:val="20"/>
      <w:szCs w:val="20"/>
    </w:rPr>
  </w:style>
  <w:style w:type="paragraph" w:styleId="ac">
    <w:name w:val="annotation subject"/>
    <w:basedOn w:val="aa"/>
    <w:next w:val="aa"/>
    <w:link w:val="ad"/>
    <w:semiHidden/>
    <w:rPr>
      <w:b/>
      <w:bCs/>
    </w:rPr>
  </w:style>
  <w:style w:type="paragraph" w:styleId="ae">
    <w:name w:val="Balloon Text"/>
    <w:basedOn w:val="a"/>
    <w:link w:val="af"/>
    <w:semiHidden/>
    <w:rPr>
      <w:rFonts w:ascii="Tahoma" w:hAnsi="Tahoma"/>
      <w:sz w:val="16"/>
      <w:szCs w:val="16"/>
    </w:rPr>
  </w:style>
  <w:style w:type="paragraph" w:styleId="af0">
    <w:name w:val="Body Text"/>
    <w:basedOn w:val="a"/>
    <w:link w:val="af1"/>
    <w:pPr>
      <w:spacing w:after="120" w:line="240" w:lineRule="auto"/>
    </w:pPr>
    <w:rPr>
      <w:rFonts w:ascii="Times New Roman" w:hAnsi="Times New Roman"/>
      <w:sz w:val="24"/>
      <w:szCs w:val="24"/>
      <w:lang w:val="ru-RU" w:eastAsia="ru-RU"/>
    </w:rPr>
  </w:style>
  <w:style w:type="paragraph" w:styleId="af2">
    <w:name w:val="footnote text"/>
    <w:link w:val="af3"/>
    <w:semiHidden/>
    <w:rPr>
      <w:sz w:val="20"/>
      <w:szCs w:val="20"/>
    </w:rPr>
  </w:style>
  <w:style w:type="paragraph" w:styleId="af4">
    <w:name w:val="endnote text"/>
    <w:link w:val="af5"/>
    <w:semiHidden/>
    <w:rPr>
      <w:sz w:val="20"/>
      <w:szCs w:val="20"/>
    </w:rPr>
  </w:style>
  <w:style w:type="paragraph" w:customStyle="1" w:styleId="1">
    <w:name w:val="Основной текст1"/>
    <w:basedOn w:val="a"/>
    <w:link w:val="af6"/>
    <w:pPr>
      <w:shd w:val="clear" w:color="auto" w:fill="FFFFFF"/>
      <w:spacing w:before="1860" w:after="360" w:line="240" w:lineRule="auto"/>
    </w:pPr>
    <w:rPr>
      <w:rFonts w:ascii="Times New Roman" w:hAnsi="Times New Roman"/>
      <w:sz w:val="28"/>
      <w:szCs w:val="28"/>
      <w:lang w:val="ru-RU" w:eastAsia="ru-RU"/>
    </w:rPr>
  </w:style>
  <w:style w:type="character" w:styleId="af7">
    <w:name w:val="line number"/>
    <w:basedOn w:val="a0"/>
    <w:semiHidden/>
  </w:style>
  <w:style w:type="character" w:styleId="af8">
    <w:name w:val="Hyperlink"/>
    <w:basedOn w:val="a0"/>
    <w:rPr>
      <w:color w:val="0000FF" w:themeColor="hyperlink"/>
      <w:u w:val="single"/>
    </w:rPr>
  </w:style>
  <w:style w:type="character" w:customStyle="1" w:styleId="a5">
    <w:name w:val="Звичайний (веб) Знак"/>
    <w:link w:val="a4"/>
    <w:rPr>
      <w:rFonts w:ascii="Times New Roman" w:hAnsi="Times New Roman"/>
      <w:sz w:val="24"/>
      <w:szCs w:val="24"/>
      <w:lang w:val="ru-RU" w:eastAsia="ru-RU"/>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character" w:styleId="af9">
    <w:name w:val="annotation reference"/>
    <w:basedOn w:val="a0"/>
    <w:semiHidden/>
    <w:rPr>
      <w:sz w:val="16"/>
      <w:szCs w:val="16"/>
    </w:rPr>
  </w:style>
  <w:style w:type="character" w:customStyle="1" w:styleId="ab">
    <w:name w:val="Текст примітки Знак"/>
    <w:basedOn w:val="a0"/>
    <w:link w:val="aa"/>
    <w:semiHidden/>
    <w:rPr>
      <w:sz w:val="20"/>
      <w:szCs w:val="20"/>
      <w:lang w:val="uk-UA" w:eastAsia="en-US"/>
    </w:rPr>
  </w:style>
  <w:style w:type="character" w:customStyle="1" w:styleId="ad">
    <w:name w:val="Тема примітки Знак"/>
    <w:basedOn w:val="ab"/>
    <w:link w:val="ac"/>
    <w:semiHidden/>
    <w:rPr>
      <w:b/>
      <w:bCs/>
      <w:sz w:val="20"/>
      <w:szCs w:val="20"/>
      <w:lang w:val="uk-UA" w:eastAsia="en-US"/>
    </w:rPr>
  </w:style>
  <w:style w:type="character" w:customStyle="1" w:styleId="af">
    <w:name w:val="Текст у виносці Знак"/>
    <w:basedOn w:val="a0"/>
    <w:link w:val="ae"/>
    <w:semiHidden/>
    <w:rPr>
      <w:rFonts w:ascii="Times New Roman" w:hAnsi="Times New Roman"/>
      <w:lang w:val="uk-UA" w:eastAsia="en-US"/>
    </w:rPr>
  </w:style>
  <w:style w:type="character" w:customStyle="1" w:styleId="30">
    <w:name w:val="Заголовок 3 Знак"/>
    <w:basedOn w:val="a0"/>
    <w:link w:val="3"/>
    <w:rPr>
      <w:rFonts w:ascii="Arial" w:hAnsi="Arial"/>
      <w:b/>
      <w:bCs/>
      <w:sz w:val="26"/>
      <w:szCs w:val="26"/>
    </w:rPr>
  </w:style>
  <w:style w:type="character" w:customStyle="1" w:styleId="af1">
    <w:name w:val="Основний текст Знак"/>
    <w:basedOn w:val="a0"/>
    <w:link w:val="af0"/>
    <w:rPr>
      <w:rFonts w:ascii="Times New Roman" w:hAnsi="Times New Roman"/>
      <w:sz w:val="24"/>
      <w:szCs w:val="24"/>
    </w:rPr>
  </w:style>
  <w:style w:type="character" w:styleId="afa">
    <w:name w:val="footnote reference"/>
    <w:semiHidden/>
    <w:rPr>
      <w:vertAlign w:val="superscript"/>
    </w:rPr>
  </w:style>
  <w:style w:type="character" w:customStyle="1" w:styleId="af3">
    <w:name w:val="Текст виноски Знак"/>
    <w:link w:val="af2"/>
    <w:semiHidden/>
    <w:rPr>
      <w:sz w:val="20"/>
      <w:szCs w:val="20"/>
    </w:rPr>
  </w:style>
  <w:style w:type="character" w:styleId="afb">
    <w:name w:val="endnote reference"/>
    <w:semiHidden/>
    <w:rPr>
      <w:vertAlign w:val="superscript"/>
    </w:rPr>
  </w:style>
  <w:style w:type="character" w:customStyle="1" w:styleId="af5">
    <w:name w:val="Текст кінцевої виноски Знак"/>
    <w:link w:val="af4"/>
    <w:semiHidden/>
    <w:rPr>
      <w:sz w:val="20"/>
      <w:szCs w:val="20"/>
    </w:rPr>
  </w:style>
  <w:style w:type="character" w:customStyle="1" w:styleId="af6">
    <w:name w:val="Основной текст_"/>
    <w:basedOn w:val="a0"/>
    <w:link w:val="1"/>
    <w:rPr>
      <w:rFonts w:ascii="Times New Roman" w:hAnsi="Times New Roman"/>
      <w:sz w:val="28"/>
      <w:szCs w:val="28"/>
      <w:shd w:val="clear" w:color="auto" w:fill="FFFFFF"/>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Pr>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Pr>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nk.gov.ua/ua/statistic/supervision-stat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2BDF2-37C8-4EDB-AAF1-A071F96C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18362</Words>
  <Characters>10467</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Осадча Наталія Василівна</dc:creator>
  <cp:lastModifiedBy>Пономаренко Олена Петрівна</cp:lastModifiedBy>
  <cp:revision>12</cp:revision>
  <cp:lastPrinted>2021-01-13T12:21:00Z</cp:lastPrinted>
  <dcterms:created xsi:type="dcterms:W3CDTF">2022-08-11T20:03:00Z</dcterms:created>
  <dcterms:modified xsi:type="dcterms:W3CDTF">2022-08-15T08:48:00Z</dcterms:modified>
</cp:coreProperties>
</file>