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22" w:rsidRPr="001212D7" w:rsidRDefault="00015322" w:rsidP="0004000E">
      <w:pPr>
        <w:pStyle w:val="3"/>
        <w:widowControl w:val="0"/>
        <w:spacing w:before="0" w:beforeAutospacing="0" w:after="0" w:afterAutospacing="0"/>
        <w:ind w:right="-2"/>
        <w:jc w:val="center"/>
        <w:rPr>
          <w:sz w:val="32"/>
          <w:szCs w:val="32"/>
          <w:lang w:val="uk-UA"/>
        </w:rPr>
      </w:pPr>
      <w:r w:rsidRPr="001212D7">
        <w:rPr>
          <w:sz w:val="32"/>
          <w:szCs w:val="32"/>
          <w:lang w:val="uk-UA"/>
        </w:rPr>
        <w:t>АНАЛІЗ РЕГУЛЯТОРНОГО ВПЛИВУ</w:t>
      </w:r>
    </w:p>
    <w:p w:rsidR="00015322" w:rsidRPr="001212D7" w:rsidRDefault="00015322" w:rsidP="0004000E">
      <w:pPr>
        <w:widowControl w:val="0"/>
        <w:ind w:right="-2"/>
        <w:jc w:val="center"/>
        <w:rPr>
          <w:b/>
          <w:sz w:val="32"/>
          <w:szCs w:val="32"/>
          <w:lang w:val="uk-UA"/>
        </w:rPr>
      </w:pPr>
      <w:r w:rsidRPr="001212D7">
        <w:rPr>
          <w:b/>
          <w:sz w:val="32"/>
          <w:szCs w:val="32"/>
          <w:lang w:val="uk-UA"/>
        </w:rPr>
        <w:t xml:space="preserve">проекту </w:t>
      </w:r>
      <w:r w:rsidR="00626C61" w:rsidRPr="001212D7">
        <w:rPr>
          <w:b/>
          <w:sz w:val="32"/>
          <w:szCs w:val="32"/>
          <w:lang w:val="uk-UA"/>
        </w:rPr>
        <w:t xml:space="preserve">Закону </w:t>
      </w:r>
      <w:r w:rsidRPr="001212D7">
        <w:rPr>
          <w:b/>
          <w:sz w:val="32"/>
          <w:szCs w:val="32"/>
          <w:lang w:val="uk-UA"/>
        </w:rPr>
        <w:t xml:space="preserve">України </w:t>
      </w:r>
    </w:p>
    <w:p w:rsidR="00015322" w:rsidRPr="001212D7" w:rsidRDefault="00015322" w:rsidP="0004000E">
      <w:pPr>
        <w:widowControl w:val="0"/>
        <w:ind w:right="-2"/>
        <w:jc w:val="center"/>
        <w:rPr>
          <w:b/>
          <w:sz w:val="32"/>
          <w:szCs w:val="32"/>
          <w:lang w:val="uk-UA"/>
        </w:rPr>
      </w:pPr>
      <w:r w:rsidRPr="001212D7">
        <w:rPr>
          <w:b/>
          <w:bCs/>
          <w:sz w:val="32"/>
          <w:szCs w:val="32"/>
          <w:lang w:val="uk-UA"/>
        </w:rPr>
        <w:t>«</w:t>
      </w:r>
      <w:r w:rsidR="00626C61" w:rsidRPr="001212D7">
        <w:rPr>
          <w:b/>
          <w:sz w:val="32"/>
          <w:szCs w:val="32"/>
          <w:lang w:val="uk-UA"/>
        </w:rPr>
        <w:t>Про внесення змін до Податкового кодексу України щодо податку на виведений капітал</w:t>
      </w:r>
      <w:r w:rsidRPr="001212D7">
        <w:rPr>
          <w:b/>
          <w:sz w:val="32"/>
          <w:szCs w:val="32"/>
          <w:lang w:val="uk-UA"/>
        </w:rPr>
        <w:t>»</w:t>
      </w:r>
    </w:p>
    <w:p w:rsidR="00015322" w:rsidRPr="001212D7" w:rsidRDefault="00015322" w:rsidP="0004000E">
      <w:pPr>
        <w:pStyle w:val="3"/>
        <w:widowControl w:val="0"/>
        <w:spacing w:before="60" w:beforeAutospacing="0" w:after="0" w:afterAutospacing="0"/>
        <w:ind w:right="-2"/>
        <w:jc w:val="center"/>
        <w:rPr>
          <w:sz w:val="28"/>
          <w:szCs w:val="28"/>
          <w:lang w:val="uk-UA"/>
        </w:rPr>
      </w:pPr>
    </w:p>
    <w:p w:rsidR="00015322" w:rsidRPr="001212D7" w:rsidRDefault="00015322" w:rsidP="0004000E">
      <w:pPr>
        <w:pStyle w:val="3"/>
        <w:widowControl w:val="0"/>
        <w:spacing w:before="60" w:beforeAutospacing="0" w:after="0" w:afterAutospacing="0"/>
        <w:ind w:right="-2"/>
        <w:jc w:val="center"/>
        <w:rPr>
          <w:sz w:val="28"/>
          <w:szCs w:val="28"/>
          <w:lang w:val="uk-UA"/>
        </w:rPr>
      </w:pPr>
      <w:r w:rsidRPr="001212D7">
        <w:rPr>
          <w:sz w:val="28"/>
          <w:szCs w:val="28"/>
          <w:lang w:val="uk-UA"/>
        </w:rPr>
        <w:t>I. Визначення проблеми</w:t>
      </w:r>
    </w:p>
    <w:p w:rsidR="005B7C0B" w:rsidRPr="00E643AE" w:rsidRDefault="005B7C0B" w:rsidP="003F4E44">
      <w:pPr>
        <w:pStyle w:val="a3"/>
        <w:ind w:right="-2" w:firstLine="709"/>
        <w:jc w:val="both"/>
        <w:rPr>
          <w:rFonts w:eastAsia="Calibri"/>
          <w:sz w:val="28"/>
          <w:szCs w:val="28"/>
          <w:lang w:val="uk-UA" w:eastAsia="en-US"/>
        </w:rPr>
      </w:pPr>
      <w:r w:rsidRPr="00E643AE">
        <w:rPr>
          <w:rFonts w:eastAsia="Calibri"/>
          <w:sz w:val="28"/>
          <w:szCs w:val="28"/>
          <w:lang w:val="uk-UA" w:eastAsia="en-US"/>
        </w:rPr>
        <w:t>Класична європейська модель оподаткування прибутку підприємств є найпоширенішою серед країн ЄС (окрім Естонії)</w:t>
      </w:r>
      <w:r w:rsidR="00F658AC" w:rsidRPr="00E643AE">
        <w:rPr>
          <w:rFonts w:eastAsia="Calibri"/>
          <w:sz w:val="28"/>
          <w:szCs w:val="28"/>
          <w:lang w:val="uk-UA" w:eastAsia="en-US"/>
        </w:rPr>
        <w:t>.</w:t>
      </w:r>
    </w:p>
    <w:p w:rsidR="00407F5C" w:rsidRPr="00E643AE" w:rsidRDefault="00407F5C" w:rsidP="003F4E44">
      <w:pPr>
        <w:pStyle w:val="a3"/>
        <w:ind w:right="-2" w:firstLine="709"/>
        <w:jc w:val="both"/>
        <w:rPr>
          <w:rFonts w:eastAsia="Calibri"/>
          <w:sz w:val="28"/>
          <w:szCs w:val="28"/>
          <w:lang w:val="uk-UA" w:eastAsia="en-US"/>
        </w:rPr>
      </w:pPr>
      <w:r w:rsidRPr="00E643AE">
        <w:rPr>
          <w:rFonts w:eastAsia="Calibri"/>
          <w:sz w:val="28"/>
          <w:szCs w:val="28"/>
          <w:lang w:val="uk-UA" w:eastAsia="en-US"/>
        </w:rPr>
        <w:t xml:space="preserve">В Україні з 2015 року реформовано методологічні підходи щодо визначення об’єкта оподаткування з податку на прибуток, який визначається на підставі даних бухгалтерського обліку шляхом коригування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податкові різниці, що визначені у </w:t>
      </w:r>
      <w:r w:rsidR="000F5B5C" w:rsidRPr="00E643AE">
        <w:rPr>
          <w:rFonts w:eastAsia="Calibri"/>
          <w:sz w:val="28"/>
          <w:szCs w:val="28"/>
          <w:lang w:val="uk-UA" w:eastAsia="en-US"/>
        </w:rPr>
        <w:t>Податковому к</w:t>
      </w:r>
      <w:r w:rsidRPr="00E643AE">
        <w:rPr>
          <w:rFonts w:eastAsia="Calibri"/>
          <w:sz w:val="28"/>
          <w:szCs w:val="28"/>
          <w:lang w:val="uk-UA" w:eastAsia="en-US"/>
        </w:rPr>
        <w:t>одексі</w:t>
      </w:r>
      <w:r w:rsidR="000F5B5C" w:rsidRPr="00E643AE">
        <w:rPr>
          <w:rFonts w:eastAsia="Calibri"/>
          <w:sz w:val="28"/>
          <w:szCs w:val="28"/>
          <w:lang w:val="uk-UA" w:eastAsia="en-US"/>
        </w:rPr>
        <w:t xml:space="preserve"> України</w:t>
      </w:r>
      <w:r w:rsidRPr="00E643AE">
        <w:rPr>
          <w:rFonts w:eastAsia="Calibri"/>
          <w:sz w:val="28"/>
          <w:szCs w:val="28"/>
          <w:lang w:val="uk-UA" w:eastAsia="en-US"/>
        </w:rPr>
        <w:t>. Перелік зазначених різниць передусім стосується нарахування амортизації необоротних активів, формування резервів (забезпечень) та фінансових операцій.</w:t>
      </w:r>
    </w:p>
    <w:p w:rsidR="00951D04" w:rsidRPr="00E643AE" w:rsidRDefault="009547F4" w:rsidP="003F4E44">
      <w:pPr>
        <w:pStyle w:val="a3"/>
        <w:ind w:right="-2" w:firstLine="709"/>
        <w:jc w:val="both"/>
        <w:rPr>
          <w:rFonts w:eastAsia="Calibri"/>
          <w:sz w:val="28"/>
          <w:szCs w:val="28"/>
          <w:lang w:val="uk-UA" w:eastAsia="en-US"/>
        </w:rPr>
      </w:pPr>
      <w:r>
        <w:rPr>
          <w:rFonts w:eastAsia="Calibri"/>
          <w:sz w:val="28"/>
          <w:szCs w:val="28"/>
          <w:lang w:val="uk-UA" w:eastAsia="en-US"/>
        </w:rPr>
        <w:t xml:space="preserve">Разом з тим відповідно до </w:t>
      </w:r>
      <w:r w:rsidR="00951D04" w:rsidRPr="00E643AE">
        <w:rPr>
          <w:rFonts w:eastAsia="Calibri"/>
          <w:sz w:val="28"/>
          <w:szCs w:val="28"/>
          <w:lang w:val="uk-UA" w:eastAsia="en-US"/>
        </w:rPr>
        <w:t>діючо</w:t>
      </w:r>
      <w:r>
        <w:rPr>
          <w:rFonts w:eastAsia="Calibri"/>
          <w:sz w:val="28"/>
          <w:szCs w:val="28"/>
          <w:lang w:val="uk-UA" w:eastAsia="en-US"/>
        </w:rPr>
        <w:t>ї</w:t>
      </w:r>
      <w:r w:rsidR="00951D04" w:rsidRPr="00E643AE">
        <w:rPr>
          <w:rFonts w:eastAsia="Calibri"/>
          <w:sz w:val="28"/>
          <w:szCs w:val="28"/>
          <w:lang w:val="uk-UA" w:eastAsia="en-US"/>
        </w:rPr>
        <w:t xml:space="preserve"> модел</w:t>
      </w:r>
      <w:r w:rsidR="00704089" w:rsidRPr="00E643AE">
        <w:rPr>
          <w:rFonts w:eastAsia="Calibri"/>
          <w:sz w:val="28"/>
          <w:szCs w:val="28"/>
          <w:lang w:val="uk-UA" w:eastAsia="en-US"/>
        </w:rPr>
        <w:t>лю</w:t>
      </w:r>
      <w:r w:rsidR="00951D04" w:rsidRPr="00E643AE">
        <w:rPr>
          <w:rFonts w:eastAsia="Calibri"/>
          <w:sz w:val="28"/>
          <w:szCs w:val="28"/>
          <w:lang w:val="uk-UA" w:eastAsia="en-US"/>
        </w:rPr>
        <w:t xml:space="preserve"> розрахунку об’єкт</w:t>
      </w:r>
      <w:r w:rsidR="00531017" w:rsidRPr="00E643AE">
        <w:rPr>
          <w:rFonts w:eastAsia="Calibri"/>
          <w:sz w:val="28"/>
          <w:szCs w:val="28"/>
          <w:lang w:val="uk-UA" w:eastAsia="en-US"/>
        </w:rPr>
        <w:t>а</w:t>
      </w:r>
      <w:r w:rsidR="00951D04" w:rsidRPr="00E643AE">
        <w:rPr>
          <w:rFonts w:eastAsia="Calibri"/>
          <w:sz w:val="28"/>
          <w:szCs w:val="28"/>
          <w:lang w:val="uk-UA" w:eastAsia="en-US"/>
        </w:rPr>
        <w:t xml:space="preserve"> оподаткування з податку на прибуток Державна фіскальна служба отримала право перевіряти правильність</w:t>
      </w:r>
      <w:r w:rsidR="00704089" w:rsidRPr="00E643AE">
        <w:rPr>
          <w:rFonts w:eastAsia="Calibri"/>
          <w:sz w:val="28"/>
          <w:szCs w:val="28"/>
          <w:lang w:val="uk-UA" w:eastAsia="en-US"/>
        </w:rPr>
        <w:t xml:space="preserve"> в</w:t>
      </w:r>
      <w:r w:rsidR="004C2403" w:rsidRPr="00E643AE">
        <w:rPr>
          <w:rFonts w:eastAsia="Calibri"/>
          <w:sz w:val="28"/>
          <w:szCs w:val="28"/>
          <w:lang w:val="uk-UA" w:eastAsia="en-US"/>
        </w:rPr>
        <w:t>изначення платниками податків фінансового результату до оподаткування згідно з бухгалтерським обліком відповідно до національних положень (стандартів) бухгалтерського обліку (</w:t>
      </w:r>
      <w:r w:rsidR="004C2403" w:rsidRPr="00716BA4">
        <w:rPr>
          <w:rFonts w:eastAsia="Calibri"/>
          <w:sz w:val="28"/>
          <w:szCs w:val="28"/>
          <w:lang w:val="uk-UA" w:eastAsia="en-US"/>
        </w:rPr>
        <w:t>далі – П(С)БО) або міжнародних стандартів фінансової звітності (далі – МСФЗ)</w:t>
      </w:r>
      <w:r w:rsidR="00E643AE" w:rsidRPr="00716BA4">
        <w:rPr>
          <w:rFonts w:eastAsia="Calibri"/>
          <w:sz w:val="28"/>
          <w:szCs w:val="28"/>
          <w:lang w:val="uk-UA" w:eastAsia="en-US"/>
        </w:rPr>
        <w:t xml:space="preserve">, що іноді </w:t>
      </w:r>
      <w:r w:rsidR="00DF6C64" w:rsidRPr="00716BA4">
        <w:rPr>
          <w:rFonts w:eastAsia="Calibri"/>
          <w:sz w:val="28"/>
          <w:szCs w:val="28"/>
          <w:lang w:val="uk-UA" w:eastAsia="en-US"/>
        </w:rPr>
        <w:t xml:space="preserve">на практиці </w:t>
      </w:r>
      <w:r w:rsidR="0050657B" w:rsidRPr="00716BA4">
        <w:rPr>
          <w:rFonts w:eastAsia="Calibri"/>
          <w:sz w:val="28"/>
          <w:szCs w:val="28"/>
          <w:lang w:val="uk-UA" w:eastAsia="en-US"/>
        </w:rPr>
        <w:t xml:space="preserve">призводить до непорозумінь </w:t>
      </w:r>
      <w:r w:rsidR="00951D04" w:rsidRPr="00716BA4">
        <w:rPr>
          <w:rFonts w:eastAsia="Calibri"/>
          <w:sz w:val="28"/>
          <w:szCs w:val="28"/>
          <w:lang w:val="uk-UA" w:eastAsia="en-US"/>
        </w:rPr>
        <w:t xml:space="preserve">між </w:t>
      </w:r>
      <w:r w:rsidR="00907ACA">
        <w:rPr>
          <w:rFonts w:eastAsia="Calibri"/>
          <w:sz w:val="28"/>
          <w:szCs w:val="28"/>
          <w:lang w:val="uk-UA" w:eastAsia="en-US"/>
        </w:rPr>
        <w:t xml:space="preserve">контролюючими </w:t>
      </w:r>
      <w:r w:rsidR="00734741" w:rsidRPr="00716BA4">
        <w:rPr>
          <w:rFonts w:eastAsia="Calibri"/>
          <w:sz w:val="28"/>
          <w:szCs w:val="28"/>
          <w:lang w:val="uk-UA" w:eastAsia="en-US"/>
        </w:rPr>
        <w:t>орган</w:t>
      </w:r>
      <w:r w:rsidR="00DF6C64" w:rsidRPr="00716BA4">
        <w:rPr>
          <w:rFonts w:eastAsia="Calibri"/>
          <w:sz w:val="28"/>
          <w:szCs w:val="28"/>
          <w:lang w:val="uk-UA" w:eastAsia="en-US"/>
        </w:rPr>
        <w:t>а</w:t>
      </w:r>
      <w:r w:rsidR="00734741" w:rsidRPr="00716BA4">
        <w:rPr>
          <w:rFonts w:eastAsia="Calibri"/>
          <w:sz w:val="28"/>
          <w:szCs w:val="28"/>
          <w:lang w:val="uk-UA" w:eastAsia="en-US"/>
        </w:rPr>
        <w:t xml:space="preserve">ми </w:t>
      </w:r>
      <w:bookmarkStart w:id="0" w:name="_GoBack"/>
      <w:bookmarkEnd w:id="0"/>
      <w:r w:rsidR="00951D04" w:rsidRPr="00716BA4">
        <w:rPr>
          <w:rFonts w:eastAsia="Calibri"/>
          <w:sz w:val="28"/>
          <w:szCs w:val="28"/>
          <w:lang w:val="uk-UA" w:eastAsia="en-US"/>
        </w:rPr>
        <w:t>та платниками податків.</w:t>
      </w:r>
    </w:p>
    <w:p w:rsidR="00951D04" w:rsidRPr="00E643AE" w:rsidRDefault="00DF6C64" w:rsidP="003F4E44">
      <w:pPr>
        <w:pStyle w:val="a3"/>
        <w:ind w:right="-2" w:firstLine="709"/>
        <w:jc w:val="both"/>
        <w:rPr>
          <w:rFonts w:eastAsia="Calibri"/>
          <w:sz w:val="28"/>
          <w:szCs w:val="28"/>
          <w:lang w:val="uk-UA" w:eastAsia="en-US"/>
        </w:rPr>
      </w:pPr>
      <w:r w:rsidRPr="00E643AE">
        <w:rPr>
          <w:rFonts w:eastAsia="Calibri"/>
          <w:sz w:val="28"/>
          <w:szCs w:val="28"/>
          <w:lang w:val="uk-UA" w:eastAsia="en-US"/>
        </w:rPr>
        <w:t xml:space="preserve">Крім того, </w:t>
      </w:r>
      <w:r w:rsidR="00951D04" w:rsidRPr="00E643AE">
        <w:rPr>
          <w:rFonts w:eastAsia="Calibri"/>
          <w:sz w:val="28"/>
          <w:szCs w:val="28"/>
          <w:lang w:val="uk-UA" w:eastAsia="en-US"/>
        </w:rPr>
        <w:t>діюч</w:t>
      </w:r>
      <w:r w:rsidRPr="00E643AE">
        <w:rPr>
          <w:rFonts w:eastAsia="Calibri"/>
          <w:sz w:val="28"/>
          <w:szCs w:val="28"/>
          <w:lang w:val="uk-UA" w:eastAsia="en-US"/>
        </w:rPr>
        <w:t>а</w:t>
      </w:r>
      <w:r w:rsidR="00951D04" w:rsidRPr="00E643AE">
        <w:rPr>
          <w:rFonts w:eastAsia="Calibri"/>
          <w:sz w:val="28"/>
          <w:szCs w:val="28"/>
          <w:lang w:val="uk-UA" w:eastAsia="en-US"/>
        </w:rPr>
        <w:t xml:space="preserve"> модел</w:t>
      </w:r>
      <w:r w:rsidRPr="00E643AE">
        <w:rPr>
          <w:rFonts w:eastAsia="Calibri"/>
          <w:sz w:val="28"/>
          <w:szCs w:val="28"/>
          <w:lang w:val="uk-UA" w:eastAsia="en-US"/>
        </w:rPr>
        <w:t>ь</w:t>
      </w:r>
      <w:r w:rsidR="00951D04" w:rsidRPr="00E643AE">
        <w:rPr>
          <w:rFonts w:eastAsia="Calibri"/>
          <w:sz w:val="28"/>
          <w:szCs w:val="28"/>
          <w:lang w:val="uk-UA" w:eastAsia="en-US"/>
        </w:rPr>
        <w:t xml:space="preserve"> оподаткування </w:t>
      </w:r>
      <w:r w:rsidRPr="00E643AE">
        <w:rPr>
          <w:rFonts w:eastAsia="Calibri"/>
          <w:sz w:val="28"/>
          <w:szCs w:val="28"/>
          <w:lang w:val="uk-UA" w:eastAsia="en-US"/>
        </w:rPr>
        <w:t xml:space="preserve">не містить </w:t>
      </w:r>
      <w:r w:rsidR="009A53E5" w:rsidRPr="00E643AE">
        <w:rPr>
          <w:rFonts w:eastAsia="Calibri"/>
          <w:sz w:val="28"/>
          <w:szCs w:val="28"/>
          <w:lang w:val="uk-UA" w:eastAsia="en-US"/>
        </w:rPr>
        <w:t>значних стимулів для платників податків щодо реінвестування отриманих прибутків в модернізацію основних фондів</w:t>
      </w:r>
      <w:r w:rsidR="00020D3B">
        <w:rPr>
          <w:rStyle w:val="ae"/>
          <w:rFonts w:eastAsia="Calibri"/>
          <w:sz w:val="28"/>
          <w:szCs w:val="28"/>
          <w:lang w:val="uk-UA" w:eastAsia="en-US"/>
        </w:rPr>
        <w:footnoteReference w:id="1"/>
      </w:r>
      <w:r w:rsidR="009A53E5" w:rsidRPr="00E643AE">
        <w:rPr>
          <w:rFonts w:eastAsia="Calibri"/>
          <w:sz w:val="28"/>
          <w:szCs w:val="28"/>
          <w:lang w:val="uk-UA" w:eastAsia="en-US"/>
        </w:rPr>
        <w:t xml:space="preserve"> чи розширення виробництва.</w:t>
      </w:r>
    </w:p>
    <w:p w:rsidR="00DF6C64" w:rsidRPr="00E643AE" w:rsidRDefault="00DF6C64" w:rsidP="003F4E44">
      <w:pPr>
        <w:pStyle w:val="a3"/>
        <w:ind w:right="-2" w:firstLine="709"/>
        <w:jc w:val="both"/>
        <w:rPr>
          <w:rFonts w:eastAsia="Calibri"/>
          <w:sz w:val="28"/>
          <w:szCs w:val="28"/>
          <w:lang w:val="uk-UA" w:eastAsia="en-US"/>
        </w:rPr>
      </w:pPr>
      <w:r w:rsidRPr="00E643AE">
        <w:rPr>
          <w:rFonts w:eastAsia="Calibri"/>
          <w:sz w:val="28"/>
          <w:szCs w:val="28"/>
          <w:lang w:val="uk-UA" w:eastAsia="en-US"/>
        </w:rPr>
        <w:t>У зв’язку з цим</w:t>
      </w:r>
      <w:r w:rsidR="00716BA4">
        <w:rPr>
          <w:rFonts w:eastAsia="Calibri"/>
          <w:sz w:val="28"/>
          <w:szCs w:val="28"/>
          <w:lang w:val="uk-UA" w:eastAsia="en-US"/>
        </w:rPr>
        <w:t xml:space="preserve"> </w:t>
      </w:r>
      <w:r w:rsidRPr="00E643AE">
        <w:rPr>
          <w:rFonts w:eastAsia="Calibri"/>
          <w:sz w:val="28"/>
          <w:szCs w:val="28"/>
          <w:lang w:val="uk-UA" w:eastAsia="en-US"/>
        </w:rPr>
        <w:t xml:space="preserve"> Верховною Радою України прийнят</w:t>
      </w:r>
      <w:r w:rsidR="00716BA4">
        <w:rPr>
          <w:rFonts w:eastAsia="Calibri"/>
          <w:sz w:val="28"/>
          <w:szCs w:val="28"/>
          <w:lang w:val="uk-UA" w:eastAsia="en-US"/>
        </w:rPr>
        <w:t>о</w:t>
      </w:r>
      <w:r w:rsidRPr="00E643AE">
        <w:rPr>
          <w:rFonts w:eastAsia="Calibri"/>
          <w:sz w:val="28"/>
          <w:szCs w:val="28"/>
          <w:lang w:val="uk-UA" w:eastAsia="en-US"/>
        </w:rPr>
        <w:t xml:space="preserve"> Закон України  від 21.12.2016 № 1797-VIII «Про внесення змін до Податкового кодексу України щодо покращення інвестиційного клімату в Україні»</w:t>
      </w:r>
      <w:r w:rsidR="001212D7" w:rsidRPr="00E643AE">
        <w:rPr>
          <w:rFonts w:eastAsia="Calibri"/>
          <w:sz w:val="28"/>
          <w:szCs w:val="28"/>
          <w:lang w:val="uk-UA" w:eastAsia="en-US"/>
        </w:rPr>
        <w:t>,</w:t>
      </w:r>
      <w:r w:rsidRPr="00E643AE">
        <w:rPr>
          <w:rFonts w:eastAsia="Calibri"/>
          <w:sz w:val="28"/>
          <w:szCs w:val="28"/>
          <w:lang w:val="uk-UA" w:eastAsia="en-US"/>
        </w:rPr>
        <w:t xml:space="preserve"> пунктом 5 розділу II «Прикінцеві та перехідні положення» якого надано доручення Кабінету Міністрів України розробити та </w:t>
      </w:r>
      <w:proofErr w:type="spellStart"/>
      <w:r w:rsidRPr="00E643AE">
        <w:rPr>
          <w:rFonts w:eastAsia="Calibri"/>
          <w:sz w:val="28"/>
          <w:szCs w:val="28"/>
          <w:lang w:val="uk-UA" w:eastAsia="en-US"/>
        </w:rPr>
        <w:t>внести</w:t>
      </w:r>
      <w:proofErr w:type="spellEnd"/>
      <w:r w:rsidRPr="00E643AE">
        <w:rPr>
          <w:rFonts w:eastAsia="Calibri"/>
          <w:sz w:val="28"/>
          <w:szCs w:val="28"/>
          <w:lang w:val="uk-UA" w:eastAsia="en-US"/>
        </w:rPr>
        <w:t xml:space="preserve"> на розгляд Верховної Ради України проект закону щодо запровадження податку на виведений капітал. </w:t>
      </w:r>
    </w:p>
    <w:p w:rsidR="00407F5C" w:rsidRPr="00E643AE" w:rsidRDefault="00407F5C" w:rsidP="003F4E44">
      <w:pPr>
        <w:pStyle w:val="a3"/>
        <w:ind w:right="-2" w:firstLine="709"/>
        <w:jc w:val="both"/>
        <w:rPr>
          <w:rFonts w:eastAsia="Calibri"/>
          <w:sz w:val="28"/>
          <w:szCs w:val="28"/>
          <w:lang w:val="uk-UA" w:eastAsia="en-US"/>
        </w:rPr>
      </w:pPr>
      <w:r w:rsidRPr="00E643AE">
        <w:rPr>
          <w:rFonts w:eastAsia="Calibri"/>
          <w:sz w:val="28"/>
          <w:szCs w:val="28"/>
          <w:lang w:val="uk-UA" w:eastAsia="en-US"/>
        </w:rPr>
        <w:t xml:space="preserve">Для розробки проекту Закону України «Про внесення змін до Податкового кодексу </w:t>
      </w:r>
      <w:r w:rsidR="00716BA4">
        <w:rPr>
          <w:rFonts w:eastAsia="Calibri"/>
          <w:sz w:val="28"/>
          <w:szCs w:val="28"/>
          <w:lang w:val="uk-UA" w:eastAsia="en-US"/>
        </w:rPr>
        <w:t xml:space="preserve"> </w:t>
      </w:r>
      <w:r w:rsidRPr="00E643AE">
        <w:rPr>
          <w:rFonts w:eastAsia="Calibri"/>
          <w:sz w:val="28"/>
          <w:szCs w:val="28"/>
          <w:lang w:val="uk-UA" w:eastAsia="en-US"/>
        </w:rPr>
        <w:t>України</w:t>
      </w:r>
      <w:r w:rsidR="00716BA4">
        <w:rPr>
          <w:rFonts w:eastAsia="Calibri"/>
          <w:sz w:val="28"/>
          <w:szCs w:val="28"/>
          <w:lang w:val="uk-UA" w:eastAsia="en-US"/>
        </w:rPr>
        <w:t xml:space="preserve">  </w:t>
      </w:r>
      <w:r w:rsidRPr="00E643AE">
        <w:rPr>
          <w:rFonts w:eastAsia="Calibri"/>
          <w:sz w:val="28"/>
          <w:szCs w:val="28"/>
          <w:lang w:val="uk-UA" w:eastAsia="en-US"/>
        </w:rPr>
        <w:t xml:space="preserve"> щодо</w:t>
      </w:r>
      <w:r w:rsidR="00716BA4">
        <w:rPr>
          <w:rFonts w:eastAsia="Calibri"/>
          <w:sz w:val="28"/>
          <w:szCs w:val="28"/>
          <w:lang w:val="uk-UA" w:eastAsia="en-US"/>
        </w:rPr>
        <w:t xml:space="preserve">  </w:t>
      </w:r>
      <w:r w:rsidRPr="00E643AE">
        <w:rPr>
          <w:rFonts w:eastAsia="Calibri"/>
          <w:sz w:val="28"/>
          <w:szCs w:val="28"/>
          <w:lang w:val="uk-UA" w:eastAsia="en-US"/>
        </w:rPr>
        <w:t xml:space="preserve"> податку</w:t>
      </w:r>
      <w:r w:rsidR="00716BA4">
        <w:rPr>
          <w:rFonts w:eastAsia="Calibri"/>
          <w:sz w:val="28"/>
          <w:szCs w:val="28"/>
          <w:lang w:val="uk-UA" w:eastAsia="en-US"/>
        </w:rPr>
        <w:t xml:space="preserve">  </w:t>
      </w:r>
      <w:r w:rsidRPr="00E643AE">
        <w:rPr>
          <w:rFonts w:eastAsia="Calibri"/>
          <w:sz w:val="28"/>
          <w:szCs w:val="28"/>
          <w:lang w:val="uk-UA" w:eastAsia="en-US"/>
        </w:rPr>
        <w:t xml:space="preserve"> на </w:t>
      </w:r>
      <w:r w:rsidR="00716BA4">
        <w:rPr>
          <w:rFonts w:eastAsia="Calibri"/>
          <w:sz w:val="28"/>
          <w:szCs w:val="28"/>
          <w:lang w:val="uk-UA" w:eastAsia="en-US"/>
        </w:rPr>
        <w:t xml:space="preserve">  </w:t>
      </w:r>
      <w:r w:rsidRPr="00E643AE">
        <w:rPr>
          <w:rFonts w:eastAsia="Calibri"/>
          <w:sz w:val="28"/>
          <w:szCs w:val="28"/>
          <w:lang w:val="uk-UA" w:eastAsia="en-US"/>
        </w:rPr>
        <w:t>виведений капітал»</w:t>
      </w:r>
      <w:r w:rsidR="00716BA4">
        <w:rPr>
          <w:rFonts w:eastAsia="Calibri"/>
          <w:sz w:val="28"/>
          <w:szCs w:val="28"/>
          <w:lang w:val="uk-UA" w:eastAsia="en-US"/>
        </w:rPr>
        <w:t xml:space="preserve">   </w:t>
      </w:r>
      <w:r w:rsidR="00531910" w:rsidRPr="00E643AE">
        <w:rPr>
          <w:rFonts w:eastAsia="Calibri"/>
          <w:sz w:val="28"/>
          <w:szCs w:val="28"/>
          <w:lang w:val="uk-UA" w:eastAsia="en-US"/>
        </w:rPr>
        <w:t xml:space="preserve"> </w:t>
      </w:r>
      <w:r w:rsidR="00531910" w:rsidRPr="00E643AE">
        <w:rPr>
          <w:rFonts w:eastAsia="Calibri"/>
          <w:sz w:val="28"/>
          <w:szCs w:val="28"/>
          <w:lang w:val="uk-UA" w:eastAsia="en-US"/>
        </w:rPr>
        <w:lastRenderedPageBreak/>
        <w:t>(далі</w:t>
      </w:r>
      <w:r w:rsidR="00716BA4">
        <w:rPr>
          <w:rFonts w:eastAsia="Calibri"/>
          <w:sz w:val="28"/>
          <w:szCs w:val="28"/>
          <w:lang w:val="uk-UA" w:eastAsia="en-US"/>
        </w:rPr>
        <w:t> </w:t>
      </w:r>
      <w:r w:rsidR="00531910" w:rsidRPr="00E643AE">
        <w:rPr>
          <w:rFonts w:eastAsia="Calibri"/>
          <w:sz w:val="28"/>
          <w:szCs w:val="28"/>
          <w:lang w:val="uk-UA" w:eastAsia="en-US"/>
        </w:rPr>
        <w:t>–</w:t>
      </w:r>
      <w:r w:rsidR="00716BA4">
        <w:rPr>
          <w:rFonts w:eastAsia="Calibri"/>
          <w:sz w:val="28"/>
          <w:szCs w:val="28"/>
          <w:lang w:val="uk-UA" w:eastAsia="en-US"/>
        </w:rPr>
        <w:t> </w:t>
      </w:r>
      <w:r w:rsidR="00531910" w:rsidRPr="00E643AE">
        <w:rPr>
          <w:rFonts w:eastAsia="Calibri"/>
          <w:sz w:val="28"/>
          <w:szCs w:val="28"/>
          <w:lang w:val="uk-UA" w:eastAsia="en-US"/>
        </w:rPr>
        <w:t>законопроект)</w:t>
      </w:r>
      <w:r w:rsidRPr="00E643AE">
        <w:rPr>
          <w:rFonts w:eastAsia="Calibri"/>
          <w:sz w:val="28"/>
          <w:szCs w:val="28"/>
          <w:lang w:val="uk-UA" w:eastAsia="en-US"/>
        </w:rPr>
        <w:t xml:space="preserve"> було створено робочу групу з підготовки законопроекту</w:t>
      </w:r>
      <w:r w:rsidR="00531910" w:rsidRPr="00E643AE">
        <w:rPr>
          <w:rFonts w:eastAsia="Calibri"/>
          <w:sz w:val="28"/>
          <w:szCs w:val="28"/>
          <w:lang w:val="uk-UA" w:eastAsia="en-US"/>
        </w:rPr>
        <w:t xml:space="preserve"> (далі – робоча група)</w:t>
      </w:r>
      <w:r w:rsidRPr="00E643AE">
        <w:rPr>
          <w:rFonts w:eastAsia="Calibri"/>
          <w:sz w:val="28"/>
          <w:szCs w:val="28"/>
          <w:lang w:val="uk-UA" w:eastAsia="en-US"/>
        </w:rPr>
        <w:t>, до складу якої було залучено широке коло зацікавлених осіб, зокрема народних депутатів, представників Секретаріату Комітету Верховної Ради України з питань податкової та митної політики, органів виконавчої влади, представників бізнесу, фахівців у сфері оподаткування та громадських організацій. Протягом поточного року проведено низку засідань робочої групи та напрацьовано редакцію законопроекту щодо запровадження податку на виведений капітал.</w:t>
      </w:r>
    </w:p>
    <w:p w:rsidR="005B7C0B" w:rsidRPr="00E643AE" w:rsidRDefault="005B7C0B" w:rsidP="003F4E44">
      <w:pPr>
        <w:pStyle w:val="a3"/>
        <w:ind w:right="-2" w:firstLine="709"/>
        <w:jc w:val="both"/>
        <w:rPr>
          <w:rFonts w:eastAsia="Calibri"/>
          <w:sz w:val="28"/>
          <w:szCs w:val="28"/>
          <w:lang w:val="uk-UA" w:eastAsia="en-US"/>
        </w:rPr>
      </w:pPr>
      <w:r w:rsidRPr="00E643AE">
        <w:rPr>
          <w:rFonts w:eastAsia="Calibri"/>
          <w:sz w:val="28"/>
          <w:szCs w:val="28"/>
          <w:lang w:val="uk-UA" w:eastAsia="en-US"/>
        </w:rPr>
        <w:t>Законопроектом пропонується врегулювати</w:t>
      </w:r>
      <w:r w:rsidR="00F658AC" w:rsidRPr="00E643AE">
        <w:rPr>
          <w:rFonts w:eastAsia="Calibri"/>
          <w:sz w:val="28"/>
          <w:szCs w:val="28"/>
          <w:lang w:val="uk-UA" w:eastAsia="en-US"/>
        </w:rPr>
        <w:t xml:space="preserve"> </w:t>
      </w:r>
      <w:r w:rsidR="00DF6C64" w:rsidRPr="00E643AE">
        <w:rPr>
          <w:rFonts w:eastAsia="Calibri"/>
          <w:sz w:val="28"/>
          <w:szCs w:val="28"/>
          <w:lang w:val="uk-UA" w:eastAsia="en-US"/>
        </w:rPr>
        <w:t xml:space="preserve">такі </w:t>
      </w:r>
      <w:r w:rsidRPr="00E643AE">
        <w:rPr>
          <w:rFonts w:eastAsia="Calibri"/>
          <w:sz w:val="28"/>
          <w:szCs w:val="28"/>
          <w:lang w:val="uk-UA" w:eastAsia="en-US"/>
        </w:rPr>
        <w:t>питання:</w:t>
      </w:r>
    </w:p>
    <w:p w:rsidR="00A55DF9" w:rsidRPr="00E643AE" w:rsidRDefault="00A55DF9" w:rsidP="00A55DF9">
      <w:pPr>
        <w:pStyle w:val="a3"/>
        <w:spacing w:before="120"/>
        <w:ind w:right="-2" w:firstLine="709"/>
        <w:jc w:val="both"/>
        <w:rPr>
          <w:rFonts w:eastAsia="Calibri"/>
          <w:sz w:val="28"/>
          <w:szCs w:val="28"/>
          <w:lang w:val="uk-UA" w:eastAsia="en-US"/>
        </w:rPr>
      </w:pPr>
      <w:r w:rsidRPr="00E643AE">
        <w:rPr>
          <w:rFonts w:eastAsia="Calibri"/>
          <w:sz w:val="28"/>
          <w:szCs w:val="28"/>
          <w:lang w:val="uk-UA" w:eastAsia="en-US"/>
        </w:rPr>
        <w:t>1. Адміністрування податку: об’єктом контролю з боку Державної фіскальної служби стануть операції за вичерпним переліком</w:t>
      </w:r>
      <w:r w:rsidR="00D54FBD" w:rsidRPr="00E643AE">
        <w:rPr>
          <w:rFonts w:eastAsia="Calibri"/>
          <w:sz w:val="28"/>
          <w:szCs w:val="28"/>
          <w:lang w:val="uk-UA" w:eastAsia="en-US"/>
        </w:rPr>
        <w:t xml:space="preserve">, встановленим Податковим кодексом України, що має </w:t>
      </w:r>
      <w:r w:rsidR="00DF6C64" w:rsidRPr="00E643AE">
        <w:rPr>
          <w:rFonts w:eastAsia="Calibri"/>
          <w:sz w:val="28"/>
          <w:szCs w:val="28"/>
          <w:lang w:val="uk-UA" w:eastAsia="en-US"/>
        </w:rPr>
        <w:t xml:space="preserve">на меті </w:t>
      </w:r>
      <w:r w:rsidR="00D54FBD" w:rsidRPr="00E643AE">
        <w:rPr>
          <w:rFonts w:eastAsia="Calibri"/>
          <w:sz w:val="28"/>
          <w:szCs w:val="28"/>
          <w:lang w:val="uk-UA" w:eastAsia="en-US"/>
        </w:rPr>
        <w:t xml:space="preserve">зменшити </w:t>
      </w:r>
      <w:proofErr w:type="spellStart"/>
      <w:r w:rsidR="00D54FBD" w:rsidRPr="00E643AE">
        <w:rPr>
          <w:rFonts w:eastAsia="Calibri"/>
          <w:sz w:val="28"/>
          <w:szCs w:val="28"/>
          <w:lang w:val="uk-UA" w:eastAsia="en-US"/>
        </w:rPr>
        <w:t>дискрецію</w:t>
      </w:r>
      <w:proofErr w:type="spellEnd"/>
      <w:r w:rsidR="00D54FBD" w:rsidRPr="00E643AE">
        <w:rPr>
          <w:rFonts w:eastAsia="Calibri"/>
          <w:sz w:val="28"/>
          <w:szCs w:val="28"/>
          <w:lang w:val="uk-UA" w:eastAsia="en-US"/>
        </w:rPr>
        <w:t xml:space="preserve"> та кількість спорів між </w:t>
      </w:r>
      <w:r w:rsidR="00DF6C64" w:rsidRPr="00E643AE">
        <w:rPr>
          <w:rFonts w:eastAsia="Calibri"/>
          <w:sz w:val="28"/>
          <w:szCs w:val="28"/>
          <w:lang w:val="uk-UA" w:eastAsia="en-US"/>
        </w:rPr>
        <w:t>контролюючими органами</w:t>
      </w:r>
      <w:r w:rsidR="00D54FBD" w:rsidRPr="00E643AE">
        <w:rPr>
          <w:rFonts w:eastAsia="Calibri"/>
          <w:sz w:val="28"/>
          <w:szCs w:val="28"/>
          <w:lang w:val="uk-UA" w:eastAsia="en-US"/>
        </w:rPr>
        <w:t xml:space="preserve"> та платниками податків.</w:t>
      </w:r>
    </w:p>
    <w:p w:rsidR="005B7C0B" w:rsidRPr="001212D7" w:rsidRDefault="00D55F98" w:rsidP="003F4E44">
      <w:pPr>
        <w:pStyle w:val="a3"/>
        <w:ind w:right="-2" w:firstLine="709"/>
        <w:jc w:val="both"/>
        <w:rPr>
          <w:rFonts w:eastAsia="Calibri"/>
          <w:sz w:val="28"/>
          <w:szCs w:val="28"/>
          <w:lang w:val="uk-UA" w:eastAsia="en-US"/>
        </w:rPr>
      </w:pPr>
      <w:r w:rsidRPr="00E643AE">
        <w:rPr>
          <w:rFonts w:eastAsia="Calibri"/>
          <w:sz w:val="28"/>
          <w:szCs w:val="28"/>
          <w:lang w:val="uk-UA" w:eastAsia="en-US"/>
        </w:rPr>
        <w:t>2</w:t>
      </w:r>
      <w:r w:rsidR="005B7C0B" w:rsidRPr="00E643AE">
        <w:rPr>
          <w:rFonts w:eastAsia="Calibri"/>
          <w:sz w:val="28"/>
          <w:szCs w:val="28"/>
          <w:lang w:val="uk-UA" w:eastAsia="en-US"/>
        </w:rPr>
        <w:t>. Розрахунок об’єкта оподаткування</w:t>
      </w:r>
      <w:r w:rsidR="003F4E44" w:rsidRPr="00E643AE">
        <w:rPr>
          <w:rFonts w:eastAsia="Calibri"/>
          <w:sz w:val="28"/>
          <w:szCs w:val="28"/>
          <w:lang w:val="uk-UA" w:eastAsia="en-US"/>
        </w:rPr>
        <w:t>: п</w:t>
      </w:r>
      <w:r w:rsidR="005B7C0B" w:rsidRPr="00E643AE">
        <w:rPr>
          <w:rFonts w:eastAsia="Calibri"/>
          <w:sz w:val="28"/>
          <w:szCs w:val="28"/>
          <w:lang w:val="uk-UA" w:eastAsia="en-US"/>
        </w:rPr>
        <w:t xml:space="preserve">ри запропонованій моделі оподаткування виведеного капіталу, </w:t>
      </w:r>
      <w:r w:rsidR="00EE1769" w:rsidRPr="00E643AE">
        <w:rPr>
          <w:rFonts w:eastAsia="Calibri"/>
          <w:sz w:val="28"/>
          <w:szCs w:val="28"/>
          <w:lang w:val="uk-UA" w:eastAsia="en-US"/>
        </w:rPr>
        <w:t>о</w:t>
      </w:r>
      <w:r w:rsidR="005B7C0B" w:rsidRPr="00E643AE">
        <w:rPr>
          <w:rFonts w:eastAsia="Calibri"/>
          <w:sz w:val="28"/>
          <w:szCs w:val="28"/>
          <w:lang w:val="uk-UA" w:eastAsia="en-US"/>
        </w:rPr>
        <w:t>перації та платежі, що сьогодні використовуються з метою виведення прибутку, стають прямим об’єктом оподаткування, а накопичені збитки минулих періодів не впливають на розрахунок об’єкта оподаткування.  Правила розрахунку бази оподаткування для кожної операції, що є об’єктом оподаткування, встановлюються в Податковому кодексі України і переважно пов’язуються із рухом коштів. Виникнення об’єкт</w:t>
      </w:r>
      <w:r w:rsidR="00EE1769" w:rsidRPr="00E643AE">
        <w:rPr>
          <w:rFonts w:eastAsia="Calibri"/>
          <w:sz w:val="28"/>
          <w:szCs w:val="28"/>
          <w:lang w:val="uk-UA" w:eastAsia="en-US"/>
        </w:rPr>
        <w:t>а</w:t>
      </w:r>
      <w:r w:rsidR="005B7C0B" w:rsidRPr="00E643AE">
        <w:rPr>
          <w:rFonts w:eastAsia="Calibri"/>
          <w:sz w:val="28"/>
          <w:szCs w:val="28"/>
          <w:lang w:val="uk-UA" w:eastAsia="en-US"/>
        </w:rPr>
        <w:t xml:space="preserve"> оподаткування та необхідність сплати податку напряму залежить від рішення платника податк</w:t>
      </w:r>
      <w:r w:rsidR="00EE1769" w:rsidRPr="00E643AE">
        <w:rPr>
          <w:rFonts w:eastAsia="Calibri"/>
          <w:sz w:val="28"/>
          <w:szCs w:val="28"/>
          <w:lang w:val="uk-UA" w:eastAsia="en-US"/>
        </w:rPr>
        <w:t>у</w:t>
      </w:r>
      <w:r w:rsidR="005B7C0B" w:rsidRPr="00E643AE">
        <w:rPr>
          <w:rFonts w:eastAsia="Calibri"/>
          <w:sz w:val="28"/>
          <w:szCs w:val="28"/>
          <w:lang w:val="uk-UA" w:eastAsia="en-US"/>
        </w:rPr>
        <w:t xml:space="preserve"> про виведення капіталу в той чи іншій спосіб</w:t>
      </w:r>
      <w:r w:rsidR="00EE1769" w:rsidRPr="00E643AE">
        <w:rPr>
          <w:rFonts w:eastAsia="Calibri"/>
          <w:sz w:val="28"/>
          <w:szCs w:val="28"/>
          <w:lang w:val="uk-UA" w:eastAsia="en-US"/>
        </w:rPr>
        <w:t xml:space="preserve">. Тому </w:t>
      </w:r>
      <w:r w:rsidR="000D4EA0" w:rsidRPr="001212D7">
        <w:rPr>
          <w:rFonts w:eastAsia="Calibri"/>
          <w:sz w:val="28"/>
          <w:szCs w:val="28"/>
          <w:lang w:val="uk-UA" w:eastAsia="en-US"/>
        </w:rPr>
        <w:t>пе</w:t>
      </w:r>
      <w:r w:rsidR="005B7C0B" w:rsidRPr="001212D7">
        <w:rPr>
          <w:rFonts w:eastAsia="Calibri"/>
          <w:sz w:val="28"/>
          <w:szCs w:val="28"/>
          <w:lang w:val="uk-UA" w:eastAsia="en-US"/>
        </w:rPr>
        <w:t>ревагами запровадження цього податку є сплата податку на виведений капітал виключно при здійсненні виплати дивідендів</w:t>
      </w:r>
      <w:r w:rsidRPr="001212D7">
        <w:rPr>
          <w:rFonts w:eastAsia="Calibri"/>
          <w:sz w:val="28"/>
          <w:szCs w:val="28"/>
          <w:lang w:val="uk-UA" w:eastAsia="en-US"/>
        </w:rPr>
        <w:t xml:space="preserve"> чи прирівняних до них платежів, що має стимулювати платник</w:t>
      </w:r>
      <w:r w:rsidR="0050657B" w:rsidRPr="001212D7">
        <w:rPr>
          <w:rFonts w:eastAsia="Calibri"/>
          <w:sz w:val="28"/>
          <w:szCs w:val="28"/>
          <w:lang w:val="uk-UA" w:eastAsia="en-US"/>
        </w:rPr>
        <w:t>ів</w:t>
      </w:r>
      <w:r w:rsidRPr="001212D7">
        <w:rPr>
          <w:rFonts w:eastAsia="Calibri"/>
          <w:sz w:val="28"/>
          <w:szCs w:val="28"/>
          <w:lang w:val="uk-UA" w:eastAsia="en-US"/>
        </w:rPr>
        <w:t xml:space="preserve"> податків на здійснення реінвестицій в модернізацію обладнання чи розширення виробництва</w:t>
      </w:r>
      <w:r w:rsidR="005B7C0B" w:rsidRPr="001212D7">
        <w:rPr>
          <w:rFonts w:eastAsia="Calibri"/>
          <w:sz w:val="28"/>
          <w:szCs w:val="28"/>
          <w:lang w:val="uk-UA" w:eastAsia="en-US"/>
        </w:rPr>
        <w:t>.</w:t>
      </w:r>
    </w:p>
    <w:p w:rsidR="003F4E44" w:rsidRPr="001212D7" w:rsidRDefault="003F4E44" w:rsidP="0004000E">
      <w:pPr>
        <w:pStyle w:val="a3"/>
        <w:widowControl w:val="0"/>
        <w:tabs>
          <w:tab w:val="num" w:pos="0"/>
        </w:tabs>
        <w:spacing w:before="60" w:beforeAutospacing="0" w:after="0" w:afterAutospacing="0"/>
        <w:ind w:right="-2" w:firstLine="709"/>
        <w:jc w:val="both"/>
        <w:rPr>
          <w:sz w:val="28"/>
          <w:szCs w:val="28"/>
          <w:lang w:val="uk-UA"/>
        </w:rPr>
      </w:pPr>
    </w:p>
    <w:p w:rsidR="00015322" w:rsidRPr="001212D7" w:rsidRDefault="00015322" w:rsidP="0004000E">
      <w:pPr>
        <w:pStyle w:val="a3"/>
        <w:widowControl w:val="0"/>
        <w:tabs>
          <w:tab w:val="num" w:pos="0"/>
        </w:tabs>
        <w:spacing w:before="60" w:beforeAutospacing="0" w:after="0" w:afterAutospacing="0"/>
        <w:ind w:right="-2" w:firstLine="709"/>
        <w:jc w:val="both"/>
        <w:rPr>
          <w:sz w:val="28"/>
          <w:szCs w:val="28"/>
          <w:lang w:val="uk-UA"/>
        </w:rPr>
      </w:pPr>
      <w:r w:rsidRPr="001212D7">
        <w:rPr>
          <w:sz w:val="28"/>
          <w:szCs w:val="28"/>
          <w:lang w:val="uk-UA"/>
        </w:rPr>
        <w:t>Основні групи (підгрупи), на які проблема справляє вплив:</w:t>
      </w:r>
    </w:p>
    <w:p w:rsidR="00C720E3" w:rsidRPr="001212D7" w:rsidRDefault="00C720E3" w:rsidP="0004000E">
      <w:pPr>
        <w:pStyle w:val="a3"/>
        <w:spacing w:before="0" w:beforeAutospacing="0" w:after="0" w:afterAutospacing="0"/>
        <w:ind w:right="-2"/>
        <w:jc w:val="cente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268"/>
      </w:tblGrid>
      <w:tr w:rsidR="001212D7" w:rsidRPr="001212D7" w:rsidTr="0004000E">
        <w:tc>
          <w:tcPr>
            <w:tcW w:w="4962" w:type="dxa"/>
          </w:tcPr>
          <w:p w:rsidR="00C720E3" w:rsidRPr="001212D7" w:rsidRDefault="00C720E3" w:rsidP="0004000E">
            <w:pPr>
              <w:ind w:right="-2"/>
              <w:jc w:val="both"/>
              <w:rPr>
                <w:lang w:val="uk-UA"/>
              </w:rPr>
            </w:pPr>
          </w:p>
          <w:p w:rsidR="00C720E3" w:rsidRPr="001212D7" w:rsidRDefault="00C720E3" w:rsidP="0004000E">
            <w:pPr>
              <w:ind w:right="-2"/>
              <w:jc w:val="center"/>
              <w:rPr>
                <w:lang w:val="uk-UA"/>
              </w:rPr>
            </w:pPr>
            <w:r w:rsidRPr="001212D7">
              <w:rPr>
                <w:lang w:val="uk-UA"/>
              </w:rPr>
              <w:t>Групи (підгрупи)</w:t>
            </w:r>
          </w:p>
        </w:tc>
        <w:tc>
          <w:tcPr>
            <w:tcW w:w="2409" w:type="dxa"/>
          </w:tcPr>
          <w:p w:rsidR="00C720E3" w:rsidRPr="001212D7" w:rsidRDefault="00C720E3" w:rsidP="0004000E">
            <w:pPr>
              <w:ind w:right="-2"/>
              <w:jc w:val="both"/>
              <w:rPr>
                <w:lang w:val="uk-UA"/>
              </w:rPr>
            </w:pPr>
          </w:p>
          <w:p w:rsidR="00C720E3" w:rsidRPr="001212D7" w:rsidRDefault="00C720E3" w:rsidP="0004000E">
            <w:pPr>
              <w:ind w:right="-2"/>
              <w:jc w:val="center"/>
              <w:rPr>
                <w:lang w:val="uk-UA"/>
              </w:rPr>
            </w:pPr>
            <w:r w:rsidRPr="001212D7">
              <w:rPr>
                <w:lang w:val="uk-UA"/>
              </w:rPr>
              <w:t>Так</w:t>
            </w:r>
          </w:p>
        </w:tc>
        <w:tc>
          <w:tcPr>
            <w:tcW w:w="2268" w:type="dxa"/>
          </w:tcPr>
          <w:p w:rsidR="00C720E3" w:rsidRPr="001212D7" w:rsidRDefault="00C720E3" w:rsidP="0004000E">
            <w:pPr>
              <w:ind w:right="-2"/>
              <w:jc w:val="both"/>
              <w:rPr>
                <w:lang w:val="uk-UA"/>
              </w:rPr>
            </w:pPr>
          </w:p>
          <w:p w:rsidR="00C720E3" w:rsidRPr="001212D7" w:rsidRDefault="00C720E3" w:rsidP="0004000E">
            <w:pPr>
              <w:ind w:right="-2"/>
              <w:jc w:val="center"/>
              <w:rPr>
                <w:lang w:val="uk-UA"/>
              </w:rPr>
            </w:pPr>
            <w:r w:rsidRPr="001212D7">
              <w:rPr>
                <w:lang w:val="uk-UA"/>
              </w:rPr>
              <w:t>Ні</w:t>
            </w:r>
          </w:p>
        </w:tc>
      </w:tr>
      <w:tr w:rsidR="001212D7" w:rsidRPr="001212D7" w:rsidTr="0004000E">
        <w:tc>
          <w:tcPr>
            <w:tcW w:w="4962"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 xml:space="preserve">Громадяни </w:t>
            </w:r>
          </w:p>
        </w:tc>
        <w:tc>
          <w:tcPr>
            <w:tcW w:w="2409" w:type="dxa"/>
            <w:vAlign w:val="center"/>
          </w:tcPr>
          <w:p w:rsidR="00C720E3" w:rsidRPr="001212D7" w:rsidRDefault="00C720E3" w:rsidP="0004000E">
            <w:pPr>
              <w:ind w:right="-2"/>
              <w:jc w:val="center"/>
              <w:rPr>
                <w:lang w:val="uk-UA"/>
              </w:rPr>
            </w:pPr>
          </w:p>
          <w:p w:rsidR="00C720E3" w:rsidRPr="001212D7" w:rsidRDefault="00C720E3" w:rsidP="0004000E">
            <w:pPr>
              <w:ind w:right="-2"/>
              <w:jc w:val="center"/>
              <w:rPr>
                <w:lang w:val="uk-UA"/>
              </w:rPr>
            </w:pPr>
          </w:p>
        </w:tc>
        <w:tc>
          <w:tcPr>
            <w:tcW w:w="2268" w:type="dxa"/>
          </w:tcPr>
          <w:p w:rsidR="00C720E3" w:rsidRPr="001212D7" w:rsidRDefault="00C720E3" w:rsidP="0004000E">
            <w:pPr>
              <w:ind w:right="-2"/>
              <w:jc w:val="both"/>
              <w:rPr>
                <w:lang w:val="uk-UA"/>
              </w:rPr>
            </w:pPr>
          </w:p>
          <w:p w:rsidR="00C720E3" w:rsidRPr="001212D7" w:rsidRDefault="00C720E3" w:rsidP="0004000E">
            <w:pPr>
              <w:ind w:right="-2"/>
              <w:jc w:val="center"/>
              <w:rPr>
                <w:lang w:val="uk-UA"/>
              </w:rPr>
            </w:pPr>
            <w:r w:rsidRPr="001212D7">
              <w:rPr>
                <w:lang w:val="uk-UA"/>
              </w:rPr>
              <w:t>+</w:t>
            </w:r>
          </w:p>
        </w:tc>
      </w:tr>
      <w:tr w:rsidR="001212D7" w:rsidRPr="001212D7" w:rsidTr="0004000E">
        <w:tc>
          <w:tcPr>
            <w:tcW w:w="4962"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Держава</w:t>
            </w:r>
          </w:p>
        </w:tc>
        <w:tc>
          <w:tcPr>
            <w:tcW w:w="2409" w:type="dxa"/>
            <w:vAlign w:val="center"/>
          </w:tcPr>
          <w:p w:rsidR="00C720E3" w:rsidRPr="001212D7" w:rsidRDefault="00C720E3" w:rsidP="0004000E">
            <w:pPr>
              <w:ind w:right="-2"/>
              <w:jc w:val="center"/>
              <w:rPr>
                <w:lang w:val="uk-UA"/>
              </w:rPr>
            </w:pPr>
          </w:p>
          <w:p w:rsidR="00C720E3" w:rsidRPr="001212D7" w:rsidRDefault="00C720E3" w:rsidP="0004000E">
            <w:pPr>
              <w:ind w:right="-2"/>
              <w:jc w:val="center"/>
              <w:rPr>
                <w:lang w:val="uk-UA"/>
              </w:rPr>
            </w:pPr>
            <w:r w:rsidRPr="001212D7">
              <w:rPr>
                <w:lang w:val="uk-UA"/>
              </w:rPr>
              <w:t>+</w:t>
            </w:r>
          </w:p>
        </w:tc>
        <w:tc>
          <w:tcPr>
            <w:tcW w:w="2268"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 </w:t>
            </w:r>
          </w:p>
        </w:tc>
      </w:tr>
      <w:tr w:rsidR="001212D7" w:rsidRPr="001212D7" w:rsidTr="0004000E">
        <w:tc>
          <w:tcPr>
            <w:tcW w:w="4962"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Суб’єкти господарювання,</w:t>
            </w:r>
          </w:p>
        </w:tc>
        <w:tc>
          <w:tcPr>
            <w:tcW w:w="2409" w:type="dxa"/>
            <w:vAlign w:val="center"/>
          </w:tcPr>
          <w:p w:rsidR="00C720E3" w:rsidRPr="001212D7" w:rsidRDefault="00C720E3" w:rsidP="0004000E">
            <w:pPr>
              <w:ind w:right="-2"/>
              <w:jc w:val="center"/>
              <w:rPr>
                <w:lang w:val="uk-UA"/>
              </w:rPr>
            </w:pPr>
          </w:p>
          <w:p w:rsidR="00C720E3" w:rsidRPr="001212D7" w:rsidRDefault="00C720E3" w:rsidP="0004000E">
            <w:pPr>
              <w:ind w:right="-2"/>
              <w:jc w:val="center"/>
              <w:rPr>
                <w:lang w:val="uk-UA"/>
              </w:rPr>
            </w:pPr>
            <w:r w:rsidRPr="001212D7">
              <w:rPr>
                <w:lang w:val="uk-UA"/>
              </w:rPr>
              <w:t>+</w:t>
            </w:r>
          </w:p>
        </w:tc>
        <w:tc>
          <w:tcPr>
            <w:tcW w:w="2268"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 </w:t>
            </w:r>
          </w:p>
        </w:tc>
      </w:tr>
      <w:tr w:rsidR="0004000E" w:rsidRPr="001212D7" w:rsidTr="0004000E">
        <w:tc>
          <w:tcPr>
            <w:tcW w:w="4962"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у тому числі суб’єкти малого підприємництва</w:t>
            </w:r>
          </w:p>
        </w:tc>
        <w:tc>
          <w:tcPr>
            <w:tcW w:w="2409" w:type="dxa"/>
            <w:vAlign w:val="center"/>
          </w:tcPr>
          <w:p w:rsidR="00C720E3" w:rsidRPr="001212D7" w:rsidRDefault="00C720E3" w:rsidP="0004000E">
            <w:pPr>
              <w:ind w:right="-2"/>
              <w:jc w:val="center"/>
              <w:rPr>
                <w:lang w:val="uk-UA"/>
              </w:rPr>
            </w:pPr>
          </w:p>
          <w:p w:rsidR="00C720E3" w:rsidRPr="001212D7" w:rsidRDefault="00C720E3" w:rsidP="0004000E">
            <w:pPr>
              <w:ind w:right="-2"/>
              <w:jc w:val="center"/>
              <w:rPr>
                <w:lang w:val="uk-UA"/>
              </w:rPr>
            </w:pPr>
            <w:r w:rsidRPr="001212D7">
              <w:rPr>
                <w:lang w:val="uk-UA"/>
              </w:rPr>
              <w:t>+</w:t>
            </w:r>
          </w:p>
        </w:tc>
        <w:tc>
          <w:tcPr>
            <w:tcW w:w="2268" w:type="dxa"/>
          </w:tcPr>
          <w:p w:rsidR="00C720E3" w:rsidRPr="001212D7" w:rsidRDefault="00C720E3" w:rsidP="0004000E">
            <w:pPr>
              <w:ind w:right="-2"/>
              <w:jc w:val="both"/>
              <w:rPr>
                <w:lang w:val="uk-UA"/>
              </w:rPr>
            </w:pPr>
          </w:p>
          <w:p w:rsidR="00C720E3" w:rsidRPr="001212D7" w:rsidRDefault="00C720E3" w:rsidP="0004000E">
            <w:pPr>
              <w:ind w:right="-2"/>
              <w:rPr>
                <w:lang w:val="uk-UA"/>
              </w:rPr>
            </w:pPr>
            <w:r w:rsidRPr="001212D7">
              <w:rPr>
                <w:lang w:val="uk-UA"/>
              </w:rPr>
              <w:t> </w:t>
            </w:r>
          </w:p>
        </w:tc>
      </w:tr>
    </w:tbl>
    <w:p w:rsidR="00C720E3" w:rsidRPr="001212D7" w:rsidRDefault="00C720E3" w:rsidP="0004000E">
      <w:pPr>
        <w:shd w:val="clear" w:color="auto" w:fill="FFFFFF"/>
        <w:tabs>
          <w:tab w:val="left" w:pos="1003"/>
        </w:tabs>
        <w:spacing w:after="120"/>
        <w:ind w:right="-2" w:firstLine="539"/>
        <w:jc w:val="both"/>
        <w:rPr>
          <w:sz w:val="28"/>
          <w:szCs w:val="28"/>
          <w:lang w:val="uk-UA"/>
        </w:rPr>
      </w:pPr>
    </w:p>
    <w:p w:rsidR="00015322" w:rsidRPr="001212D7" w:rsidRDefault="00015322" w:rsidP="0004000E">
      <w:pPr>
        <w:pStyle w:val="a3"/>
        <w:spacing w:before="120" w:beforeAutospacing="0" w:after="0" w:afterAutospacing="0"/>
        <w:ind w:right="-2" w:firstLine="720"/>
        <w:jc w:val="both"/>
        <w:rPr>
          <w:sz w:val="28"/>
          <w:szCs w:val="28"/>
          <w:lang w:val="uk-UA"/>
        </w:rPr>
      </w:pPr>
      <w:r w:rsidRPr="001212D7">
        <w:rPr>
          <w:sz w:val="28"/>
          <w:szCs w:val="28"/>
          <w:lang w:val="uk-UA"/>
        </w:rPr>
        <w:t xml:space="preserve">Врегулювання зазначених питань у частині оподаткування податком на </w:t>
      </w:r>
      <w:r w:rsidR="00331E5C" w:rsidRPr="001212D7">
        <w:rPr>
          <w:sz w:val="28"/>
          <w:szCs w:val="28"/>
          <w:lang w:val="uk-UA"/>
        </w:rPr>
        <w:t xml:space="preserve">виведений капітал </w:t>
      </w:r>
      <w:r w:rsidRPr="001212D7">
        <w:rPr>
          <w:sz w:val="28"/>
          <w:szCs w:val="28"/>
          <w:lang w:val="uk-UA"/>
        </w:rPr>
        <w:t>не може бути здійснено за допомогою:</w:t>
      </w:r>
    </w:p>
    <w:p w:rsidR="00015322" w:rsidRPr="001212D7" w:rsidRDefault="00015322" w:rsidP="0004000E">
      <w:pPr>
        <w:pStyle w:val="a3"/>
        <w:spacing w:before="120" w:beforeAutospacing="0" w:after="0" w:afterAutospacing="0"/>
        <w:ind w:right="-2" w:firstLine="720"/>
        <w:jc w:val="both"/>
        <w:rPr>
          <w:sz w:val="28"/>
          <w:szCs w:val="28"/>
          <w:lang w:val="uk-UA"/>
        </w:rPr>
      </w:pPr>
      <w:r w:rsidRPr="001212D7">
        <w:rPr>
          <w:sz w:val="28"/>
          <w:szCs w:val="28"/>
          <w:lang w:val="uk-UA"/>
        </w:rPr>
        <w:lastRenderedPageBreak/>
        <w:t xml:space="preserve">ринкових механізмів, оскільки такі питання регулюються виключно </w:t>
      </w:r>
      <w:r w:rsidR="00366544" w:rsidRPr="001212D7">
        <w:rPr>
          <w:sz w:val="28"/>
          <w:szCs w:val="28"/>
          <w:lang w:val="uk-UA"/>
        </w:rPr>
        <w:t>Податковим кодексом України</w:t>
      </w:r>
      <w:r w:rsidR="00B608CA" w:rsidRPr="001212D7">
        <w:rPr>
          <w:sz w:val="28"/>
          <w:szCs w:val="28"/>
          <w:lang w:val="uk-UA"/>
        </w:rPr>
        <w:t xml:space="preserve"> (далі – Кодекс)</w:t>
      </w:r>
      <w:r w:rsidRPr="001212D7">
        <w:rPr>
          <w:sz w:val="28"/>
          <w:szCs w:val="28"/>
          <w:lang w:val="uk-UA"/>
        </w:rPr>
        <w:t>;</w:t>
      </w:r>
    </w:p>
    <w:p w:rsidR="00015322" w:rsidRPr="00E643AE" w:rsidRDefault="00015322" w:rsidP="00531910">
      <w:pPr>
        <w:pStyle w:val="a3"/>
        <w:spacing w:before="120" w:beforeAutospacing="0" w:after="0" w:afterAutospacing="0"/>
        <w:ind w:right="-2" w:firstLine="720"/>
        <w:jc w:val="both"/>
        <w:rPr>
          <w:sz w:val="28"/>
          <w:szCs w:val="28"/>
          <w:lang w:val="uk-UA"/>
        </w:rPr>
      </w:pPr>
      <w:r w:rsidRPr="001212D7">
        <w:rPr>
          <w:sz w:val="28"/>
          <w:szCs w:val="28"/>
          <w:lang w:val="uk-UA"/>
        </w:rPr>
        <w:t xml:space="preserve">чинних регуляторних актів, оскільки відсутній </w:t>
      </w:r>
      <w:r w:rsidR="00366544" w:rsidRPr="001212D7">
        <w:rPr>
          <w:sz w:val="28"/>
          <w:szCs w:val="28"/>
          <w:lang w:val="uk-UA"/>
        </w:rPr>
        <w:t xml:space="preserve">законодавчий </w:t>
      </w:r>
      <w:r w:rsidRPr="001212D7">
        <w:rPr>
          <w:sz w:val="28"/>
          <w:szCs w:val="28"/>
          <w:lang w:val="uk-UA"/>
        </w:rPr>
        <w:t xml:space="preserve">акт, який дає змогу виконати вимоги </w:t>
      </w:r>
      <w:r w:rsidR="00822666" w:rsidRPr="001212D7">
        <w:rPr>
          <w:sz w:val="28"/>
          <w:szCs w:val="28"/>
          <w:lang w:val="uk-UA"/>
        </w:rPr>
        <w:t>п</w:t>
      </w:r>
      <w:r w:rsidR="00822666" w:rsidRPr="001212D7">
        <w:rPr>
          <w:rFonts w:eastAsia="Calibri"/>
          <w:sz w:val="28"/>
          <w:szCs w:val="28"/>
          <w:lang w:val="uk-UA" w:eastAsia="en-US"/>
        </w:rPr>
        <w:t xml:space="preserve">ункту 5 розділу II «Прикінцеві та перехідні положення» </w:t>
      </w:r>
      <w:r w:rsidR="00531910" w:rsidRPr="001212D7">
        <w:rPr>
          <w:sz w:val="28"/>
          <w:szCs w:val="28"/>
          <w:lang w:val="uk-UA"/>
        </w:rPr>
        <w:t>Закону України  від 21.12.2016  № 1797-VIII «Про внесення змін до Податкового кодексу України щодо покращення інвестиційного клімату в Україні».</w:t>
      </w:r>
    </w:p>
    <w:p w:rsidR="003F4E44" w:rsidRPr="001212D7" w:rsidRDefault="003F4E44" w:rsidP="0004000E">
      <w:pPr>
        <w:pStyle w:val="3"/>
        <w:widowControl w:val="0"/>
        <w:spacing w:before="60" w:beforeAutospacing="0" w:after="0" w:afterAutospacing="0"/>
        <w:ind w:right="-2"/>
        <w:jc w:val="center"/>
        <w:rPr>
          <w:sz w:val="28"/>
          <w:szCs w:val="28"/>
          <w:lang w:val="uk-UA"/>
        </w:rPr>
      </w:pPr>
    </w:p>
    <w:p w:rsidR="00015322" w:rsidRPr="001212D7" w:rsidRDefault="00015322" w:rsidP="0004000E">
      <w:pPr>
        <w:pStyle w:val="3"/>
        <w:widowControl w:val="0"/>
        <w:spacing w:before="60" w:beforeAutospacing="0" w:after="0" w:afterAutospacing="0"/>
        <w:ind w:right="-2"/>
        <w:jc w:val="center"/>
        <w:rPr>
          <w:sz w:val="28"/>
          <w:szCs w:val="28"/>
          <w:lang w:val="uk-UA"/>
        </w:rPr>
      </w:pPr>
      <w:r w:rsidRPr="001212D7">
        <w:rPr>
          <w:sz w:val="28"/>
          <w:szCs w:val="28"/>
          <w:lang w:val="uk-UA"/>
        </w:rPr>
        <w:t>II. Цілі державного регулювання</w:t>
      </w:r>
    </w:p>
    <w:p w:rsidR="0098598B" w:rsidRPr="001212D7" w:rsidRDefault="0098598B" w:rsidP="0004000E">
      <w:pPr>
        <w:pStyle w:val="3"/>
        <w:widowControl w:val="0"/>
        <w:spacing w:before="60" w:beforeAutospacing="0" w:after="0" w:afterAutospacing="0"/>
        <w:ind w:right="-2"/>
        <w:jc w:val="center"/>
        <w:rPr>
          <w:sz w:val="24"/>
          <w:szCs w:val="24"/>
          <w:lang w:val="uk-UA"/>
        </w:rPr>
      </w:pPr>
    </w:p>
    <w:p w:rsidR="00156174" w:rsidRPr="001212D7" w:rsidRDefault="00015322" w:rsidP="0004000E">
      <w:pPr>
        <w:spacing w:after="120"/>
        <w:ind w:right="-2" w:firstLine="567"/>
        <w:jc w:val="both"/>
        <w:rPr>
          <w:rFonts w:eastAsia="Calibri"/>
          <w:sz w:val="28"/>
          <w:szCs w:val="28"/>
          <w:lang w:val="uk-UA" w:eastAsia="en-US"/>
        </w:rPr>
      </w:pPr>
      <w:r w:rsidRPr="001212D7">
        <w:rPr>
          <w:sz w:val="28"/>
          <w:szCs w:val="28"/>
          <w:lang w:val="uk-UA"/>
        </w:rPr>
        <w:t xml:space="preserve">Основною метою підготовки </w:t>
      </w:r>
      <w:r w:rsidR="00A40F25" w:rsidRPr="001212D7">
        <w:rPr>
          <w:sz w:val="28"/>
          <w:szCs w:val="28"/>
          <w:lang w:val="uk-UA"/>
        </w:rPr>
        <w:t>законопроекту</w:t>
      </w:r>
      <w:r w:rsidRPr="001212D7">
        <w:rPr>
          <w:sz w:val="28"/>
          <w:szCs w:val="28"/>
          <w:lang w:val="uk-UA"/>
        </w:rPr>
        <w:t xml:space="preserve"> є </w:t>
      </w:r>
      <w:r w:rsidR="00156174" w:rsidRPr="001212D7">
        <w:rPr>
          <w:sz w:val="28"/>
          <w:szCs w:val="28"/>
          <w:lang w:val="uk-UA"/>
        </w:rPr>
        <w:t>виконання п</w:t>
      </w:r>
      <w:r w:rsidR="00156174" w:rsidRPr="001212D7">
        <w:rPr>
          <w:rFonts w:eastAsia="Calibri"/>
          <w:sz w:val="28"/>
          <w:szCs w:val="28"/>
          <w:lang w:val="uk-UA" w:eastAsia="en-US"/>
        </w:rPr>
        <w:t xml:space="preserve">ункту 5 розділу </w:t>
      </w:r>
      <w:r w:rsidR="00156174" w:rsidRPr="001212D7">
        <w:rPr>
          <w:rFonts w:eastAsia="Calibri"/>
          <w:sz w:val="28"/>
          <w:szCs w:val="28"/>
          <w:lang w:eastAsia="en-US"/>
        </w:rPr>
        <w:t>II</w:t>
      </w:r>
      <w:r w:rsidR="00156174" w:rsidRPr="001212D7">
        <w:rPr>
          <w:rFonts w:eastAsia="Calibri"/>
          <w:sz w:val="28"/>
          <w:szCs w:val="28"/>
          <w:lang w:val="uk-UA" w:eastAsia="en-US"/>
        </w:rPr>
        <w:t xml:space="preserve"> «Прикінцеві та перехідні положення» </w:t>
      </w:r>
      <w:r w:rsidR="00F658AC" w:rsidRPr="001212D7">
        <w:rPr>
          <w:rFonts w:eastAsia="Calibri"/>
          <w:sz w:val="28"/>
          <w:szCs w:val="28"/>
          <w:lang w:val="uk-UA" w:eastAsia="en-US"/>
        </w:rPr>
        <w:t xml:space="preserve">Закону України  від 21.12.2016 </w:t>
      </w:r>
      <w:r w:rsidR="00716BA4">
        <w:rPr>
          <w:rFonts w:eastAsia="Calibri"/>
          <w:sz w:val="28"/>
          <w:szCs w:val="28"/>
          <w:lang w:val="uk-UA" w:eastAsia="en-US"/>
        </w:rPr>
        <w:t xml:space="preserve"> </w:t>
      </w:r>
      <w:r w:rsidR="00F658AC" w:rsidRPr="001212D7">
        <w:rPr>
          <w:rFonts w:eastAsia="Calibri"/>
          <w:sz w:val="28"/>
          <w:szCs w:val="28"/>
          <w:lang w:val="uk-UA" w:eastAsia="en-US"/>
        </w:rPr>
        <w:t>№</w:t>
      </w:r>
      <w:r w:rsidR="00716BA4">
        <w:rPr>
          <w:rFonts w:eastAsia="Calibri"/>
          <w:sz w:val="28"/>
          <w:szCs w:val="28"/>
          <w:lang w:val="uk-UA" w:eastAsia="en-US"/>
        </w:rPr>
        <w:t> </w:t>
      </w:r>
      <w:r w:rsidR="00F658AC" w:rsidRPr="001212D7">
        <w:rPr>
          <w:rFonts w:eastAsia="Calibri"/>
          <w:sz w:val="28"/>
          <w:szCs w:val="28"/>
          <w:lang w:val="uk-UA" w:eastAsia="en-US"/>
        </w:rPr>
        <w:t>1797-VIII «Про внесення змін до Податкового кодексу України щодо покращення інвестиційного клімату в Україні»</w:t>
      </w:r>
      <w:r w:rsidR="00156174" w:rsidRPr="001212D7">
        <w:rPr>
          <w:rFonts w:eastAsia="Calibri"/>
          <w:sz w:val="28"/>
          <w:szCs w:val="28"/>
          <w:lang w:val="uk-UA" w:eastAsia="en-US"/>
        </w:rPr>
        <w:t>.</w:t>
      </w:r>
    </w:p>
    <w:p w:rsidR="00ED627D" w:rsidRPr="00020D3B" w:rsidRDefault="00ED627D" w:rsidP="00ED627D">
      <w:pPr>
        <w:spacing w:after="120"/>
        <w:ind w:right="-2" w:firstLine="567"/>
        <w:jc w:val="both"/>
        <w:rPr>
          <w:sz w:val="28"/>
          <w:szCs w:val="28"/>
          <w:lang w:val="uk-UA"/>
        </w:rPr>
      </w:pPr>
      <w:r w:rsidRPr="00E643AE">
        <w:rPr>
          <w:sz w:val="28"/>
          <w:szCs w:val="28"/>
          <w:lang w:val="uk-UA"/>
        </w:rPr>
        <w:t>Цілями державного регулювання, що безпосередньо пов’язані з розв’язанням проблеми</w:t>
      </w:r>
      <w:r w:rsidR="005471D5" w:rsidRPr="00E643AE">
        <w:rPr>
          <w:sz w:val="28"/>
          <w:szCs w:val="28"/>
          <w:lang w:val="uk-UA"/>
        </w:rPr>
        <w:t xml:space="preserve">, </w:t>
      </w:r>
      <w:r w:rsidRPr="00E643AE">
        <w:rPr>
          <w:sz w:val="28"/>
          <w:szCs w:val="28"/>
          <w:lang w:val="uk-UA"/>
        </w:rPr>
        <w:t xml:space="preserve">є </w:t>
      </w:r>
      <w:r w:rsidR="00020D3B">
        <w:rPr>
          <w:sz w:val="28"/>
          <w:szCs w:val="28"/>
          <w:lang w:val="uk-UA"/>
        </w:rPr>
        <w:t xml:space="preserve">зменшення непорозумінь </w:t>
      </w:r>
      <w:r w:rsidR="00020D3B" w:rsidRPr="00020D3B">
        <w:rPr>
          <w:sz w:val="28"/>
          <w:szCs w:val="28"/>
          <w:lang w:val="uk-UA"/>
        </w:rPr>
        <w:t xml:space="preserve">між </w:t>
      </w:r>
      <w:r w:rsidR="00020D3B">
        <w:rPr>
          <w:sz w:val="28"/>
          <w:szCs w:val="28"/>
          <w:lang w:val="uk-UA"/>
        </w:rPr>
        <w:t>контролюючими орг</w:t>
      </w:r>
      <w:r w:rsidR="00020D3B" w:rsidRPr="00020D3B">
        <w:rPr>
          <w:sz w:val="28"/>
          <w:szCs w:val="28"/>
          <w:lang w:val="uk-UA"/>
        </w:rPr>
        <w:t>анами та платниками</w:t>
      </w:r>
      <w:r w:rsidR="00207B8F">
        <w:rPr>
          <w:sz w:val="28"/>
          <w:szCs w:val="28"/>
          <w:lang w:val="uk-UA"/>
        </w:rPr>
        <w:t>,</w:t>
      </w:r>
      <w:r w:rsidR="00020D3B">
        <w:rPr>
          <w:sz w:val="28"/>
          <w:szCs w:val="28"/>
          <w:lang w:val="uk-UA"/>
        </w:rPr>
        <w:t xml:space="preserve"> </w:t>
      </w:r>
      <w:r w:rsidR="005471D5" w:rsidRPr="00E643AE">
        <w:rPr>
          <w:sz w:val="28"/>
          <w:szCs w:val="28"/>
          <w:lang w:val="uk-UA"/>
        </w:rPr>
        <w:t>збільшенн</w:t>
      </w:r>
      <w:r w:rsidR="00F658AC" w:rsidRPr="00E643AE">
        <w:rPr>
          <w:sz w:val="28"/>
          <w:szCs w:val="28"/>
          <w:lang w:val="uk-UA"/>
        </w:rPr>
        <w:t>я</w:t>
      </w:r>
      <w:r w:rsidR="005471D5" w:rsidRPr="00E643AE">
        <w:rPr>
          <w:sz w:val="28"/>
          <w:szCs w:val="28"/>
          <w:lang w:val="uk-UA"/>
        </w:rPr>
        <w:t xml:space="preserve"> обігових коштів платника податку та можливість їх реінвестування на проведення </w:t>
      </w:r>
      <w:proofErr w:type="spellStart"/>
      <w:r w:rsidR="005471D5" w:rsidRPr="00E643AE">
        <w:rPr>
          <w:sz w:val="28"/>
          <w:szCs w:val="28"/>
          <w:lang w:val="uk-UA"/>
        </w:rPr>
        <w:t>модернізаційних</w:t>
      </w:r>
      <w:proofErr w:type="spellEnd"/>
      <w:r w:rsidR="005471D5" w:rsidRPr="00E643AE">
        <w:rPr>
          <w:sz w:val="28"/>
          <w:szCs w:val="28"/>
          <w:lang w:val="uk-UA"/>
        </w:rPr>
        <w:t xml:space="preserve"> процесів, розширення виробництва, поповнення власного капіталу, зростанню рівня капіталізації підприємств</w:t>
      </w:r>
      <w:r w:rsidR="00020D3B">
        <w:rPr>
          <w:sz w:val="28"/>
          <w:szCs w:val="28"/>
          <w:lang w:val="uk-UA"/>
        </w:rPr>
        <w:t xml:space="preserve">, </w:t>
      </w:r>
      <w:r w:rsidR="00F658AC" w:rsidRPr="00E643AE">
        <w:rPr>
          <w:sz w:val="28"/>
          <w:szCs w:val="28"/>
          <w:lang w:val="uk-UA"/>
        </w:rPr>
        <w:t>створення більш сприятливих умов для  інвестиційного клімату</w:t>
      </w:r>
      <w:r w:rsidR="005471D5" w:rsidRPr="00E643AE">
        <w:rPr>
          <w:sz w:val="28"/>
          <w:szCs w:val="28"/>
          <w:lang w:val="uk-UA"/>
        </w:rPr>
        <w:t xml:space="preserve">. </w:t>
      </w:r>
    </w:p>
    <w:p w:rsidR="00015322" w:rsidRPr="001212D7" w:rsidRDefault="00015322" w:rsidP="0004000E">
      <w:pPr>
        <w:pStyle w:val="3"/>
        <w:widowControl w:val="0"/>
        <w:spacing w:before="60" w:beforeAutospacing="0" w:after="0" w:afterAutospacing="0"/>
        <w:ind w:right="-2"/>
        <w:jc w:val="center"/>
        <w:rPr>
          <w:sz w:val="24"/>
          <w:szCs w:val="24"/>
          <w:lang w:val="uk-UA"/>
        </w:rPr>
      </w:pPr>
    </w:p>
    <w:p w:rsidR="00B52748" w:rsidRPr="001212D7" w:rsidRDefault="00B52748" w:rsidP="0004000E">
      <w:pPr>
        <w:pStyle w:val="3"/>
        <w:widowControl w:val="0"/>
        <w:spacing w:before="60" w:beforeAutospacing="0" w:after="0" w:afterAutospacing="0"/>
        <w:ind w:right="-2"/>
        <w:jc w:val="center"/>
        <w:rPr>
          <w:sz w:val="24"/>
          <w:szCs w:val="24"/>
          <w:lang w:val="uk-UA"/>
        </w:rPr>
      </w:pPr>
    </w:p>
    <w:p w:rsidR="00015322" w:rsidRPr="001212D7" w:rsidRDefault="00015322" w:rsidP="0004000E">
      <w:pPr>
        <w:pStyle w:val="3"/>
        <w:widowControl w:val="0"/>
        <w:spacing w:before="0" w:beforeAutospacing="0" w:after="0" w:afterAutospacing="0"/>
        <w:ind w:right="-2"/>
        <w:jc w:val="center"/>
        <w:rPr>
          <w:sz w:val="28"/>
          <w:szCs w:val="28"/>
          <w:lang w:val="uk-UA"/>
        </w:rPr>
      </w:pPr>
      <w:r w:rsidRPr="001212D7">
        <w:rPr>
          <w:sz w:val="28"/>
          <w:szCs w:val="28"/>
          <w:lang w:val="uk-UA"/>
        </w:rPr>
        <w:t>III. Визначення та оцінка альтернативних способів досягнення цілей</w:t>
      </w:r>
    </w:p>
    <w:p w:rsidR="0098598B" w:rsidRPr="001212D7" w:rsidRDefault="0098598B" w:rsidP="0004000E">
      <w:pPr>
        <w:pStyle w:val="3"/>
        <w:widowControl w:val="0"/>
        <w:spacing w:before="0" w:beforeAutospacing="0" w:after="0" w:afterAutospacing="0"/>
        <w:ind w:right="-2"/>
        <w:jc w:val="center"/>
        <w:rPr>
          <w:sz w:val="24"/>
          <w:szCs w:val="24"/>
          <w:lang w:val="uk-UA"/>
        </w:rPr>
      </w:pPr>
    </w:p>
    <w:p w:rsidR="00015322" w:rsidRPr="001212D7" w:rsidRDefault="00015322" w:rsidP="0004000E">
      <w:pPr>
        <w:pStyle w:val="a3"/>
        <w:widowControl w:val="0"/>
        <w:numPr>
          <w:ilvl w:val="0"/>
          <w:numId w:val="14"/>
        </w:numPr>
        <w:spacing w:before="0" w:beforeAutospacing="0" w:after="0" w:afterAutospacing="0"/>
        <w:ind w:right="-2"/>
        <w:jc w:val="both"/>
        <w:rPr>
          <w:sz w:val="28"/>
          <w:szCs w:val="28"/>
          <w:lang w:val="uk-UA"/>
        </w:rPr>
      </w:pPr>
      <w:r w:rsidRPr="001212D7">
        <w:rPr>
          <w:sz w:val="28"/>
          <w:szCs w:val="28"/>
          <w:lang w:val="uk-UA"/>
        </w:rPr>
        <w:t>Альтернативні способи досягнення цілей державного регулювання</w:t>
      </w:r>
      <w:r w:rsidR="00A511E4">
        <w:rPr>
          <w:sz w:val="28"/>
          <w:szCs w:val="28"/>
          <w:lang w:val="uk-UA"/>
        </w:rPr>
        <w:t>.</w:t>
      </w:r>
    </w:p>
    <w:p w:rsidR="00510FBC" w:rsidRDefault="00531910" w:rsidP="00B52748">
      <w:pPr>
        <w:pStyle w:val="a3"/>
        <w:widowControl w:val="0"/>
        <w:spacing w:before="120" w:beforeAutospacing="0" w:after="0" w:afterAutospacing="0"/>
        <w:ind w:right="-2"/>
        <w:jc w:val="both"/>
        <w:rPr>
          <w:sz w:val="28"/>
          <w:szCs w:val="28"/>
          <w:lang w:val="uk-UA"/>
        </w:rPr>
      </w:pPr>
      <w:r w:rsidRPr="00E643AE">
        <w:rPr>
          <w:sz w:val="28"/>
          <w:szCs w:val="28"/>
          <w:lang w:val="uk-UA"/>
        </w:rPr>
        <w:t xml:space="preserve">          </w:t>
      </w:r>
      <w:r w:rsidR="00906BA1" w:rsidRPr="00E643AE">
        <w:rPr>
          <w:sz w:val="28"/>
          <w:szCs w:val="28"/>
          <w:lang w:val="uk-UA"/>
        </w:rPr>
        <w:t xml:space="preserve">Альтернативні способи були розглянуті </w:t>
      </w:r>
      <w:r w:rsidR="00407F5C" w:rsidRPr="00E643AE">
        <w:rPr>
          <w:sz w:val="28"/>
          <w:szCs w:val="28"/>
          <w:lang w:val="uk-UA"/>
        </w:rPr>
        <w:t>протягом року</w:t>
      </w:r>
      <w:r w:rsidR="00207B8F">
        <w:rPr>
          <w:sz w:val="28"/>
          <w:szCs w:val="28"/>
          <w:lang w:val="uk-UA"/>
        </w:rPr>
        <w:t>, зокрема</w:t>
      </w:r>
      <w:r w:rsidR="00407F5C" w:rsidRPr="00E643AE">
        <w:rPr>
          <w:sz w:val="28"/>
          <w:szCs w:val="28"/>
          <w:lang w:val="uk-UA"/>
        </w:rPr>
        <w:t xml:space="preserve"> на засіданнях робоч</w:t>
      </w:r>
      <w:r w:rsidRPr="00E643AE">
        <w:rPr>
          <w:sz w:val="28"/>
          <w:szCs w:val="28"/>
          <w:lang w:val="uk-UA"/>
        </w:rPr>
        <w:t>о</w:t>
      </w:r>
      <w:r w:rsidR="00407F5C" w:rsidRPr="00E643AE">
        <w:rPr>
          <w:sz w:val="28"/>
          <w:szCs w:val="28"/>
          <w:lang w:val="uk-UA"/>
        </w:rPr>
        <w:t>ї групи</w:t>
      </w:r>
      <w:r w:rsidRPr="00E643AE">
        <w:rPr>
          <w:sz w:val="28"/>
          <w:szCs w:val="28"/>
          <w:lang w:val="uk-UA"/>
        </w:rPr>
        <w:t xml:space="preserve"> </w:t>
      </w:r>
      <w:r w:rsidR="008B5F81" w:rsidRPr="00E643AE">
        <w:rPr>
          <w:sz w:val="28"/>
          <w:szCs w:val="28"/>
          <w:lang w:val="uk-UA"/>
        </w:rPr>
        <w:t xml:space="preserve">шляхом опрацювання </w:t>
      </w:r>
      <w:r w:rsidR="00906BA1" w:rsidRPr="00E643AE">
        <w:rPr>
          <w:sz w:val="28"/>
          <w:szCs w:val="28"/>
          <w:lang w:val="uk-UA"/>
        </w:rPr>
        <w:t>пропозиці</w:t>
      </w:r>
      <w:r w:rsidR="00A83B11" w:rsidRPr="00E643AE">
        <w:rPr>
          <w:sz w:val="28"/>
          <w:szCs w:val="28"/>
          <w:lang w:val="uk-UA"/>
        </w:rPr>
        <w:t>й</w:t>
      </w:r>
      <w:r w:rsidR="00906BA1" w:rsidRPr="00E643AE">
        <w:rPr>
          <w:sz w:val="28"/>
          <w:szCs w:val="28"/>
          <w:lang w:val="uk-UA"/>
        </w:rPr>
        <w:t xml:space="preserve"> ш</w:t>
      </w:r>
      <w:r w:rsidR="003B1B89" w:rsidRPr="00E643AE">
        <w:rPr>
          <w:sz w:val="28"/>
          <w:szCs w:val="28"/>
          <w:lang w:val="uk-UA"/>
        </w:rPr>
        <w:t>и</w:t>
      </w:r>
      <w:r w:rsidR="00906BA1" w:rsidRPr="00E643AE">
        <w:rPr>
          <w:sz w:val="28"/>
          <w:szCs w:val="28"/>
          <w:lang w:val="uk-UA"/>
        </w:rPr>
        <w:t xml:space="preserve">рокого кола </w:t>
      </w:r>
      <w:r w:rsidRPr="00E643AE">
        <w:rPr>
          <w:sz w:val="28"/>
          <w:szCs w:val="28"/>
          <w:lang w:val="uk-UA"/>
        </w:rPr>
        <w:t>осіб, які брали участь у засіданнях</w:t>
      </w:r>
      <w:r w:rsidR="00945F80" w:rsidRPr="00E643AE">
        <w:rPr>
          <w:sz w:val="28"/>
          <w:szCs w:val="28"/>
          <w:lang w:val="uk-UA"/>
        </w:rPr>
        <w:t xml:space="preserve"> </w:t>
      </w:r>
      <w:r w:rsidR="00AB2099" w:rsidRPr="00E643AE">
        <w:rPr>
          <w:sz w:val="28"/>
          <w:szCs w:val="28"/>
          <w:lang w:val="uk-UA"/>
        </w:rPr>
        <w:t>(</w:t>
      </w:r>
      <w:r w:rsidRPr="00E643AE">
        <w:rPr>
          <w:sz w:val="28"/>
          <w:szCs w:val="28"/>
          <w:lang w:val="uk-UA"/>
        </w:rPr>
        <w:t>проведено</w:t>
      </w:r>
      <w:r w:rsidR="00A83B11" w:rsidRPr="00E643AE">
        <w:rPr>
          <w:sz w:val="28"/>
          <w:szCs w:val="28"/>
          <w:lang w:val="uk-UA"/>
        </w:rPr>
        <w:t xml:space="preserve"> понад</w:t>
      </w:r>
      <w:r w:rsidRPr="00E643AE">
        <w:rPr>
          <w:sz w:val="28"/>
          <w:szCs w:val="28"/>
          <w:lang w:val="uk-UA"/>
        </w:rPr>
        <w:t xml:space="preserve"> </w:t>
      </w:r>
      <w:r w:rsidR="00AB2099" w:rsidRPr="00E643AE">
        <w:rPr>
          <w:sz w:val="28"/>
          <w:szCs w:val="28"/>
          <w:lang w:val="uk-UA"/>
        </w:rPr>
        <w:t xml:space="preserve">20 </w:t>
      </w:r>
      <w:r w:rsidRPr="00E643AE">
        <w:rPr>
          <w:sz w:val="28"/>
          <w:szCs w:val="28"/>
          <w:lang w:val="uk-UA"/>
        </w:rPr>
        <w:t>засідань)</w:t>
      </w:r>
      <w:r w:rsidR="00207B8F">
        <w:rPr>
          <w:sz w:val="28"/>
          <w:szCs w:val="28"/>
          <w:lang w:val="uk-UA"/>
        </w:rPr>
        <w:t>. Також взят</w:t>
      </w:r>
      <w:r w:rsidR="00A511E4">
        <w:rPr>
          <w:sz w:val="28"/>
          <w:szCs w:val="28"/>
          <w:lang w:val="uk-UA"/>
        </w:rPr>
        <w:t>і</w:t>
      </w:r>
      <w:r w:rsidR="00207B8F">
        <w:rPr>
          <w:sz w:val="28"/>
          <w:szCs w:val="28"/>
          <w:lang w:val="uk-UA"/>
        </w:rPr>
        <w:t xml:space="preserve"> до уваги </w:t>
      </w:r>
      <w:r w:rsidR="00AB2099" w:rsidRPr="00E643AE">
        <w:rPr>
          <w:sz w:val="28"/>
          <w:szCs w:val="28"/>
          <w:lang w:val="uk-UA"/>
        </w:rPr>
        <w:t>звернен</w:t>
      </w:r>
      <w:r w:rsidR="00207B8F">
        <w:rPr>
          <w:sz w:val="28"/>
          <w:szCs w:val="28"/>
          <w:lang w:val="uk-UA"/>
        </w:rPr>
        <w:t>ня</w:t>
      </w:r>
      <w:r w:rsidR="00AB2099" w:rsidRPr="00E643AE">
        <w:rPr>
          <w:sz w:val="28"/>
          <w:szCs w:val="28"/>
          <w:lang w:val="uk-UA"/>
        </w:rPr>
        <w:t xml:space="preserve"> </w:t>
      </w:r>
      <w:r w:rsidR="00B76B63" w:rsidRPr="00E643AE">
        <w:rPr>
          <w:sz w:val="28"/>
          <w:szCs w:val="28"/>
          <w:lang w:val="uk-UA"/>
        </w:rPr>
        <w:t>з приводу доцільності запровадження податку на виведений капітал</w:t>
      </w:r>
      <w:r w:rsidR="00B76B63">
        <w:rPr>
          <w:sz w:val="28"/>
          <w:szCs w:val="28"/>
          <w:lang w:val="uk-UA"/>
        </w:rPr>
        <w:t xml:space="preserve">, отримані від </w:t>
      </w:r>
      <w:r w:rsidR="00207B8F" w:rsidRPr="00207B8F">
        <w:rPr>
          <w:sz w:val="28"/>
          <w:szCs w:val="28"/>
          <w:lang w:val="uk-UA"/>
        </w:rPr>
        <w:t>Українськ</w:t>
      </w:r>
      <w:r w:rsidR="00207B8F">
        <w:rPr>
          <w:sz w:val="28"/>
          <w:szCs w:val="28"/>
          <w:lang w:val="uk-UA"/>
        </w:rPr>
        <w:t>ого</w:t>
      </w:r>
      <w:r w:rsidR="00207B8F" w:rsidRPr="00207B8F">
        <w:rPr>
          <w:sz w:val="28"/>
          <w:szCs w:val="28"/>
          <w:lang w:val="uk-UA"/>
        </w:rPr>
        <w:t xml:space="preserve"> союз</w:t>
      </w:r>
      <w:r w:rsidR="00207B8F">
        <w:rPr>
          <w:sz w:val="28"/>
          <w:szCs w:val="28"/>
          <w:lang w:val="uk-UA"/>
        </w:rPr>
        <w:t>у</w:t>
      </w:r>
      <w:r w:rsidR="00207B8F" w:rsidRPr="00207B8F">
        <w:rPr>
          <w:sz w:val="28"/>
          <w:szCs w:val="28"/>
          <w:lang w:val="uk-UA"/>
        </w:rPr>
        <w:t xml:space="preserve"> промисловців і підприємців (лист від</w:t>
      </w:r>
      <w:r w:rsidR="00A511E4">
        <w:rPr>
          <w:sz w:val="28"/>
          <w:szCs w:val="28"/>
          <w:lang w:val="uk-UA"/>
        </w:rPr>
        <w:t> </w:t>
      </w:r>
      <w:r w:rsidR="00207B8F" w:rsidRPr="00207B8F">
        <w:rPr>
          <w:sz w:val="28"/>
          <w:szCs w:val="28"/>
          <w:lang w:val="uk-UA"/>
        </w:rPr>
        <w:t>21.06.2016 №</w:t>
      </w:r>
      <w:r w:rsidR="00A511E4">
        <w:rPr>
          <w:sz w:val="28"/>
          <w:szCs w:val="28"/>
          <w:lang w:val="uk-UA"/>
        </w:rPr>
        <w:t> </w:t>
      </w:r>
      <w:r w:rsidR="00207B8F" w:rsidRPr="00207B8F">
        <w:rPr>
          <w:sz w:val="28"/>
          <w:szCs w:val="28"/>
          <w:lang w:val="uk-UA"/>
        </w:rPr>
        <w:t>02-1-420) громадськ</w:t>
      </w:r>
      <w:r w:rsidR="00207B8F">
        <w:rPr>
          <w:sz w:val="28"/>
          <w:szCs w:val="28"/>
          <w:lang w:val="uk-UA"/>
        </w:rPr>
        <w:t>ої</w:t>
      </w:r>
      <w:r w:rsidR="00207B8F" w:rsidRPr="00207B8F">
        <w:rPr>
          <w:sz w:val="28"/>
          <w:szCs w:val="28"/>
          <w:lang w:val="uk-UA"/>
        </w:rPr>
        <w:t xml:space="preserve"> платформ</w:t>
      </w:r>
      <w:r w:rsidR="00207B8F">
        <w:rPr>
          <w:sz w:val="28"/>
          <w:szCs w:val="28"/>
          <w:lang w:val="uk-UA"/>
        </w:rPr>
        <w:t>и</w:t>
      </w:r>
      <w:r w:rsidR="00207B8F" w:rsidRPr="00207B8F">
        <w:rPr>
          <w:sz w:val="28"/>
          <w:szCs w:val="28"/>
          <w:lang w:val="uk-UA"/>
        </w:rPr>
        <w:t xml:space="preserve"> «Податки для економічної свободи» (лист від</w:t>
      </w:r>
      <w:r w:rsidR="00A511E4">
        <w:rPr>
          <w:sz w:val="28"/>
          <w:szCs w:val="28"/>
          <w:lang w:val="uk-UA"/>
        </w:rPr>
        <w:t> </w:t>
      </w:r>
      <w:r w:rsidR="00207B8F" w:rsidRPr="00207B8F">
        <w:rPr>
          <w:sz w:val="28"/>
          <w:szCs w:val="28"/>
          <w:lang w:val="uk-UA"/>
        </w:rPr>
        <w:t>04.11.2016 №</w:t>
      </w:r>
      <w:r w:rsidR="00A511E4">
        <w:rPr>
          <w:sz w:val="28"/>
          <w:szCs w:val="28"/>
          <w:lang w:val="uk-UA"/>
        </w:rPr>
        <w:t> </w:t>
      </w:r>
      <w:r w:rsidR="00207B8F" w:rsidRPr="00207B8F">
        <w:rPr>
          <w:sz w:val="28"/>
          <w:szCs w:val="28"/>
          <w:lang w:val="uk-UA"/>
        </w:rPr>
        <w:t>9)</w:t>
      </w:r>
      <w:r w:rsidR="00207B8F">
        <w:rPr>
          <w:sz w:val="28"/>
          <w:szCs w:val="28"/>
          <w:lang w:val="uk-UA"/>
        </w:rPr>
        <w:t>,</w:t>
      </w:r>
      <w:r w:rsidR="00207B8F" w:rsidRPr="00207B8F">
        <w:rPr>
          <w:sz w:val="28"/>
          <w:szCs w:val="28"/>
          <w:lang w:val="uk-UA"/>
        </w:rPr>
        <w:t xml:space="preserve"> Спілк</w:t>
      </w:r>
      <w:r w:rsidR="00207B8F">
        <w:rPr>
          <w:sz w:val="28"/>
          <w:szCs w:val="28"/>
          <w:lang w:val="uk-UA"/>
        </w:rPr>
        <w:t>и</w:t>
      </w:r>
      <w:r w:rsidR="00207B8F" w:rsidRPr="00207B8F">
        <w:rPr>
          <w:sz w:val="28"/>
          <w:szCs w:val="28"/>
          <w:lang w:val="uk-UA"/>
        </w:rPr>
        <w:t xml:space="preserve"> підприємців малих, середніх і приватизованих підприємств України (лист від</w:t>
      </w:r>
      <w:r w:rsidR="00A511E4">
        <w:rPr>
          <w:sz w:val="28"/>
          <w:szCs w:val="28"/>
          <w:lang w:val="uk-UA"/>
        </w:rPr>
        <w:t> </w:t>
      </w:r>
      <w:r w:rsidR="00207B8F" w:rsidRPr="00207B8F">
        <w:rPr>
          <w:sz w:val="28"/>
          <w:szCs w:val="28"/>
          <w:lang w:val="uk-UA"/>
        </w:rPr>
        <w:t>25.10.2016 №</w:t>
      </w:r>
      <w:r w:rsidR="00A511E4">
        <w:rPr>
          <w:sz w:val="28"/>
          <w:szCs w:val="28"/>
          <w:lang w:val="uk-UA"/>
        </w:rPr>
        <w:t> </w:t>
      </w:r>
      <w:r w:rsidR="00207B8F" w:rsidRPr="00207B8F">
        <w:rPr>
          <w:sz w:val="28"/>
          <w:szCs w:val="28"/>
          <w:lang w:val="uk-UA"/>
        </w:rPr>
        <w:t>289); Реанімаційн</w:t>
      </w:r>
      <w:r w:rsidR="00207B8F">
        <w:rPr>
          <w:sz w:val="28"/>
          <w:szCs w:val="28"/>
          <w:lang w:val="uk-UA"/>
        </w:rPr>
        <w:t xml:space="preserve">ого </w:t>
      </w:r>
      <w:r w:rsidR="00207B8F" w:rsidRPr="00207B8F">
        <w:rPr>
          <w:sz w:val="28"/>
          <w:szCs w:val="28"/>
          <w:lang w:val="uk-UA"/>
        </w:rPr>
        <w:t>пакет</w:t>
      </w:r>
      <w:r w:rsidR="00207B8F">
        <w:rPr>
          <w:sz w:val="28"/>
          <w:szCs w:val="28"/>
          <w:lang w:val="uk-UA"/>
        </w:rPr>
        <w:t>у</w:t>
      </w:r>
      <w:r w:rsidR="00207B8F" w:rsidRPr="00207B8F">
        <w:rPr>
          <w:sz w:val="28"/>
          <w:szCs w:val="28"/>
          <w:lang w:val="uk-UA"/>
        </w:rPr>
        <w:t xml:space="preserve"> реформ (лист від 26.07.2016 №</w:t>
      </w:r>
      <w:r w:rsidR="00A511E4">
        <w:rPr>
          <w:sz w:val="28"/>
          <w:szCs w:val="28"/>
          <w:lang w:val="uk-UA"/>
        </w:rPr>
        <w:t> </w:t>
      </w:r>
      <w:r w:rsidR="00207B8F" w:rsidRPr="00207B8F">
        <w:rPr>
          <w:sz w:val="28"/>
          <w:szCs w:val="28"/>
          <w:lang w:val="uk-UA"/>
        </w:rPr>
        <w:t>48)</w:t>
      </w:r>
      <w:r w:rsidR="00207B8F">
        <w:rPr>
          <w:sz w:val="28"/>
          <w:szCs w:val="28"/>
          <w:lang w:val="uk-UA"/>
        </w:rPr>
        <w:t>,</w:t>
      </w:r>
      <w:r w:rsidR="00207B8F" w:rsidRPr="00207B8F">
        <w:rPr>
          <w:sz w:val="28"/>
          <w:szCs w:val="28"/>
          <w:lang w:val="uk-UA"/>
        </w:rPr>
        <w:t xml:space="preserve"> Громадськ</w:t>
      </w:r>
      <w:r w:rsidR="00207B8F">
        <w:rPr>
          <w:sz w:val="28"/>
          <w:szCs w:val="28"/>
          <w:lang w:val="uk-UA"/>
        </w:rPr>
        <w:t>ої</w:t>
      </w:r>
      <w:r w:rsidR="00207B8F" w:rsidRPr="00207B8F">
        <w:rPr>
          <w:sz w:val="28"/>
          <w:szCs w:val="28"/>
          <w:lang w:val="uk-UA"/>
        </w:rPr>
        <w:t xml:space="preserve"> організаці</w:t>
      </w:r>
      <w:r w:rsidR="00207B8F">
        <w:rPr>
          <w:sz w:val="28"/>
          <w:szCs w:val="28"/>
          <w:lang w:val="uk-UA"/>
        </w:rPr>
        <w:t>ї</w:t>
      </w:r>
      <w:r w:rsidR="00207B8F" w:rsidRPr="00207B8F">
        <w:rPr>
          <w:sz w:val="28"/>
          <w:szCs w:val="28"/>
          <w:lang w:val="uk-UA"/>
        </w:rPr>
        <w:t xml:space="preserve"> «Інститут податкових реформ» (лист від 27.03.2017 №</w:t>
      </w:r>
      <w:r w:rsidR="00A511E4">
        <w:rPr>
          <w:sz w:val="28"/>
          <w:szCs w:val="28"/>
          <w:lang w:val="uk-UA"/>
        </w:rPr>
        <w:t> </w:t>
      </w:r>
      <w:r w:rsidR="00207B8F" w:rsidRPr="00207B8F">
        <w:rPr>
          <w:sz w:val="28"/>
          <w:szCs w:val="28"/>
          <w:lang w:val="uk-UA"/>
        </w:rPr>
        <w:t>710-1/32)</w:t>
      </w:r>
      <w:r w:rsidR="00207B8F">
        <w:rPr>
          <w:sz w:val="28"/>
          <w:szCs w:val="28"/>
          <w:lang w:val="uk-UA"/>
        </w:rPr>
        <w:t>,</w:t>
      </w:r>
      <w:r w:rsidR="00207B8F" w:rsidRPr="00207B8F">
        <w:rPr>
          <w:sz w:val="28"/>
          <w:szCs w:val="28"/>
          <w:lang w:val="uk-UA"/>
        </w:rPr>
        <w:t xml:space="preserve"> Всеукраїнськ</w:t>
      </w:r>
      <w:r w:rsidR="00207B8F">
        <w:rPr>
          <w:sz w:val="28"/>
          <w:szCs w:val="28"/>
          <w:lang w:val="uk-UA"/>
        </w:rPr>
        <w:t>ої</w:t>
      </w:r>
      <w:r w:rsidR="00207B8F" w:rsidRPr="00207B8F">
        <w:rPr>
          <w:sz w:val="28"/>
          <w:szCs w:val="28"/>
          <w:lang w:val="uk-UA"/>
        </w:rPr>
        <w:t xml:space="preserve"> громадськ</w:t>
      </w:r>
      <w:r w:rsidR="00207B8F">
        <w:rPr>
          <w:sz w:val="28"/>
          <w:szCs w:val="28"/>
          <w:lang w:val="uk-UA"/>
        </w:rPr>
        <w:t>ої</w:t>
      </w:r>
      <w:r w:rsidR="00207B8F" w:rsidRPr="00207B8F">
        <w:rPr>
          <w:sz w:val="28"/>
          <w:szCs w:val="28"/>
          <w:lang w:val="uk-UA"/>
        </w:rPr>
        <w:t xml:space="preserve"> організаці</w:t>
      </w:r>
      <w:r w:rsidR="00207B8F">
        <w:rPr>
          <w:sz w:val="28"/>
          <w:szCs w:val="28"/>
          <w:lang w:val="uk-UA"/>
        </w:rPr>
        <w:t>ї</w:t>
      </w:r>
      <w:r w:rsidR="00207B8F" w:rsidRPr="00207B8F">
        <w:rPr>
          <w:sz w:val="28"/>
          <w:szCs w:val="28"/>
          <w:lang w:val="uk-UA"/>
        </w:rPr>
        <w:t xml:space="preserve"> «Асоціація правників України» (лист від 17.05.2017 №</w:t>
      </w:r>
      <w:r w:rsidR="00A511E4">
        <w:rPr>
          <w:sz w:val="28"/>
          <w:szCs w:val="28"/>
          <w:lang w:val="uk-UA"/>
        </w:rPr>
        <w:t> </w:t>
      </w:r>
      <w:r w:rsidR="00207B8F" w:rsidRPr="00207B8F">
        <w:rPr>
          <w:sz w:val="28"/>
          <w:szCs w:val="28"/>
          <w:lang w:val="uk-UA"/>
        </w:rPr>
        <w:t>661/1)</w:t>
      </w:r>
      <w:r w:rsidR="00207B8F">
        <w:rPr>
          <w:sz w:val="28"/>
          <w:szCs w:val="28"/>
          <w:lang w:val="uk-UA"/>
        </w:rPr>
        <w:t>,</w:t>
      </w:r>
      <w:r w:rsidR="00207B8F" w:rsidRPr="00207B8F">
        <w:rPr>
          <w:sz w:val="28"/>
          <w:szCs w:val="28"/>
          <w:lang w:val="uk-UA"/>
        </w:rPr>
        <w:t xml:space="preserve"> Асоціаці</w:t>
      </w:r>
      <w:r w:rsidR="00207B8F">
        <w:rPr>
          <w:sz w:val="28"/>
          <w:szCs w:val="28"/>
          <w:lang w:val="uk-UA"/>
        </w:rPr>
        <w:t>ї</w:t>
      </w:r>
      <w:r w:rsidR="00207B8F" w:rsidRPr="00207B8F">
        <w:rPr>
          <w:sz w:val="28"/>
          <w:szCs w:val="28"/>
          <w:lang w:val="uk-UA"/>
        </w:rPr>
        <w:t xml:space="preserve"> платників податків (лист від 22.03.2017 №</w:t>
      </w:r>
      <w:r w:rsidR="00A511E4">
        <w:rPr>
          <w:sz w:val="28"/>
          <w:szCs w:val="28"/>
          <w:lang w:val="uk-UA"/>
        </w:rPr>
        <w:t> </w:t>
      </w:r>
      <w:r w:rsidR="00207B8F" w:rsidRPr="00207B8F">
        <w:rPr>
          <w:sz w:val="28"/>
          <w:szCs w:val="28"/>
          <w:lang w:val="uk-UA"/>
        </w:rPr>
        <w:t>99/3/1)</w:t>
      </w:r>
      <w:r w:rsidR="00207B8F">
        <w:rPr>
          <w:sz w:val="28"/>
          <w:szCs w:val="28"/>
          <w:lang w:val="uk-UA"/>
        </w:rPr>
        <w:t xml:space="preserve"> </w:t>
      </w:r>
      <w:r w:rsidR="00AB2099" w:rsidRPr="00E643AE">
        <w:rPr>
          <w:sz w:val="28"/>
          <w:szCs w:val="28"/>
          <w:lang w:val="uk-UA"/>
        </w:rPr>
        <w:t>до М</w:t>
      </w:r>
      <w:r w:rsidRPr="00E643AE">
        <w:rPr>
          <w:sz w:val="28"/>
          <w:szCs w:val="28"/>
          <w:lang w:val="uk-UA"/>
        </w:rPr>
        <w:t>іністерства фінансів України</w:t>
      </w:r>
      <w:r w:rsidR="00A83B11" w:rsidRPr="00E643AE">
        <w:rPr>
          <w:sz w:val="28"/>
          <w:szCs w:val="28"/>
          <w:lang w:val="uk-UA"/>
        </w:rPr>
        <w:t>.</w:t>
      </w:r>
    </w:p>
    <w:p w:rsidR="00207B8F" w:rsidRDefault="00207B8F" w:rsidP="00B52748">
      <w:pPr>
        <w:pStyle w:val="a3"/>
        <w:widowControl w:val="0"/>
        <w:spacing w:before="120" w:beforeAutospacing="0" w:after="0" w:afterAutospacing="0"/>
        <w:ind w:right="-2"/>
        <w:jc w:val="both"/>
        <w:rPr>
          <w:sz w:val="28"/>
          <w:szCs w:val="28"/>
          <w:lang w:val="uk-UA"/>
        </w:rPr>
      </w:pPr>
    </w:p>
    <w:p w:rsidR="00207B8F" w:rsidRDefault="00207B8F" w:rsidP="00B52748">
      <w:pPr>
        <w:pStyle w:val="a3"/>
        <w:widowControl w:val="0"/>
        <w:spacing w:before="120" w:beforeAutospacing="0" w:after="0" w:afterAutospacing="0"/>
        <w:ind w:right="-2"/>
        <w:jc w:val="both"/>
        <w:rPr>
          <w:sz w:val="28"/>
          <w:szCs w:val="28"/>
          <w:lang w:val="uk-UA"/>
        </w:rPr>
      </w:pPr>
    </w:p>
    <w:p w:rsidR="00207B8F" w:rsidRPr="00E643AE" w:rsidRDefault="00207B8F" w:rsidP="00B52748">
      <w:pPr>
        <w:pStyle w:val="a3"/>
        <w:widowControl w:val="0"/>
        <w:spacing w:before="120" w:beforeAutospacing="0" w:after="0" w:afterAutospacing="0"/>
        <w:ind w:right="-2"/>
        <w:jc w:val="both"/>
        <w:rPr>
          <w:sz w:val="28"/>
          <w:szCs w:val="28"/>
          <w:lang w:val="uk-UA"/>
        </w:rPr>
      </w:pPr>
    </w:p>
    <w:p w:rsidR="00A83B11" w:rsidRPr="00E643AE" w:rsidRDefault="00A83B11" w:rsidP="00A83B11">
      <w:pPr>
        <w:pStyle w:val="a3"/>
        <w:widowControl w:val="0"/>
        <w:spacing w:before="0" w:beforeAutospacing="0" w:after="0" w:afterAutospacing="0"/>
        <w:ind w:right="-2"/>
        <w:jc w:val="both"/>
        <w:rPr>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693"/>
      </w:tblGrid>
      <w:tr w:rsidR="001212D7" w:rsidRPr="001212D7" w:rsidTr="0004000E">
        <w:tc>
          <w:tcPr>
            <w:tcW w:w="2088" w:type="dxa"/>
            <w:vAlign w:val="center"/>
          </w:tcPr>
          <w:p w:rsidR="00C720E3" w:rsidRPr="001212D7" w:rsidRDefault="00C720E3" w:rsidP="0004000E">
            <w:pPr>
              <w:ind w:right="-2"/>
              <w:jc w:val="center"/>
              <w:rPr>
                <w:sz w:val="20"/>
                <w:szCs w:val="20"/>
                <w:lang w:val="uk-UA"/>
              </w:rPr>
            </w:pPr>
          </w:p>
          <w:p w:rsidR="00C720E3" w:rsidRPr="001212D7" w:rsidRDefault="00C720E3" w:rsidP="0004000E">
            <w:pPr>
              <w:ind w:right="-2"/>
              <w:jc w:val="center"/>
              <w:rPr>
                <w:sz w:val="20"/>
                <w:szCs w:val="20"/>
                <w:lang w:val="uk-UA"/>
              </w:rPr>
            </w:pPr>
            <w:r w:rsidRPr="001212D7">
              <w:rPr>
                <w:sz w:val="20"/>
                <w:szCs w:val="20"/>
                <w:lang w:val="uk-UA"/>
              </w:rPr>
              <w:t>Вид альтернативи</w:t>
            </w:r>
          </w:p>
          <w:p w:rsidR="00C720E3" w:rsidRPr="001212D7" w:rsidRDefault="00C720E3" w:rsidP="0004000E">
            <w:pPr>
              <w:ind w:right="-2"/>
              <w:jc w:val="center"/>
              <w:rPr>
                <w:sz w:val="20"/>
                <w:szCs w:val="20"/>
                <w:lang w:val="uk-UA"/>
              </w:rPr>
            </w:pPr>
          </w:p>
        </w:tc>
        <w:tc>
          <w:tcPr>
            <w:tcW w:w="7693" w:type="dxa"/>
            <w:vAlign w:val="center"/>
          </w:tcPr>
          <w:p w:rsidR="00C720E3" w:rsidRPr="001212D7" w:rsidRDefault="00C720E3" w:rsidP="0004000E">
            <w:pPr>
              <w:ind w:right="-2"/>
              <w:jc w:val="center"/>
              <w:rPr>
                <w:sz w:val="20"/>
                <w:szCs w:val="20"/>
                <w:lang w:val="uk-UA"/>
              </w:rPr>
            </w:pPr>
          </w:p>
          <w:p w:rsidR="00C720E3" w:rsidRPr="001212D7" w:rsidRDefault="00C720E3" w:rsidP="0004000E">
            <w:pPr>
              <w:ind w:right="-2"/>
              <w:jc w:val="center"/>
              <w:rPr>
                <w:sz w:val="20"/>
                <w:szCs w:val="20"/>
                <w:lang w:val="uk-UA"/>
              </w:rPr>
            </w:pPr>
            <w:r w:rsidRPr="001212D7">
              <w:rPr>
                <w:sz w:val="20"/>
                <w:szCs w:val="20"/>
                <w:lang w:val="uk-UA"/>
              </w:rPr>
              <w:t>Опис альтернативи</w:t>
            </w:r>
          </w:p>
        </w:tc>
      </w:tr>
      <w:tr w:rsidR="001212D7" w:rsidRPr="001212D7" w:rsidTr="0004000E">
        <w:tc>
          <w:tcPr>
            <w:tcW w:w="2088" w:type="dxa"/>
            <w:vAlign w:val="center"/>
          </w:tcPr>
          <w:p w:rsidR="00C720E3" w:rsidRPr="001212D7" w:rsidRDefault="00C720E3" w:rsidP="0004000E">
            <w:pPr>
              <w:spacing w:before="120" w:after="120"/>
              <w:ind w:right="-2"/>
              <w:rPr>
                <w:sz w:val="20"/>
                <w:szCs w:val="20"/>
                <w:lang w:val="uk-UA"/>
              </w:rPr>
            </w:pPr>
            <w:r w:rsidRPr="001212D7">
              <w:rPr>
                <w:sz w:val="20"/>
                <w:szCs w:val="20"/>
                <w:lang w:val="uk-UA"/>
              </w:rPr>
              <w:t>Альтернатива 1</w:t>
            </w:r>
          </w:p>
        </w:tc>
        <w:tc>
          <w:tcPr>
            <w:tcW w:w="7693" w:type="dxa"/>
            <w:vAlign w:val="center"/>
          </w:tcPr>
          <w:p w:rsidR="00C720E3" w:rsidRPr="001212D7" w:rsidRDefault="00C720E3" w:rsidP="0004000E">
            <w:pPr>
              <w:widowControl w:val="0"/>
              <w:spacing w:before="120" w:after="120"/>
              <w:ind w:right="-2"/>
              <w:jc w:val="both"/>
              <w:rPr>
                <w:sz w:val="20"/>
                <w:szCs w:val="20"/>
                <w:lang w:val="uk-UA"/>
              </w:rPr>
            </w:pPr>
            <w:r w:rsidRPr="001212D7">
              <w:rPr>
                <w:sz w:val="20"/>
                <w:szCs w:val="20"/>
                <w:lang w:val="uk-UA"/>
              </w:rPr>
              <w:t>Прийняття законопроекту щодо запровадження податку на виведений капітал</w:t>
            </w:r>
            <w:r w:rsidRPr="001212D7">
              <w:rPr>
                <w:rFonts w:eastAsia="Calibri"/>
                <w:sz w:val="20"/>
                <w:szCs w:val="20"/>
                <w:lang w:val="uk-UA" w:eastAsia="en-US"/>
              </w:rPr>
              <w:t>.</w:t>
            </w:r>
            <w:r w:rsidRPr="001212D7">
              <w:rPr>
                <w:bCs/>
                <w:sz w:val="20"/>
                <w:szCs w:val="20"/>
                <w:lang w:val="uk-UA"/>
              </w:rPr>
              <w:t xml:space="preserve">  </w:t>
            </w:r>
          </w:p>
        </w:tc>
      </w:tr>
      <w:tr w:rsidR="0004000E" w:rsidRPr="001212D7" w:rsidTr="0004000E">
        <w:tc>
          <w:tcPr>
            <w:tcW w:w="2088" w:type="dxa"/>
            <w:vAlign w:val="center"/>
          </w:tcPr>
          <w:p w:rsidR="00C720E3" w:rsidRPr="001212D7" w:rsidRDefault="00C720E3" w:rsidP="0004000E">
            <w:pPr>
              <w:ind w:right="-2"/>
              <w:rPr>
                <w:sz w:val="20"/>
                <w:szCs w:val="20"/>
                <w:lang w:val="uk-UA"/>
              </w:rPr>
            </w:pPr>
          </w:p>
          <w:p w:rsidR="00C720E3" w:rsidRPr="001212D7" w:rsidRDefault="00C720E3" w:rsidP="0004000E">
            <w:pPr>
              <w:ind w:right="-2"/>
              <w:rPr>
                <w:sz w:val="20"/>
                <w:szCs w:val="20"/>
                <w:lang w:val="uk-UA"/>
              </w:rPr>
            </w:pPr>
            <w:r w:rsidRPr="001212D7">
              <w:rPr>
                <w:sz w:val="20"/>
                <w:szCs w:val="20"/>
                <w:lang w:val="uk-UA"/>
              </w:rPr>
              <w:t>Альтернатива 2</w:t>
            </w:r>
          </w:p>
          <w:p w:rsidR="00C720E3" w:rsidRPr="001212D7" w:rsidRDefault="00C720E3" w:rsidP="0004000E">
            <w:pPr>
              <w:ind w:right="-2"/>
              <w:rPr>
                <w:sz w:val="20"/>
                <w:szCs w:val="20"/>
                <w:lang w:val="uk-UA"/>
              </w:rPr>
            </w:pPr>
          </w:p>
        </w:tc>
        <w:tc>
          <w:tcPr>
            <w:tcW w:w="7693" w:type="dxa"/>
            <w:vAlign w:val="center"/>
          </w:tcPr>
          <w:p w:rsidR="00C720E3" w:rsidRPr="001212D7" w:rsidRDefault="00C720E3" w:rsidP="0004000E">
            <w:pPr>
              <w:ind w:right="-2"/>
              <w:rPr>
                <w:bCs/>
                <w:sz w:val="20"/>
                <w:szCs w:val="20"/>
                <w:lang w:val="uk-UA"/>
              </w:rPr>
            </w:pPr>
            <w:r w:rsidRPr="001212D7">
              <w:rPr>
                <w:bCs/>
                <w:sz w:val="20"/>
                <w:szCs w:val="20"/>
                <w:lang w:val="uk-UA"/>
              </w:rPr>
              <w:t xml:space="preserve"> Залишення існуючого податк</w:t>
            </w:r>
            <w:r w:rsidR="00844F6B" w:rsidRPr="001212D7">
              <w:rPr>
                <w:bCs/>
                <w:sz w:val="20"/>
                <w:szCs w:val="20"/>
                <w:lang w:val="uk-UA"/>
              </w:rPr>
              <w:t>у</w:t>
            </w:r>
            <w:r w:rsidRPr="001212D7">
              <w:rPr>
                <w:bCs/>
                <w:sz w:val="20"/>
                <w:szCs w:val="20"/>
                <w:lang w:val="uk-UA"/>
              </w:rPr>
              <w:t xml:space="preserve"> на прибуток підприємств.</w:t>
            </w:r>
          </w:p>
        </w:tc>
      </w:tr>
    </w:tbl>
    <w:p w:rsidR="00B52748" w:rsidRPr="001212D7" w:rsidRDefault="00B52748" w:rsidP="0004000E">
      <w:pPr>
        <w:pStyle w:val="a3"/>
        <w:widowControl w:val="0"/>
        <w:spacing w:before="60" w:beforeAutospacing="0" w:after="0" w:afterAutospacing="0"/>
        <w:ind w:right="-2" w:firstLine="720"/>
        <w:jc w:val="both"/>
        <w:rPr>
          <w:sz w:val="20"/>
          <w:szCs w:val="20"/>
          <w:lang w:val="uk-UA"/>
        </w:rPr>
      </w:pPr>
    </w:p>
    <w:p w:rsidR="005471D5" w:rsidRPr="001212D7" w:rsidRDefault="005471D5" w:rsidP="0004000E">
      <w:pPr>
        <w:pStyle w:val="a3"/>
        <w:widowControl w:val="0"/>
        <w:spacing w:before="60" w:beforeAutospacing="0" w:after="0" w:afterAutospacing="0"/>
        <w:ind w:right="-2" w:firstLine="720"/>
        <w:jc w:val="both"/>
        <w:rPr>
          <w:sz w:val="20"/>
          <w:szCs w:val="20"/>
          <w:lang w:val="uk-UA"/>
        </w:rPr>
      </w:pPr>
    </w:p>
    <w:p w:rsidR="00015322" w:rsidRPr="001212D7" w:rsidRDefault="00015322" w:rsidP="0004000E">
      <w:pPr>
        <w:pStyle w:val="a3"/>
        <w:widowControl w:val="0"/>
        <w:numPr>
          <w:ilvl w:val="0"/>
          <w:numId w:val="14"/>
        </w:numPr>
        <w:spacing w:before="60" w:beforeAutospacing="0" w:after="0" w:afterAutospacing="0"/>
        <w:ind w:right="-2"/>
        <w:jc w:val="both"/>
        <w:rPr>
          <w:sz w:val="28"/>
          <w:szCs w:val="28"/>
          <w:lang w:val="uk-UA"/>
        </w:rPr>
      </w:pPr>
      <w:r w:rsidRPr="001212D7">
        <w:rPr>
          <w:sz w:val="28"/>
          <w:szCs w:val="28"/>
          <w:lang w:val="uk-UA"/>
        </w:rPr>
        <w:t>Оцінка впливу на сферу інтересів держави</w:t>
      </w:r>
    </w:p>
    <w:p w:rsidR="009F19E7" w:rsidRPr="001212D7" w:rsidRDefault="009F19E7" w:rsidP="0004000E">
      <w:pPr>
        <w:pStyle w:val="a3"/>
        <w:widowControl w:val="0"/>
        <w:spacing w:before="60" w:beforeAutospacing="0" w:after="0" w:afterAutospacing="0"/>
        <w:ind w:left="720" w:right="-2"/>
        <w:jc w:val="both"/>
        <w:rPr>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140"/>
        <w:gridCol w:w="3913"/>
      </w:tblGrid>
      <w:tr w:rsidR="001212D7" w:rsidRPr="001212D7" w:rsidTr="0004000E">
        <w:trPr>
          <w:trHeight w:val="806"/>
        </w:trPr>
        <w:tc>
          <w:tcPr>
            <w:tcW w:w="1728" w:type="dxa"/>
          </w:tcPr>
          <w:p w:rsidR="00C720E3" w:rsidRPr="001212D7" w:rsidRDefault="00C720E3" w:rsidP="0004000E">
            <w:pPr>
              <w:ind w:right="-2"/>
              <w:jc w:val="both"/>
              <w:rPr>
                <w:sz w:val="20"/>
                <w:szCs w:val="20"/>
                <w:lang w:val="uk-UA"/>
              </w:rPr>
            </w:pPr>
          </w:p>
          <w:p w:rsidR="00C720E3" w:rsidRPr="001212D7" w:rsidRDefault="00C720E3" w:rsidP="0004000E">
            <w:pPr>
              <w:ind w:right="-2"/>
              <w:jc w:val="center"/>
              <w:rPr>
                <w:sz w:val="20"/>
                <w:szCs w:val="20"/>
                <w:lang w:val="uk-UA"/>
              </w:rPr>
            </w:pPr>
            <w:r w:rsidRPr="001212D7">
              <w:rPr>
                <w:sz w:val="20"/>
                <w:szCs w:val="20"/>
                <w:lang w:val="uk-UA"/>
              </w:rPr>
              <w:t>Вид альтернативи</w:t>
            </w:r>
          </w:p>
          <w:p w:rsidR="00C720E3" w:rsidRPr="001212D7" w:rsidRDefault="00C720E3" w:rsidP="0004000E">
            <w:pPr>
              <w:ind w:right="-2"/>
              <w:jc w:val="center"/>
              <w:rPr>
                <w:sz w:val="20"/>
                <w:szCs w:val="20"/>
                <w:lang w:val="uk-UA"/>
              </w:rPr>
            </w:pPr>
          </w:p>
        </w:tc>
        <w:tc>
          <w:tcPr>
            <w:tcW w:w="4140" w:type="dxa"/>
          </w:tcPr>
          <w:p w:rsidR="00C720E3" w:rsidRPr="001212D7" w:rsidRDefault="00C720E3" w:rsidP="0004000E">
            <w:pPr>
              <w:ind w:right="-2"/>
              <w:jc w:val="both"/>
              <w:rPr>
                <w:sz w:val="20"/>
                <w:szCs w:val="20"/>
                <w:lang w:val="uk-UA"/>
              </w:rPr>
            </w:pPr>
          </w:p>
          <w:p w:rsidR="00C720E3" w:rsidRPr="001212D7" w:rsidRDefault="00C720E3" w:rsidP="003F4E44">
            <w:pPr>
              <w:ind w:right="-2"/>
              <w:jc w:val="center"/>
              <w:rPr>
                <w:sz w:val="20"/>
                <w:szCs w:val="20"/>
                <w:lang w:val="uk-UA"/>
              </w:rPr>
            </w:pPr>
            <w:r w:rsidRPr="001212D7">
              <w:rPr>
                <w:sz w:val="20"/>
                <w:szCs w:val="20"/>
                <w:lang w:val="uk-UA"/>
              </w:rPr>
              <w:t>Вигоди</w:t>
            </w:r>
            <w:r w:rsidR="002F1E65" w:rsidRPr="001212D7">
              <w:rPr>
                <w:sz w:val="20"/>
                <w:szCs w:val="20"/>
                <w:lang w:val="uk-UA"/>
              </w:rPr>
              <w:t xml:space="preserve"> </w:t>
            </w:r>
          </w:p>
        </w:tc>
        <w:tc>
          <w:tcPr>
            <w:tcW w:w="3913" w:type="dxa"/>
          </w:tcPr>
          <w:p w:rsidR="00531910" w:rsidRPr="001212D7" w:rsidRDefault="00531910" w:rsidP="0004000E">
            <w:pPr>
              <w:ind w:right="-2"/>
              <w:jc w:val="center"/>
              <w:rPr>
                <w:sz w:val="20"/>
                <w:szCs w:val="20"/>
                <w:lang w:val="uk-UA"/>
              </w:rPr>
            </w:pPr>
          </w:p>
          <w:p w:rsidR="00C720E3" w:rsidRPr="001212D7" w:rsidRDefault="00531910" w:rsidP="003F4E44">
            <w:pPr>
              <w:ind w:right="-2"/>
              <w:jc w:val="center"/>
              <w:rPr>
                <w:sz w:val="20"/>
                <w:szCs w:val="20"/>
                <w:lang w:val="uk-UA"/>
              </w:rPr>
            </w:pPr>
            <w:r w:rsidRPr="001212D7">
              <w:rPr>
                <w:sz w:val="20"/>
                <w:szCs w:val="20"/>
                <w:lang w:val="uk-UA"/>
              </w:rPr>
              <w:t>Витрати</w:t>
            </w:r>
            <w:r w:rsidR="002F1E65" w:rsidRPr="001212D7">
              <w:rPr>
                <w:sz w:val="20"/>
                <w:szCs w:val="20"/>
                <w:lang w:val="uk-UA"/>
              </w:rPr>
              <w:t xml:space="preserve"> </w:t>
            </w:r>
          </w:p>
        </w:tc>
      </w:tr>
      <w:tr w:rsidR="001212D7" w:rsidRPr="001212D7" w:rsidTr="0004000E">
        <w:tc>
          <w:tcPr>
            <w:tcW w:w="1728" w:type="dxa"/>
          </w:tcPr>
          <w:p w:rsidR="00C720E3" w:rsidRPr="001212D7" w:rsidRDefault="00C720E3" w:rsidP="0004000E">
            <w:pPr>
              <w:ind w:right="-2"/>
              <w:jc w:val="both"/>
              <w:rPr>
                <w:sz w:val="20"/>
                <w:szCs w:val="20"/>
                <w:lang w:val="uk-UA"/>
              </w:rPr>
            </w:pPr>
          </w:p>
          <w:p w:rsidR="00C720E3" w:rsidRPr="001212D7" w:rsidRDefault="00C720E3" w:rsidP="0004000E">
            <w:pPr>
              <w:ind w:right="-2"/>
              <w:rPr>
                <w:sz w:val="20"/>
                <w:szCs w:val="20"/>
                <w:lang w:val="uk-UA"/>
              </w:rPr>
            </w:pPr>
            <w:r w:rsidRPr="001212D7">
              <w:rPr>
                <w:sz w:val="20"/>
                <w:szCs w:val="20"/>
                <w:lang w:val="uk-UA"/>
              </w:rPr>
              <w:t>Альтернатива 1</w:t>
            </w:r>
          </w:p>
        </w:tc>
        <w:tc>
          <w:tcPr>
            <w:tcW w:w="4140" w:type="dxa"/>
          </w:tcPr>
          <w:p w:rsidR="00C720E3" w:rsidRPr="001212D7" w:rsidRDefault="0047163F" w:rsidP="0004000E">
            <w:pPr>
              <w:ind w:left="7" w:right="-2"/>
              <w:jc w:val="both"/>
              <w:rPr>
                <w:sz w:val="20"/>
                <w:szCs w:val="20"/>
                <w:lang w:val="uk-UA"/>
              </w:rPr>
            </w:pPr>
            <w:r w:rsidRPr="001212D7">
              <w:rPr>
                <w:sz w:val="20"/>
                <w:szCs w:val="20"/>
                <w:lang w:val="uk-UA"/>
              </w:rPr>
              <w:t xml:space="preserve">1) </w:t>
            </w:r>
            <w:r w:rsidR="00C720E3" w:rsidRPr="001212D7">
              <w:rPr>
                <w:sz w:val="20"/>
                <w:szCs w:val="20"/>
                <w:lang w:val="uk-UA"/>
              </w:rPr>
              <w:t xml:space="preserve">забезпечення виконання положень </w:t>
            </w:r>
            <w:r w:rsidR="00905B6D" w:rsidRPr="001212D7">
              <w:rPr>
                <w:sz w:val="20"/>
                <w:szCs w:val="20"/>
                <w:lang w:val="uk-UA"/>
              </w:rPr>
              <w:t xml:space="preserve">пункту 5 розділу II «Прикінцеві та перехідні положення» </w:t>
            </w:r>
            <w:r w:rsidR="00C720E3" w:rsidRPr="001212D7">
              <w:rPr>
                <w:sz w:val="20"/>
                <w:szCs w:val="20"/>
                <w:lang w:val="uk-UA"/>
              </w:rPr>
              <w:t>Закону №</w:t>
            </w:r>
            <w:r w:rsidR="00EE467A">
              <w:rPr>
                <w:sz w:val="20"/>
                <w:szCs w:val="20"/>
                <w:lang w:val="uk-UA"/>
              </w:rPr>
              <w:t> </w:t>
            </w:r>
            <w:r w:rsidR="00C720E3" w:rsidRPr="001212D7">
              <w:rPr>
                <w:sz w:val="20"/>
                <w:szCs w:val="20"/>
                <w:lang w:val="uk-UA"/>
              </w:rPr>
              <w:t>1797 в частині  запровадження податку на виведений капітал;</w:t>
            </w:r>
          </w:p>
          <w:p w:rsidR="00C720E3" w:rsidRPr="001212D7" w:rsidRDefault="0042352F" w:rsidP="0004000E">
            <w:pPr>
              <w:pStyle w:val="a8"/>
              <w:spacing w:before="60" w:after="0"/>
              <w:ind w:left="60" w:right="-2"/>
              <w:jc w:val="both"/>
              <w:rPr>
                <w:sz w:val="20"/>
                <w:szCs w:val="20"/>
                <w:lang w:val="ru-RU"/>
              </w:rPr>
            </w:pPr>
            <w:r w:rsidRPr="001212D7">
              <w:rPr>
                <w:sz w:val="20"/>
                <w:szCs w:val="20"/>
              </w:rPr>
              <w:t xml:space="preserve">2) </w:t>
            </w:r>
            <w:r w:rsidR="00905B6D" w:rsidRPr="001212D7">
              <w:rPr>
                <w:sz w:val="20"/>
                <w:szCs w:val="20"/>
              </w:rPr>
              <w:t xml:space="preserve">сприятиме запобіганню </w:t>
            </w:r>
            <w:r w:rsidR="00C720E3" w:rsidRPr="001212D7">
              <w:rPr>
                <w:sz w:val="20"/>
                <w:szCs w:val="20"/>
              </w:rPr>
              <w:t>відтоку капіталу за кордон;</w:t>
            </w:r>
          </w:p>
          <w:p w:rsidR="00945F80" w:rsidRPr="001212D7" w:rsidRDefault="0042352F" w:rsidP="00945F80">
            <w:pPr>
              <w:ind w:left="7" w:right="-2"/>
              <w:jc w:val="both"/>
              <w:rPr>
                <w:sz w:val="20"/>
                <w:szCs w:val="20"/>
                <w:lang w:val="uk-UA"/>
              </w:rPr>
            </w:pPr>
            <w:r w:rsidRPr="001212D7">
              <w:rPr>
                <w:sz w:val="20"/>
                <w:szCs w:val="20"/>
                <w:lang w:val="uk-UA"/>
              </w:rPr>
              <w:t xml:space="preserve">3) </w:t>
            </w:r>
            <w:r w:rsidR="00C720E3" w:rsidRPr="001212D7">
              <w:rPr>
                <w:sz w:val="20"/>
                <w:szCs w:val="20"/>
                <w:lang w:val="uk-UA"/>
              </w:rPr>
              <w:t>створ</w:t>
            </w:r>
            <w:r w:rsidR="00905B6D" w:rsidRPr="001212D7">
              <w:rPr>
                <w:sz w:val="20"/>
                <w:szCs w:val="20"/>
                <w:lang w:val="uk-UA"/>
              </w:rPr>
              <w:t>ить більш</w:t>
            </w:r>
            <w:r w:rsidR="00C720E3" w:rsidRPr="001212D7">
              <w:rPr>
                <w:sz w:val="20"/>
                <w:szCs w:val="20"/>
                <w:lang w:val="uk-UA"/>
              </w:rPr>
              <w:t xml:space="preserve"> сприятлив</w:t>
            </w:r>
            <w:r w:rsidR="00905B6D" w:rsidRPr="001212D7">
              <w:rPr>
                <w:sz w:val="20"/>
                <w:szCs w:val="20"/>
                <w:lang w:val="uk-UA"/>
              </w:rPr>
              <w:t xml:space="preserve">і умови для </w:t>
            </w:r>
            <w:r w:rsidR="00C720E3" w:rsidRPr="001212D7">
              <w:rPr>
                <w:sz w:val="20"/>
                <w:szCs w:val="20"/>
                <w:lang w:val="uk-UA"/>
              </w:rPr>
              <w:t xml:space="preserve"> інвестиційного клімату</w:t>
            </w:r>
            <w:r w:rsidR="00A511E4">
              <w:rPr>
                <w:sz w:val="20"/>
                <w:szCs w:val="20"/>
                <w:lang w:val="uk-UA"/>
              </w:rPr>
              <w:t>.</w:t>
            </w:r>
            <w:r w:rsidR="00642E0D" w:rsidRPr="001212D7">
              <w:rPr>
                <w:rStyle w:val="ae"/>
                <w:sz w:val="20"/>
                <w:szCs w:val="20"/>
                <w:lang w:val="uk-UA"/>
              </w:rPr>
              <w:footnoteReference w:id="2"/>
            </w:r>
            <w:r w:rsidR="00AB2099" w:rsidRPr="001212D7">
              <w:rPr>
                <w:sz w:val="20"/>
                <w:szCs w:val="20"/>
                <w:lang w:val="uk-UA"/>
              </w:rPr>
              <w:t xml:space="preserve"> </w:t>
            </w:r>
          </w:p>
          <w:p w:rsidR="00AB2099" w:rsidRPr="001212D7" w:rsidRDefault="00AB2099" w:rsidP="0004000E">
            <w:pPr>
              <w:ind w:left="7" w:right="-2"/>
              <w:jc w:val="both"/>
              <w:rPr>
                <w:sz w:val="20"/>
                <w:szCs w:val="20"/>
                <w:lang w:val="uk-UA"/>
              </w:rPr>
            </w:pPr>
          </w:p>
        </w:tc>
        <w:tc>
          <w:tcPr>
            <w:tcW w:w="3913" w:type="dxa"/>
          </w:tcPr>
          <w:p w:rsidR="00C720E3" w:rsidRPr="00A511E4" w:rsidRDefault="00C720E3" w:rsidP="0004000E">
            <w:pPr>
              <w:ind w:left="-22" w:right="-2"/>
              <w:jc w:val="both"/>
              <w:rPr>
                <w:sz w:val="20"/>
                <w:szCs w:val="20"/>
                <w:lang w:val="uk-UA"/>
              </w:rPr>
            </w:pPr>
            <w:r w:rsidRPr="00A511E4">
              <w:rPr>
                <w:i/>
                <w:sz w:val="20"/>
                <w:szCs w:val="20"/>
                <w:lang w:val="uk-UA"/>
              </w:rPr>
              <w:t xml:space="preserve"> Основні витрати держави пов’язані</w:t>
            </w:r>
            <w:r w:rsidRPr="00A511E4">
              <w:rPr>
                <w:sz w:val="20"/>
                <w:szCs w:val="20"/>
                <w:lang w:val="uk-UA"/>
              </w:rPr>
              <w:t xml:space="preserve"> із:</w:t>
            </w:r>
          </w:p>
          <w:p w:rsidR="00207B8F" w:rsidRPr="00A511E4" w:rsidRDefault="00DD5F19" w:rsidP="00207B8F">
            <w:pPr>
              <w:pStyle w:val="ac"/>
              <w:spacing w:after="0"/>
              <w:jc w:val="both"/>
              <w:rPr>
                <w:rFonts w:ascii="Times New Roman" w:hAnsi="Times New Roman"/>
                <w:lang w:val="uk-UA"/>
              </w:rPr>
            </w:pPr>
            <w:r w:rsidRPr="00A511E4">
              <w:rPr>
                <w:rFonts w:ascii="Times New Roman" w:hAnsi="Times New Roman"/>
                <w:lang w:val="uk-UA"/>
              </w:rPr>
              <w:t>1)</w:t>
            </w:r>
            <w:r w:rsidR="002E36E9" w:rsidRPr="00A511E4">
              <w:rPr>
                <w:rFonts w:ascii="Times New Roman" w:hAnsi="Times New Roman"/>
                <w:lang w:val="uk-UA"/>
              </w:rPr>
              <w:t xml:space="preserve"> </w:t>
            </w:r>
            <w:r w:rsidR="00542202" w:rsidRPr="00A511E4">
              <w:rPr>
                <w:rFonts w:ascii="Times New Roman" w:hAnsi="Times New Roman"/>
                <w:lang w:val="uk-UA"/>
              </w:rPr>
              <w:t xml:space="preserve">суттєвим </w:t>
            </w:r>
            <w:r w:rsidR="002E36E9" w:rsidRPr="00A511E4">
              <w:rPr>
                <w:rFonts w:ascii="Times New Roman" w:hAnsi="Times New Roman"/>
                <w:lang w:val="uk-UA"/>
              </w:rPr>
              <w:t>зменшення</w:t>
            </w:r>
            <w:r w:rsidR="00542202" w:rsidRPr="00A511E4">
              <w:rPr>
                <w:rFonts w:ascii="Times New Roman" w:hAnsi="Times New Roman"/>
                <w:lang w:val="uk-UA"/>
              </w:rPr>
              <w:t>ми</w:t>
            </w:r>
            <w:r w:rsidR="002E36E9" w:rsidRPr="00A511E4">
              <w:rPr>
                <w:rFonts w:ascii="Times New Roman" w:hAnsi="Times New Roman"/>
                <w:lang w:val="uk-UA"/>
              </w:rPr>
              <w:t xml:space="preserve"> надходжень до бюджету від податку на виведений капітал в перші роки </w:t>
            </w:r>
            <w:r w:rsidR="00AC6857" w:rsidRPr="00A511E4">
              <w:rPr>
                <w:rFonts w:ascii="Times New Roman" w:hAnsi="Times New Roman"/>
                <w:lang w:val="uk-UA"/>
              </w:rPr>
              <w:t>його</w:t>
            </w:r>
            <w:r w:rsidR="0038709D" w:rsidRPr="00A511E4">
              <w:rPr>
                <w:rFonts w:ascii="Times New Roman" w:hAnsi="Times New Roman"/>
                <w:lang w:val="uk-UA"/>
              </w:rPr>
              <w:t xml:space="preserve"> впровадження</w:t>
            </w:r>
            <w:r w:rsidR="00AC6857" w:rsidRPr="00A511E4">
              <w:rPr>
                <w:rFonts w:ascii="Times New Roman" w:hAnsi="Times New Roman"/>
                <w:lang w:val="uk-UA"/>
              </w:rPr>
              <w:t xml:space="preserve"> </w:t>
            </w:r>
            <w:r w:rsidR="002E36E9" w:rsidRPr="00A511E4">
              <w:rPr>
                <w:rFonts w:ascii="Times New Roman" w:hAnsi="Times New Roman"/>
                <w:lang w:val="uk-UA"/>
              </w:rPr>
              <w:t xml:space="preserve">порівняно з </w:t>
            </w:r>
            <w:r w:rsidR="00905B6D" w:rsidRPr="00A511E4">
              <w:rPr>
                <w:rFonts w:ascii="Times New Roman" w:hAnsi="Times New Roman"/>
                <w:lang w:val="uk-UA"/>
              </w:rPr>
              <w:t xml:space="preserve">надходженнями </w:t>
            </w:r>
            <w:r w:rsidR="00716A64" w:rsidRPr="00A511E4">
              <w:rPr>
                <w:rFonts w:ascii="Times New Roman" w:hAnsi="Times New Roman"/>
                <w:lang w:val="uk-UA"/>
              </w:rPr>
              <w:t>з</w:t>
            </w:r>
            <w:r w:rsidR="00905B6D" w:rsidRPr="00A511E4">
              <w:rPr>
                <w:rFonts w:ascii="Times New Roman" w:hAnsi="Times New Roman"/>
                <w:lang w:val="uk-UA"/>
              </w:rPr>
              <w:t xml:space="preserve"> </w:t>
            </w:r>
            <w:r w:rsidR="002E36E9" w:rsidRPr="00A511E4">
              <w:rPr>
                <w:rFonts w:ascii="Times New Roman" w:hAnsi="Times New Roman"/>
                <w:lang w:val="uk-UA"/>
              </w:rPr>
              <w:t>податк</w:t>
            </w:r>
            <w:r w:rsidR="00905B6D" w:rsidRPr="00A511E4">
              <w:rPr>
                <w:rFonts w:ascii="Times New Roman" w:hAnsi="Times New Roman"/>
                <w:lang w:val="uk-UA"/>
              </w:rPr>
              <w:t xml:space="preserve">у </w:t>
            </w:r>
            <w:r w:rsidR="002E36E9" w:rsidRPr="00A511E4">
              <w:rPr>
                <w:rFonts w:ascii="Times New Roman" w:hAnsi="Times New Roman"/>
                <w:lang w:val="uk-UA"/>
              </w:rPr>
              <w:t>на прибуток</w:t>
            </w:r>
            <w:r w:rsidR="00905B6D" w:rsidRPr="00A511E4">
              <w:rPr>
                <w:rFonts w:ascii="Times New Roman" w:hAnsi="Times New Roman"/>
                <w:lang w:val="uk-UA"/>
              </w:rPr>
              <w:t xml:space="preserve"> підприємств</w:t>
            </w:r>
            <w:r w:rsidR="00A511E4">
              <w:rPr>
                <w:rFonts w:ascii="Times New Roman" w:hAnsi="Times New Roman"/>
                <w:lang w:val="uk-UA"/>
              </w:rPr>
              <w:t>.</w:t>
            </w:r>
            <w:r w:rsidR="00207B8F" w:rsidRPr="00A511E4">
              <w:rPr>
                <w:rFonts w:ascii="Times New Roman" w:hAnsi="Times New Roman"/>
                <w:lang w:val="uk-UA"/>
              </w:rPr>
              <w:t xml:space="preserve"> </w:t>
            </w:r>
          </w:p>
          <w:p w:rsidR="00207B8F" w:rsidRPr="00A511E4" w:rsidRDefault="00A511E4" w:rsidP="00207B8F">
            <w:pPr>
              <w:pStyle w:val="ac"/>
              <w:spacing w:after="0"/>
              <w:jc w:val="both"/>
              <w:rPr>
                <w:rFonts w:ascii="Times New Roman" w:hAnsi="Times New Roman"/>
                <w:lang w:val="uk-UA"/>
              </w:rPr>
            </w:pPr>
            <w:r>
              <w:rPr>
                <w:rFonts w:ascii="Times New Roman" w:hAnsi="Times New Roman"/>
                <w:lang w:val="uk-UA"/>
              </w:rPr>
              <w:t xml:space="preserve">      </w:t>
            </w:r>
            <w:r w:rsidR="00207B8F" w:rsidRPr="00A511E4">
              <w:rPr>
                <w:rFonts w:ascii="Times New Roman" w:hAnsi="Times New Roman"/>
                <w:lang w:val="uk-UA"/>
              </w:rPr>
              <w:t>Так, за попередніми розрахунками Мінфіну, сума податку на виведений капітал та прирівняні до виведення капіталу платежі  (в умовах 2016 року) становить 25,1 млрд. грн., що на 35.2 млрд. грн. менше фактичних надходжень податку на прибуток підприємств у 2016 році (факт</w:t>
            </w:r>
            <w:r>
              <w:rPr>
                <w:rFonts w:ascii="Times New Roman" w:hAnsi="Times New Roman"/>
                <w:lang w:val="uk-UA"/>
              </w:rPr>
              <w:t>ичні надходження</w:t>
            </w:r>
            <w:r w:rsidR="00207B8F" w:rsidRPr="00A511E4">
              <w:rPr>
                <w:rFonts w:ascii="Times New Roman" w:hAnsi="Times New Roman"/>
                <w:lang w:val="uk-UA"/>
              </w:rPr>
              <w:t xml:space="preserve"> </w:t>
            </w:r>
            <w:r>
              <w:rPr>
                <w:rFonts w:ascii="Times New Roman" w:hAnsi="Times New Roman"/>
                <w:lang w:val="uk-UA"/>
              </w:rPr>
              <w:t>до</w:t>
            </w:r>
            <w:r w:rsidR="00207B8F" w:rsidRPr="00A511E4">
              <w:rPr>
                <w:rFonts w:ascii="Times New Roman" w:hAnsi="Times New Roman"/>
                <w:lang w:val="uk-UA"/>
              </w:rPr>
              <w:t xml:space="preserve"> Зведеному бюджету – 60,2 млрд. грн). Прогнозні надходження з цього податку</w:t>
            </w:r>
            <w:r w:rsidR="007F50C3" w:rsidRPr="00A511E4">
              <w:rPr>
                <w:rFonts w:ascii="Times New Roman" w:hAnsi="Times New Roman"/>
                <w:lang w:val="uk-UA"/>
              </w:rPr>
              <w:t xml:space="preserve"> </w:t>
            </w:r>
            <w:r w:rsidR="00207B8F" w:rsidRPr="00A511E4">
              <w:rPr>
                <w:rFonts w:ascii="Times New Roman" w:hAnsi="Times New Roman"/>
                <w:lang w:val="uk-UA"/>
              </w:rPr>
              <w:t xml:space="preserve"> у 2018 році – 32,5 млрд. грн, що на 47,6 млрд. грн менше прогнозної суми податку на прибуток підприємств.</w:t>
            </w:r>
          </w:p>
          <w:p w:rsidR="00207B8F" w:rsidRPr="00A511E4" w:rsidRDefault="00207B8F" w:rsidP="00207B8F">
            <w:pPr>
              <w:pStyle w:val="ac"/>
              <w:spacing w:after="0"/>
              <w:jc w:val="both"/>
              <w:rPr>
                <w:rFonts w:ascii="Times New Roman" w:hAnsi="Times New Roman"/>
                <w:lang w:val="uk-UA"/>
              </w:rPr>
            </w:pPr>
            <w:r w:rsidRPr="00A511E4">
              <w:rPr>
                <w:rFonts w:ascii="Times New Roman" w:hAnsi="Times New Roman"/>
                <w:lang w:val="uk-UA"/>
              </w:rPr>
              <w:t xml:space="preserve">       </w:t>
            </w:r>
            <w:r w:rsidR="00BA5210" w:rsidRPr="00A511E4">
              <w:rPr>
                <w:rFonts w:ascii="Times New Roman" w:hAnsi="Times New Roman"/>
                <w:lang w:val="uk-UA"/>
              </w:rPr>
              <w:t>Зазначене</w:t>
            </w:r>
            <w:r w:rsidRPr="00A511E4">
              <w:rPr>
                <w:rFonts w:ascii="Times New Roman" w:hAnsi="Times New Roman"/>
                <w:lang w:val="uk-UA"/>
              </w:rPr>
              <w:t xml:space="preserve"> спричинить пошук компенсаторів для покриття обсягів недонадходжень до бюджету, які забезпечувались надходженнями з податку на прибуток підприємств, щонайменше протягом 3-х років з огляду на існуючу в Естонії практику впровадження податку на приведений капітал, де податок на виведений капітал запроваджений з 2000</w:t>
            </w:r>
            <w:r w:rsidR="00A511E4">
              <w:rPr>
                <w:rFonts w:ascii="Times New Roman" w:hAnsi="Times New Roman"/>
                <w:lang w:val="uk-UA"/>
              </w:rPr>
              <w:t> </w:t>
            </w:r>
            <w:r w:rsidRPr="00A511E4">
              <w:rPr>
                <w:rFonts w:ascii="Times New Roman" w:hAnsi="Times New Roman"/>
                <w:lang w:val="uk-UA"/>
              </w:rPr>
              <w:t>року, надходження цього податку в перші два роки були вдвічі менші порівняно з надходженнями від податку на прибуток підприємств.</w:t>
            </w:r>
          </w:p>
          <w:p w:rsidR="00BA5210" w:rsidRPr="00A511E4" w:rsidRDefault="006C5267" w:rsidP="00BA5210">
            <w:pPr>
              <w:pStyle w:val="ac"/>
              <w:spacing w:after="0"/>
              <w:jc w:val="both"/>
              <w:rPr>
                <w:lang w:val="uk-UA"/>
              </w:rPr>
            </w:pPr>
            <w:r w:rsidRPr="00A511E4">
              <w:rPr>
                <w:rFonts w:ascii="Times New Roman" w:hAnsi="Times New Roman"/>
                <w:lang w:val="uk-UA"/>
              </w:rPr>
              <w:t xml:space="preserve">           За даними </w:t>
            </w:r>
            <w:proofErr w:type="spellStart"/>
            <w:r w:rsidRPr="00A511E4">
              <w:rPr>
                <w:rFonts w:ascii="Times New Roman" w:hAnsi="Times New Roman"/>
                <w:lang w:val="uk-UA"/>
              </w:rPr>
              <w:t>Мінекономрозвитку</w:t>
            </w:r>
            <w:proofErr w:type="spellEnd"/>
            <w:r w:rsidR="00BA5210" w:rsidRPr="00A511E4">
              <w:rPr>
                <w:rFonts w:ascii="Times New Roman" w:hAnsi="Times New Roman"/>
                <w:lang w:val="uk-UA"/>
              </w:rPr>
              <w:t xml:space="preserve"> </w:t>
            </w:r>
            <w:r w:rsidRPr="00A511E4">
              <w:rPr>
                <w:rFonts w:ascii="Times New Roman" w:hAnsi="Times New Roman"/>
                <w:lang w:val="uk-UA"/>
              </w:rPr>
              <w:t>(лист від 19.07.2017 № 3021-03/24743-03) , загальні втрати бюджету в перш</w:t>
            </w:r>
            <w:r w:rsidR="00A511E4">
              <w:rPr>
                <w:rFonts w:ascii="Times New Roman" w:hAnsi="Times New Roman"/>
                <w:lang w:val="uk-UA"/>
              </w:rPr>
              <w:t>и</w:t>
            </w:r>
            <w:r w:rsidRPr="00A511E4">
              <w:rPr>
                <w:rFonts w:ascii="Times New Roman" w:hAnsi="Times New Roman"/>
                <w:lang w:val="uk-UA"/>
              </w:rPr>
              <w:t xml:space="preserve">й рік дії зазначеної податкової моделі оцінюються </w:t>
            </w:r>
            <w:r w:rsidRPr="00A511E4">
              <w:rPr>
                <w:rFonts w:ascii="Times New Roman" w:hAnsi="Times New Roman"/>
                <w:lang w:val="uk-UA"/>
              </w:rPr>
              <w:lastRenderedPageBreak/>
              <w:t>на рівні 1,2 – 1, 3 % від прогнозного ВВП (в т. ч. за рахунок детінізації компенсовано втрати бюджету на рівні 0,2 – 0,3 % від ВВП) з подальшою траєкторією до зменшення бюджетних втрат через активізацію виробничої діяльності</w:t>
            </w:r>
            <w:r w:rsidR="002E36E9" w:rsidRPr="00A511E4">
              <w:rPr>
                <w:lang w:val="uk-UA"/>
              </w:rPr>
              <w:t xml:space="preserve">; </w:t>
            </w:r>
          </w:p>
          <w:p w:rsidR="00BA5210" w:rsidRPr="00A511E4" w:rsidRDefault="00DD5F19" w:rsidP="00BA5210">
            <w:pPr>
              <w:pStyle w:val="ac"/>
              <w:spacing w:after="0"/>
              <w:jc w:val="both"/>
              <w:rPr>
                <w:rFonts w:ascii="Times New Roman" w:hAnsi="Times New Roman"/>
                <w:lang w:val="uk-UA"/>
              </w:rPr>
            </w:pPr>
            <w:r w:rsidRPr="00A511E4">
              <w:rPr>
                <w:rFonts w:ascii="Times New Roman" w:hAnsi="Times New Roman"/>
                <w:lang w:val="uk-UA"/>
              </w:rPr>
              <w:t xml:space="preserve">2) </w:t>
            </w:r>
            <w:r w:rsidR="002E36E9" w:rsidRPr="00A511E4">
              <w:rPr>
                <w:rFonts w:ascii="Times New Roman" w:hAnsi="Times New Roman"/>
                <w:lang w:val="uk-UA"/>
              </w:rPr>
              <w:t>нівелювання</w:t>
            </w:r>
            <w:r w:rsidRPr="00A511E4">
              <w:rPr>
                <w:rFonts w:ascii="Times New Roman" w:hAnsi="Times New Roman"/>
                <w:lang w:val="uk-UA"/>
              </w:rPr>
              <w:t>м</w:t>
            </w:r>
            <w:r w:rsidR="002E36E9" w:rsidRPr="00A511E4">
              <w:rPr>
                <w:rFonts w:ascii="Times New Roman" w:hAnsi="Times New Roman"/>
                <w:lang w:val="uk-UA"/>
              </w:rPr>
              <w:t xml:space="preserve"> існуючих міжнародних договорів про уникнення подвійного оподаткування, укладен</w:t>
            </w:r>
            <w:r w:rsidR="0042352F" w:rsidRPr="00A511E4">
              <w:rPr>
                <w:rFonts w:ascii="Times New Roman" w:hAnsi="Times New Roman"/>
                <w:lang w:val="uk-UA"/>
              </w:rPr>
              <w:t>их</w:t>
            </w:r>
            <w:r w:rsidR="002E36E9" w:rsidRPr="00A511E4">
              <w:rPr>
                <w:rFonts w:ascii="Times New Roman" w:hAnsi="Times New Roman"/>
                <w:lang w:val="uk-UA"/>
              </w:rPr>
              <w:t xml:space="preserve"> Україною з іншими країнами</w:t>
            </w:r>
            <w:r w:rsidR="00207B8F" w:rsidRPr="00A511E4">
              <w:rPr>
                <w:rFonts w:ascii="Times New Roman" w:hAnsi="Times New Roman"/>
                <w:lang w:val="uk-UA"/>
              </w:rPr>
              <w:t xml:space="preserve"> (</w:t>
            </w:r>
            <w:r w:rsidR="00A511E4">
              <w:rPr>
                <w:rFonts w:ascii="Times New Roman" w:hAnsi="Times New Roman"/>
                <w:lang w:val="uk-UA"/>
              </w:rPr>
              <w:t>н</w:t>
            </w:r>
            <w:r w:rsidR="00207B8F" w:rsidRPr="00A511E4">
              <w:rPr>
                <w:rFonts w:ascii="Times New Roman" w:hAnsi="Times New Roman"/>
                <w:lang w:val="uk-UA"/>
              </w:rPr>
              <w:t>а сьогоднішній день Україна має 70 діючих міжнародних угод щодо уникнення подвійного оподаткування)</w:t>
            </w:r>
            <w:r w:rsidR="002E36E9" w:rsidRPr="00A511E4">
              <w:rPr>
                <w:rFonts w:ascii="Times New Roman" w:hAnsi="Times New Roman"/>
                <w:lang w:val="uk-UA"/>
              </w:rPr>
              <w:t>;</w:t>
            </w:r>
          </w:p>
          <w:p w:rsidR="00C720E3" w:rsidRPr="00A511E4" w:rsidRDefault="009E0718" w:rsidP="00BA5210">
            <w:pPr>
              <w:pStyle w:val="ac"/>
              <w:spacing w:after="0"/>
              <w:jc w:val="both"/>
              <w:rPr>
                <w:rFonts w:ascii="Times New Roman" w:hAnsi="Times New Roman"/>
                <w:lang w:val="uk-UA"/>
              </w:rPr>
            </w:pPr>
            <w:r w:rsidRPr="00A511E4">
              <w:rPr>
                <w:rFonts w:ascii="Times New Roman" w:hAnsi="Times New Roman"/>
                <w:lang w:val="uk-UA"/>
              </w:rPr>
              <w:t>4</w:t>
            </w:r>
            <w:r w:rsidR="00DD5F19" w:rsidRPr="00A511E4">
              <w:rPr>
                <w:rFonts w:ascii="Times New Roman" w:hAnsi="Times New Roman"/>
                <w:lang w:val="uk-UA"/>
              </w:rPr>
              <w:t xml:space="preserve">) </w:t>
            </w:r>
            <w:r w:rsidR="00C720E3" w:rsidRPr="00A511E4">
              <w:rPr>
                <w:rFonts w:ascii="Times New Roman" w:hAnsi="Times New Roman"/>
                <w:lang w:val="uk-UA"/>
              </w:rPr>
              <w:t>встановленням форм звітності з податку на виведений капітал;</w:t>
            </w:r>
          </w:p>
          <w:p w:rsidR="00C720E3" w:rsidRPr="00A511E4" w:rsidRDefault="009E0718" w:rsidP="0004000E">
            <w:pPr>
              <w:pStyle w:val="a3"/>
              <w:widowControl w:val="0"/>
              <w:spacing w:before="60" w:beforeAutospacing="0" w:after="0" w:afterAutospacing="0"/>
              <w:ind w:left="-22" w:right="-2"/>
              <w:jc w:val="both"/>
              <w:rPr>
                <w:sz w:val="20"/>
                <w:szCs w:val="20"/>
                <w:lang w:val="uk-UA"/>
              </w:rPr>
            </w:pPr>
            <w:r w:rsidRPr="00A511E4">
              <w:rPr>
                <w:sz w:val="20"/>
                <w:szCs w:val="20"/>
                <w:lang w:val="uk-UA"/>
              </w:rPr>
              <w:t>5</w:t>
            </w:r>
            <w:r w:rsidR="00DD5F19" w:rsidRPr="00A511E4">
              <w:rPr>
                <w:sz w:val="20"/>
                <w:szCs w:val="20"/>
                <w:lang w:val="uk-UA"/>
              </w:rPr>
              <w:t>)</w:t>
            </w:r>
            <w:r w:rsidR="00C720E3" w:rsidRPr="00A511E4">
              <w:rPr>
                <w:sz w:val="20"/>
                <w:szCs w:val="20"/>
                <w:lang w:val="uk-UA"/>
              </w:rPr>
              <w:t xml:space="preserve"> веденням обліку платників податку на виведений капітал;</w:t>
            </w:r>
          </w:p>
          <w:p w:rsidR="00C720E3" w:rsidRPr="00A511E4" w:rsidRDefault="009E0718" w:rsidP="0004000E">
            <w:pPr>
              <w:pStyle w:val="a3"/>
              <w:widowControl w:val="0"/>
              <w:spacing w:before="60" w:beforeAutospacing="0" w:after="0" w:afterAutospacing="0"/>
              <w:ind w:left="-22" w:right="-2"/>
              <w:jc w:val="both"/>
              <w:rPr>
                <w:sz w:val="20"/>
                <w:szCs w:val="20"/>
                <w:lang w:val="uk-UA"/>
              </w:rPr>
            </w:pPr>
            <w:r w:rsidRPr="00A511E4">
              <w:rPr>
                <w:sz w:val="20"/>
                <w:szCs w:val="20"/>
                <w:lang w:val="uk-UA"/>
              </w:rPr>
              <w:t>6</w:t>
            </w:r>
            <w:r w:rsidR="00DD5F19" w:rsidRPr="00A511E4">
              <w:rPr>
                <w:sz w:val="20"/>
                <w:szCs w:val="20"/>
                <w:lang w:val="uk-UA"/>
              </w:rPr>
              <w:t>)</w:t>
            </w:r>
            <w:r w:rsidR="00C720E3" w:rsidRPr="00A511E4">
              <w:rPr>
                <w:sz w:val="20"/>
                <w:szCs w:val="20"/>
                <w:lang w:val="uk-UA"/>
              </w:rPr>
              <w:t xml:space="preserve"> адмініструванням податку на виведений капітал;</w:t>
            </w:r>
          </w:p>
          <w:p w:rsidR="00C720E3" w:rsidRPr="00A511E4" w:rsidRDefault="009E0718" w:rsidP="0004000E">
            <w:pPr>
              <w:pStyle w:val="af"/>
              <w:numPr>
                <w:ilvl w:val="0"/>
                <w:numId w:val="30"/>
              </w:numPr>
              <w:ind w:left="-22" w:right="-2"/>
              <w:jc w:val="both"/>
              <w:rPr>
                <w:sz w:val="20"/>
                <w:szCs w:val="20"/>
              </w:rPr>
            </w:pPr>
            <w:r w:rsidRPr="00A511E4">
              <w:rPr>
                <w:rFonts w:ascii="Times New Roman" w:eastAsia="Times New Roman" w:hAnsi="Times New Roman" w:cs="Times New Roman"/>
                <w:sz w:val="20"/>
                <w:szCs w:val="20"/>
                <w:lang w:eastAsia="ru-RU"/>
              </w:rPr>
              <w:t>7</w:t>
            </w:r>
            <w:r w:rsidR="00DD5F19" w:rsidRPr="00A511E4">
              <w:rPr>
                <w:rFonts w:ascii="Times New Roman" w:eastAsia="Times New Roman" w:hAnsi="Times New Roman" w:cs="Times New Roman"/>
                <w:sz w:val="20"/>
                <w:szCs w:val="20"/>
                <w:lang w:eastAsia="ru-RU"/>
              </w:rPr>
              <w:t>)</w:t>
            </w:r>
            <w:r w:rsidR="00C720E3" w:rsidRPr="00A511E4">
              <w:rPr>
                <w:rFonts w:ascii="Times New Roman" w:eastAsia="Times New Roman" w:hAnsi="Times New Roman" w:cs="Times New Roman"/>
                <w:sz w:val="20"/>
                <w:szCs w:val="20"/>
                <w:lang w:eastAsia="ru-RU"/>
              </w:rPr>
              <w:t xml:space="preserve"> </w:t>
            </w:r>
            <w:r w:rsidR="006E03D0" w:rsidRPr="00A511E4">
              <w:rPr>
                <w:rFonts w:ascii="Times New Roman" w:eastAsia="Times New Roman" w:hAnsi="Times New Roman" w:cs="Times New Roman"/>
                <w:sz w:val="20"/>
                <w:szCs w:val="20"/>
                <w:lang w:eastAsia="ru-RU"/>
              </w:rPr>
              <w:t>встановлення</w:t>
            </w:r>
            <w:r w:rsidR="00716A64" w:rsidRPr="00A511E4">
              <w:rPr>
                <w:rFonts w:ascii="Times New Roman" w:eastAsia="Times New Roman" w:hAnsi="Times New Roman" w:cs="Times New Roman"/>
                <w:sz w:val="20"/>
                <w:szCs w:val="20"/>
                <w:lang w:eastAsia="ru-RU"/>
              </w:rPr>
              <w:t>м</w:t>
            </w:r>
            <w:r w:rsidR="006E03D0" w:rsidRPr="00A511E4">
              <w:rPr>
                <w:rFonts w:ascii="Times New Roman" w:eastAsia="Times New Roman" w:hAnsi="Times New Roman" w:cs="Times New Roman"/>
                <w:sz w:val="20"/>
                <w:szCs w:val="20"/>
                <w:lang w:eastAsia="ru-RU"/>
              </w:rPr>
              <w:t xml:space="preserve"> законодавчого механізму та визначення</w:t>
            </w:r>
            <w:r w:rsidR="00716A64" w:rsidRPr="00A511E4">
              <w:rPr>
                <w:rFonts w:ascii="Times New Roman" w:eastAsia="Times New Roman" w:hAnsi="Times New Roman" w:cs="Times New Roman"/>
                <w:sz w:val="20"/>
                <w:szCs w:val="20"/>
                <w:lang w:eastAsia="ru-RU"/>
              </w:rPr>
              <w:t>м</w:t>
            </w:r>
            <w:r w:rsidR="006E03D0" w:rsidRPr="00A511E4">
              <w:rPr>
                <w:rFonts w:ascii="Times New Roman" w:eastAsia="Times New Roman" w:hAnsi="Times New Roman" w:cs="Times New Roman"/>
                <w:sz w:val="20"/>
                <w:szCs w:val="20"/>
                <w:lang w:eastAsia="ru-RU"/>
              </w:rPr>
              <w:t xml:space="preserve"> органу для здійснення моніторингу та передачі до органів ДФС інформації щодо здійснення операцій </w:t>
            </w:r>
            <w:r w:rsidR="00716A64" w:rsidRPr="00A511E4">
              <w:rPr>
                <w:rFonts w:ascii="Times New Roman" w:eastAsia="Times New Roman" w:hAnsi="Times New Roman" w:cs="Times New Roman"/>
                <w:sz w:val="20"/>
                <w:szCs w:val="20"/>
                <w:lang w:eastAsia="ru-RU"/>
              </w:rPr>
              <w:t>з</w:t>
            </w:r>
            <w:r w:rsidR="006E03D0" w:rsidRPr="00A511E4">
              <w:rPr>
                <w:rFonts w:ascii="Times New Roman" w:eastAsia="Times New Roman" w:hAnsi="Times New Roman" w:cs="Times New Roman"/>
                <w:sz w:val="20"/>
                <w:szCs w:val="20"/>
                <w:lang w:eastAsia="ru-RU"/>
              </w:rPr>
              <w:t xml:space="preserve"> виводу капіталу, які можуть мати ознаки виведення капіталу з метою ухилення від оподаткування.</w:t>
            </w:r>
          </w:p>
          <w:p w:rsidR="008B5F81" w:rsidRPr="00A511E4" w:rsidRDefault="008B5F81" w:rsidP="0004000E">
            <w:pPr>
              <w:pStyle w:val="af"/>
              <w:numPr>
                <w:ilvl w:val="0"/>
                <w:numId w:val="30"/>
              </w:numPr>
              <w:ind w:left="-22" w:right="-2"/>
              <w:jc w:val="both"/>
              <w:rPr>
                <w:sz w:val="20"/>
                <w:szCs w:val="20"/>
              </w:rPr>
            </w:pPr>
          </w:p>
        </w:tc>
      </w:tr>
      <w:tr w:rsidR="001212D7" w:rsidRPr="001212D7" w:rsidTr="0004000E">
        <w:tc>
          <w:tcPr>
            <w:tcW w:w="1728" w:type="dxa"/>
          </w:tcPr>
          <w:p w:rsidR="00C720E3" w:rsidRPr="001212D7" w:rsidRDefault="00C720E3" w:rsidP="0004000E">
            <w:pPr>
              <w:ind w:right="-2"/>
              <w:jc w:val="both"/>
              <w:rPr>
                <w:sz w:val="20"/>
                <w:szCs w:val="20"/>
                <w:lang w:val="uk-UA"/>
              </w:rPr>
            </w:pPr>
          </w:p>
          <w:p w:rsidR="00C720E3" w:rsidRPr="001212D7" w:rsidRDefault="00C720E3" w:rsidP="0004000E">
            <w:pPr>
              <w:ind w:right="-2"/>
              <w:rPr>
                <w:sz w:val="20"/>
                <w:szCs w:val="20"/>
                <w:lang w:val="uk-UA"/>
              </w:rPr>
            </w:pPr>
            <w:r w:rsidRPr="001212D7">
              <w:rPr>
                <w:sz w:val="20"/>
                <w:szCs w:val="20"/>
                <w:lang w:val="uk-UA"/>
              </w:rPr>
              <w:t>Альтернатива 2</w:t>
            </w:r>
          </w:p>
        </w:tc>
        <w:tc>
          <w:tcPr>
            <w:tcW w:w="4140" w:type="dxa"/>
          </w:tcPr>
          <w:p w:rsidR="00F318FA" w:rsidRPr="001212D7" w:rsidRDefault="00885647" w:rsidP="0004000E">
            <w:pPr>
              <w:ind w:left="7" w:right="-2"/>
              <w:jc w:val="both"/>
              <w:rPr>
                <w:sz w:val="20"/>
                <w:szCs w:val="20"/>
                <w:lang w:val="uk-UA"/>
              </w:rPr>
            </w:pPr>
            <w:r w:rsidRPr="001212D7">
              <w:rPr>
                <w:sz w:val="20"/>
                <w:szCs w:val="20"/>
                <w:lang w:val="uk-UA"/>
              </w:rPr>
              <w:t xml:space="preserve">1) </w:t>
            </w:r>
            <w:r w:rsidR="003D2D00" w:rsidRPr="001212D7">
              <w:rPr>
                <w:sz w:val="20"/>
                <w:szCs w:val="20"/>
                <w:lang w:val="uk-UA"/>
              </w:rPr>
              <w:t>з</w:t>
            </w:r>
            <w:r w:rsidR="00F318FA" w:rsidRPr="001212D7">
              <w:rPr>
                <w:sz w:val="20"/>
                <w:szCs w:val="20"/>
                <w:lang w:val="uk-UA"/>
              </w:rPr>
              <w:t>алишення</w:t>
            </w:r>
            <w:r w:rsidR="003D2D00" w:rsidRPr="001212D7">
              <w:rPr>
                <w:sz w:val="20"/>
                <w:szCs w:val="20"/>
                <w:lang w:val="uk-UA"/>
              </w:rPr>
              <w:t xml:space="preserve"> без змін </w:t>
            </w:r>
            <w:r w:rsidR="00F318FA" w:rsidRPr="001212D7">
              <w:rPr>
                <w:sz w:val="20"/>
                <w:szCs w:val="20"/>
                <w:lang w:val="uk-UA"/>
              </w:rPr>
              <w:t xml:space="preserve"> існуюч</w:t>
            </w:r>
            <w:r w:rsidR="003D2D00" w:rsidRPr="001212D7">
              <w:rPr>
                <w:sz w:val="20"/>
                <w:szCs w:val="20"/>
                <w:lang w:val="uk-UA"/>
              </w:rPr>
              <w:t>ої</w:t>
            </w:r>
            <w:r w:rsidR="00F318FA" w:rsidRPr="001212D7">
              <w:rPr>
                <w:sz w:val="20"/>
                <w:szCs w:val="20"/>
                <w:lang w:val="uk-UA"/>
              </w:rPr>
              <w:t xml:space="preserve"> </w:t>
            </w:r>
            <w:r w:rsidR="007E3D2A" w:rsidRPr="001212D7">
              <w:rPr>
                <w:sz w:val="20"/>
                <w:szCs w:val="20"/>
                <w:lang w:val="uk-UA"/>
              </w:rPr>
              <w:t xml:space="preserve">моделі оподаткування </w:t>
            </w:r>
            <w:r w:rsidR="00F318FA" w:rsidRPr="001212D7">
              <w:rPr>
                <w:sz w:val="20"/>
                <w:szCs w:val="20"/>
                <w:lang w:val="uk-UA"/>
              </w:rPr>
              <w:t>податком на прибуток підприємств;</w:t>
            </w:r>
          </w:p>
          <w:p w:rsidR="003F4B9E" w:rsidRPr="001212D7" w:rsidRDefault="003F4B9E" w:rsidP="0004000E">
            <w:pPr>
              <w:ind w:right="-2"/>
              <w:jc w:val="both"/>
              <w:rPr>
                <w:sz w:val="20"/>
                <w:szCs w:val="20"/>
                <w:lang w:val="uk-UA"/>
              </w:rPr>
            </w:pPr>
            <w:r w:rsidRPr="001212D7">
              <w:rPr>
                <w:sz w:val="20"/>
                <w:szCs w:val="20"/>
                <w:lang w:val="uk-UA"/>
              </w:rPr>
              <w:t>2) уникнення втрат бюджету при запровадженні податку на виведений капітал;</w:t>
            </w:r>
          </w:p>
          <w:p w:rsidR="00AD1F7A" w:rsidRPr="001212D7" w:rsidRDefault="003F4B9E" w:rsidP="0004000E">
            <w:pPr>
              <w:ind w:left="7" w:right="-2"/>
              <w:jc w:val="both"/>
              <w:rPr>
                <w:sz w:val="20"/>
                <w:szCs w:val="20"/>
                <w:lang w:val="uk-UA"/>
              </w:rPr>
            </w:pPr>
            <w:r w:rsidRPr="001212D7">
              <w:rPr>
                <w:sz w:val="20"/>
                <w:szCs w:val="20"/>
                <w:lang w:val="uk-UA"/>
              </w:rPr>
              <w:t>3</w:t>
            </w:r>
            <w:r w:rsidR="00445C5A" w:rsidRPr="001212D7">
              <w:rPr>
                <w:sz w:val="20"/>
                <w:szCs w:val="20"/>
                <w:lang w:val="uk-UA"/>
              </w:rPr>
              <w:t xml:space="preserve">) </w:t>
            </w:r>
            <w:r w:rsidR="003D2D00" w:rsidRPr="001212D7">
              <w:rPr>
                <w:sz w:val="20"/>
                <w:szCs w:val="20"/>
                <w:lang w:val="uk-UA"/>
              </w:rPr>
              <w:t>забезпечення простоти і прозорості формування</w:t>
            </w:r>
            <w:r w:rsidR="00AD1F7A" w:rsidRPr="001212D7">
              <w:rPr>
                <w:sz w:val="20"/>
                <w:szCs w:val="20"/>
                <w:lang w:val="uk-UA"/>
              </w:rPr>
              <w:t xml:space="preserve"> об’єкт</w:t>
            </w:r>
            <w:r w:rsidR="00562061" w:rsidRPr="001212D7">
              <w:rPr>
                <w:sz w:val="20"/>
                <w:szCs w:val="20"/>
                <w:lang w:val="uk-UA"/>
              </w:rPr>
              <w:t>а</w:t>
            </w:r>
            <w:r w:rsidR="00AD1F7A" w:rsidRPr="001212D7">
              <w:rPr>
                <w:sz w:val="20"/>
                <w:szCs w:val="20"/>
                <w:lang w:val="uk-UA"/>
              </w:rPr>
              <w:t xml:space="preserve"> оподаткування </w:t>
            </w:r>
            <w:r w:rsidR="003D2D00" w:rsidRPr="001212D7">
              <w:rPr>
                <w:sz w:val="20"/>
                <w:szCs w:val="20"/>
                <w:lang w:val="uk-UA"/>
              </w:rPr>
              <w:t xml:space="preserve">з податку на прибуток підприємств на підставі </w:t>
            </w:r>
            <w:r w:rsidR="0038709D" w:rsidRPr="001212D7">
              <w:rPr>
                <w:sz w:val="20"/>
                <w:szCs w:val="20"/>
                <w:lang w:val="uk-UA"/>
              </w:rPr>
              <w:t>дани</w:t>
            </w:r>
            <w:r w:rsidR="003D2D00" w:rsidRPr="001212D7">
              <w:rPr>
                <w:sz w:val="20"/>
                <w:szCs w:val="20"/>
                <w:lang w:val="uk-UA"/>
              </w:rPr>
              <w:t>х</w:t>
            </w:r>
            <w:r w:rsidR="0038709D" w:rsidRPr="001212D7">
              <w:rPr>
                <w:sz w:val="20"/>
                <w:szCs w:val="20"/>
                <w:lang w:val="uk-UA"/>
              </w:rPr>
              <w:t xml:space="preserve"> </w:t>
            </w:r>
            <w:r w:rsidR="00AD1F7A" w:rsidRPr="001212D7">
              <w:rPr>
                <w:sz w:val="20"/>
                <w:szCs w:val="20"/>
                <w:lang w:val="uk-UA"/>
              </w:rPr>
              <w:t xml:space="preserve"> бухгалтерського обліку</w:t>
            </w:r>
            <w:r w:rsidR="00D1127D" w:rsidRPr="001212D7">
              <w:rPr>
                <w:sz w:val="20"/>
                <w:szCs w:val="20"/>
                <w:lang w:val="uk-UA"/>
              </w:rPr>
              <w:t>;</w:t>
            </w:r>
          </w:p>
          <w:p w:rsidR="00C205E8" w:rsidRPr="001212D7" w:rsidRDefault="00D1127D" w:rsidP="0004000E">
            <w:pPr>
              <w:shd w:val="clear" w:color="auto" w:fill="FFFFFF"/>
              <w:autoSpaceDE w:val="0"/>
              <w:autoSpaceDN w:val="0"/>
              <w:adjustRightInd w:val="0"/>
              <w:ind w:right="-2"/>
              <w:jc w:val="both"/>
              <w:rPr>
                <w:sz w:val="20"/>
                <w:szCs w:val="20"/>
                <w:lang w:val="uk-UA"/>
              </w:rPr>
            </w:pPr>
            <w:r w:rsidRPr="001212D7">
              <w:rPr>
                <w:sz w:val="20"/>
                <w:szCs w:val="20"/>
                <w:lang w:val="uk-UA"/>
              </w:rPr>
              <w:t>4</w:t>
            </w:r>
            <w:r w:rsidR="00C205E8" w:rsidRPr="001212D7">
              <w:rPr>
                <w:sz w:val="20"/>
                <w:szCs w:val="20"/>
                <w:lang w:val="uk-UA"/>
              </w:rPr>
              <w:t xml:space="preserve">) </w:t>
            </w:r>
            <w:r w:rsidR="003D2D00" w:rsidRPr="001212D7">
              <w:rPr>
                <w:sz w:val="20"/>
                <w:szCs w:val="20"/>
                <w:lang w:val="uk-UA"/>
              </w:rPr>
              <w:t>синхронізація</w:t>
            </w:r>
            <w:r w:rsidR="00C205E8" w:rsidRPr="001212D7">
              <w:rPr>
                <w:sz w:val="20"/>
                <w:szCs w:val="20"/>
                <w:lang w:val="uk-UA"/>
              </w:rPr>
              <w:t xml:space="preserve"> </w:t>
            </w:r>
            <w:r w:rsidR="003D2D00" w:rsidRPr="001212D7">
              <w:rPr>
                <w:sz w:val="20"/>
                <w:szCs w:val="20"/>
                <w:lang w:val="uk-UA"/>
              </w:rPr>
              <w:t>процесів складання податкової і бухгалтерської звітності, враховуючи максимальне на</w:t>
            </w:r>
            <w:r w:rsidR="00C205E8" w:rsidRPr="001212D7">
              <w:rPr>
                <w:sz w:val="20"/>
                <w:szCs w:val="20"/>
                <w:lang w:val="uk-UA"/>
              </w:rPr>
              <w:t xml:space="preserve">ближення </w:t>
            </w:r>
            <w:r w:rsidR="003D2D00" w:rsidRPr="001212D7">
              <w:rPr>
                <w:sz w:val="20"/>
                <w:szCs w:val="20"/>
                <w:lang w:val="uk-UA"/>
              </w:rPr>
              <w:t xml:space="preserve">податкових розрахунків до </w:t>
            </w:r>
            <w:r w:rsidR="00C205E8" w:rsidRPr="001212D7">
              <w:rPr>
                <w:sz w:val="20"/>
                <w:szCs w:val="20"/>
                <w:lang w:val="uk-UA"/>
              </w:rPr>
              <w:t>бухгалтерського обліку;</w:t>
            </w:r>
          </w:p>
          <w:p w:rsidR="00C205E8" w:rsidRPr="001212D7" w:rsidRDefault="00C205E8" w:rsidP="0004000E">
            <w:pPr>
              <w:autoSpaceDE w:val="0"/>
              <w:autoSpaceDN w:val="0"/>
              <w:adjustRightInd w:val="0"/>
              <w:ind w:right="-2"/>
              <w:jc w:val="both"/>
              <w:rPr>
                <w:sz w:val="20"/>
                <w:szCs w:val="20"/>
                <w:lang w:val="uk-UA"/>
              </w:rPr>
            </w:pPr>
            <w:r w:rsidRPr="001212D7">
              <w:rPr>
                <w:sz w:val="20"/>
                <w:szCs w:val="20"/>
                <w:lang w:val="uk-UA"/>
              </w:rPr>
              <w:t xml:space="preserve">5) відсутність необхідності ведення окремого податкового обліку для </w:t>
            </w:r>
            <w:r w:rsidR="008C1EAD" w:rsidRPr="001212D7">
              <w:rPr>
                <w:sz w:val="20"/>
                <w:szCs w:val="20"/>
                <w:lang w:val="uk-UA"/>
              </w:rPr>
              <w:t xml:space="preserve">більшості </w:t>
            </w:r>
            <w:r w:rsidRPr="001212D7">
              <w:rPr>
                <w:sz w:val="20"/>
                <w:szCs w:val="20"/>
                <w:lang w:val="uk-UA"/>
              </w:rPr>
              <w:t>компаній</w:t>
            </w:r>
            <w:r w:rsidR="008C1EAD" w:rsidRPr="001212D7">
              <w:rPr>
                <w:sz w:val="20"/>
                <w:szCs w:val="20"/>
                <w:lang w:val="uk-UA"/>
              </w:rPr>
              <w:t xml:space="preserve">, оскільки </w:t>
            </w:r>
            <w:r w:rsidRPr="001212D7">
              <w:rPr>
                <w:sz w:val="20"/>
                <w:szCs w:val="20"/>
                <w:lang w:val="uk-UA"/>
              </w:rPr>
              <w:t xml:space="preserve">ведення податкових різниць </w:t>
            </w:r>
            <w:r w:rsidR="008C1EAD" w:rsidRPr="001212D7">
              <w:rPr>
                <w:sz w:val="20"/>
                <w:szCs w:val="20"/>
                <w:lang w:val="uk-UA"/>
              </w:rPr>
              <w:t xml:space="preserve">здійснюється </w:t>
            </w:r>
            <w:r w:rsidRPr="001212D7">
              <w:rPr>
                <w:sz w:val="20"/>
                <w:szCs w:val="20"/>
                <w:lang w:val="uk-UA"/>
              </w:rPr>
              <w:t>виключно для великого бізнесу</w:t>
            </w:r>
            <w:r w:rsidR="008C1EAD" w:rsidRPr="001212D7">
              <w:rPr>
                <w:sz w:val="20"/>
                <w:szCs w:val="20"/>
                <w:lang w:val="uk-UA"/>
              </w:rPr>
              <w:t xml:space="preserve"> (5</w:t>
            </w:r>
            <w:r w:rsidR="00885647" w:rsidRPr="001212D7">
              <w:rPr>
                <w:sz w:val="20"/>
                <w:szCs w:val="20"/>
                <w:lang w:val="uk-UA"/>
              </w:rPr>
              <w:t xml:space="preserve"> </w:t>
            </w:r>
            <w:proofErr w:type="spellStart"/>
            <w:r w:rsidR="00885647" w:rsidRPr="001212D7">
              <w:rPr>
                <w:sz w:val="20"/>
                <w:szCs w:val="20"/>
                <w:lang w:val="uk-UA"/>
              </w:rPr>
              <w:t>відс</w:t>
            </w:r>
            <w:proofErr w:type="spellEnd"/>
            <w:r w:rsidR="00885647" w:rsidRPr="001212D7">
              <w:rPr>
                <w:sz w:val="20"/>
                <w:szCs w:val="20"/>
                <w:lang w:val="uk-UA"/>
              </w:rPr>
              <w:t xml:space="preserve">. </w:t>
            </w:r>
            <w:r w:rsidR="008C1EAD" w:rsidRPr="001212D7">
              <w:rPr>
                <w:sz w:val="20"/>
                <w:szCs w:val="20"/>
                <w:lang w:val="uk-UA"/>
              </w:rPr>
              <w:t>всіх підприємств в Україні</w:t>
            </w:r>
            <w:r w:rsidR="00BB386E" w:rsidRPr="001212D7">
              <w:rPr>
                <w:sz w:val="20"/>
                <w:szCs w:val="20"/>
                <w:lang w:val="uk-UA"/>
              </w:rPr>
              <w:t>)</w:t>
            </w:r>
            <w:r w:rsidRPr="001212D7">
              <w:rPr>
                <w:sz w:val="20"/>
                <w:szCs w:val="20"/>
                <w:lang w:val="uk-UA"/>
              </w:rPr>
              <w:t xml:space="preserve"> з річним оборотом понад 20 млн. гр</w:t>
            </w:r>
            <w:r w:rsidR="00885647" w:rsidRPr="001212D7">
              <w:rPr>
                <w:sz w:val="20"/>
                <w:szCs w:val="20"/>
                <w:lang w:val="uk-UA"/>
              </w:rPr>
              <w:t>ивень</w:t>
            </w:r>
            <w:r w:rsidRPr="001212D7">
              <w:rPr>
                <w:sz w:val="20"/>
                <w:szCs w:val="20"/>
                <w:lang w:val="uk-UA"/>
              </w:rPr>
              <w:t>;</w:t>
            </w:r>
          </w:p>
          <w:p w:rsidR="00C205E8" w:rsidRPr="001212D7" w:rsidRDefault="00702E35" w:rsidP="0004000E">
            <w:pPr>
              <w:autoSpaceDE w:val="0"/>
              <w:autoSpaceDN w:val="0"/>
              <w:adjustRightInd w:val="0"/>
              <w:ind w:right="-2"/>
              <w:jc w:val="both"/>
              <w:rPr>
                <w:sz w:val="20"/>
                <w:szCs w:val="20"/>
              </w:rPr>
            </w:pPr>
            <w:r w:rsidRPr="001212D7">
              <w:rPr>
                <w:sz w:val="20"/>
                <w:szCs w:val="20"/>
                <w:lang w:val="uk-UA"/>
              </w:rPr>
              <w:t>6</w:t>
            </w:r>
            <w:r w:rsidR="00C205E8" w:rsidRPr="001212D7">
              <w:rPr>
                <w:sz w:val="20"/>
                <w:szCs w:val="20"/>
                <w:lang w:val="uk-UA"/>
              </w:rPr>
              <w:t xml:space="preserve">) наявність аналогу податку на виведений капітал в структурі існуючого податку на прибуток підприємств – </w:t>
            </w:r>
            <w:r w:rsidR="003D2D00" w:rsidRPr="001212D7">
              <w:rPr>
                <w:sz w:val="20"/>
                <w:szCs w:val="20"/>
                <w:lang w:val="uk-UA"/>
              </w:rPr>
              <w:t xml:space="preserve">сплата </w:t>
            </w:r>
            <w:r w:rsidR="00C205E8" w:rsidRPr="001212D7">
              <w:rPr>
                <w:sz w:val="20"/>
                <w:szCs w:val="20"/>
                <w:lang w:val="uk-UA"/>
              </w:rPr>
              <w:t xml:space="preserve">авансових внесків при виплаті дивідендів, </w:t>
            </w:r>
            <w:r w:rsidR="003D2D00" w:rsidRPr="001212D7">
              <w:rPr>
                <w:sz w:val="20"/>
                <w:szCs w:val="20"/>
                <w:lang w:val="uk-UA"/>
              </w:rPr>
              <w:t xml:space="preserve">оподаткування виплат у вигляді </w:t>
            </w:r>
            <w:r w:rsidR="00C205E8" w:rsidRPr="001212D7">
              <w:rPr>
                <w:sz w:val="20"/>
                <w:szCs w:val="20"/>
                <w:lang w:val="uk-UA"/>
              </w:rPr>
              <w:t>доход</w:t>
            </w:r>
            <w:r w:rsidR="003D2D00" w:rsidRPr="001212D7">
              <w:rPr>
                <w:sz w:val="20"/>
                <w:szCs w:val="20"/>
                <w:lang w:val="uk-UA"/>
              </w:rPr>
              <w:t>ів</w:t>
            </w:r>
            <w:r w:rsidR="00C205E8" w:rsidRPr="001212D7">
              <w:rPr>
                <w:sz w:val="20"/>
                <w:szCs w:val="20"/>
                <w:lang w:val="uk-UA"/>
              </w:rPr>
              <w:t xml:space="preserve"> нерезидент</w:t>
            </w:r>
            <w:r w:rsidR="003D2D00" w:rsidRPr="001212D7">
              <w:rPr>
                <w:sz w:val="20"/>
                <w:szCs w:val="20"/>
                <w:lang w:val="uk-UA"/>
              </w:rPr>
              <w:t>ам</w:t>
            </w:r>
            <w:r w:rsidR="00C205E8" w:rsidRPr="001212D7">
              <w:rPr>
                <w:sz w:val="20"/>
                <w:szCs w:val="20"/>
                <w:lang w:val="uk-UA"/>
              </w:rPr>
              <w:t xml:space="preserve"> (репатріація).</w:t>
            </w:r>
          </w:p>
          <w:p w:rsidR="0004000E" w:rsidRPr="001212D7" w:rsidRDefault="0004000E" w:rsidP="0004000E">
            <w:pPr>
              <w:autoSpaceDE w:val="0"/>
              <w:autoSpaceDN w:val="0"/>
              <w:adjustRightInd w:val="0"/>
              <w:ind w:right="-2"/>
              <w:jc w:val="both"/>
              <w:rPr>
                <w:sz w:val="20"/>
                <w:szCs w:val="20"/>
              </w:rPr>
            </w:pPr>
          </w:p>
        </w:tc>
        <w:tc>
          <w:tcPr>
            <w:tcW w:w="3913" w:type="dxa"/>
          </w:tcPr>
          <w:p w:rsidR="00C720E3" w:rsidRPr="001212D7" w:rsidRDefault="00C720E3" w:rsidP="0004000E">
            <w:pPr>
              <w:widowControl w:val="0"/>
              <w:spacing w:before="60"/>
              <w:ind w:right="-2"/>
              <w:jc w:val="both"/>
              <w:rPr>
                <w:rFonts w:eastAsia="Calibri"/>
                <w:sz w:val="20"/>
                <w:szCs w:val="20"/>
                <w:lang w:val="uk-UA" w:eastAsia="en-US"/>
              </w:rPr>
            </w:pPr>
            <w:r w:rsidRPr="001212D7">
              <w:rPr>
                <w:sz w:val="20"/>
                <w:szCs w:val="20"/>
                <w:lang w:val="uk-UA"/>
              </w:rPr>
              <w:t>1</w:t>
            </w:r>
            <w:r w:rsidR="002163E4" w:rsidRPr="001212D7">
              <w:rPr>
                <w:sz w:val="20"/>
                <w:szCs w:val="20"/>
                <w:lang w:val="uk-UA"/>
              </w:rPr>
              <w:t>)</w:t>
            </w:r>
            <w:r w:rsidRPr="001212D7">
              <w:rPr>
                <w:sz w:val="20"/>
                <w:szCs w:val="20"/>
                <w:lang w:val="uk-UA"/>
              </w:rPr>
              <w:t xml:space="preserve"> </w:t>
            </w:r>
            <w:r w:rsidR="001A03E2" w:rsidRPr="001212D7">
              <w:rPr>
                <w:sz w:val="20"/>
                <w:szCs w:val="20"/>
                <w:lang w:val="uk-UA"/>
              </w:rPr>
              <w:t>н</w:t>
            </w:r>
            <w:r w:rsidRPr="001212D7">
              <w:rPr>
                <w:sz w:val="20"/>
                <w:szCs w:val="20"/>
                <w:lang w:val="uk-UA"/>
              </w:rPr>
              <w:t>евиконання вимог п</w:t>
            </w:r>
            <w:r w:rsidRPr="001212D7">
              <w:rPr>
                <w:rFonts w:eastAsia="Calibri"/>
                <w:sz w:val="20"/>
                <w:szCs w:val="20"/>
                <w:lang w:val="uk-UA" w:eastAsia="en-US"/>
              </w:rPr>
              <w:t xml:space="preserve">ункту 5 розділу </w:t>
            </w:r>
            <w:r w:rsidRPr="001212D7">
              <w:rPr>
                <w:rFonts w:eastAsia="Calibri"/>
                <w:sz w:val="20"/>
                <w:szCs w:val="20"/>
                <w:lang w:eastAsia="en-US"/>
              </w:rPr>
              <w:t>II</w:t>
            </w:r>
            <w:r w:rsidRPr="001212D7">
              <w:rPr>
                <w:rFonts w:eastAsia="Calibri"/>
                <w:sz w:val="20"/>
                <w:szCs w:val="20"/>
                <w:lang w:val="uk-UA" w:eastAsia="en-US"/>
              </w:rPr>
              <w:t xml:space="preserve"> «Прикінцеві та перехідні положення» Закону № 1797.</w:t>
            </w:r>
          </w:p>
          <w:p w:rsidR="00C720E3" w:rsidRPr="001212D7" w:rsidRDefault="00C720E3" w:rsidP="0004000E">
            <w:pPr>
              <w:widowControl w:val="0"/>
              <w:spacing w:before="60"/>
              <w:ind w:right="-2"/>
              <w:jc w:val="both"/>
              <w:rPr>
                <w:sz w:val="20"/>
                <w:szCs w:val="20"/>
                <w:lang w:val="uk-UA"/>
              </w:rPr>
            </w:pPr>
          </w:p>
        </w:tc>
      </w:tr>
    </w:tbl>
    <w:p w:rsidR="00887BB0" w:rsidRPr="00E643AE" w:rsidRDefault="001B1006" w:rsidP="00A83B11">
      <w:pPr>
        <w:pStyle w:val="a3"/>
        <w:widowControl w:val="0"/>
        <w:spacing w:before="360" w:beforeAutospacing="0"/>
        <w:ind w:left="60" w:right="-2" w:firstLine="648"/>
        <w:jc w:val="both"/>
        <w:rPr>
          <w:sz w:val="28"/>
          <w:szCs w:val="28"/>
        </w:rPr>
      </w:pPr>
      <w:r w:rsidRPr="001212D7">
        <w:rPr>
          <w:sz w:val="28"/>
          <w:szCs w:val="28"/>
          <w:lang w:val="uk-UA"/>
        </w:rPr>
        <w:t>3</w:t>
      </w:r>
      <w:r w:rsidR="003043FF" w:rsidRPr="001212D7">
        <w:rPr>
          <w:sz w:val="28"/>
          <w:szCs w:val="28"/>
          <w:lang w:val="uk-UA"/>
        </w:rPr>
        <w:t xml:space="preserve">. </w:t>
      </w:r>
      <w:r w:rsidR="00887BB0" w:rsidRPr="001212D7">
        <w:rPr>
          <w:sz w:val="28"/>
          <w:szCs w:val="28"/>
          <w:lang w:val="uk-UA"/>
        </w:rPr>
        <w:t>Оцінка впливу на сферу інтересів громадян: не поширюється на інтереси громадян.</w:t>
      </w:r>
    </w:p>
    <w:p w:rsidR="00015322" w:rsidRPr="001212D7" w:rsidRDefault="00887BB0" w:rsidP="00A83B11">
      <w:pPr>
        <w:pStyle w:val="a3"/>
        <w:widowControl w:val="0"/>
        <w:spacing w:before="360" w:beforeAutospacing="0"/>
        <w:ind w:left="60" w:right="-2" w:firstLine="648"/>
        <w:jc w:val="both"/>
        <w:rPr>
          <w:sz w:val="28"/>
          <w:szCs w:val="28"/>
          <w:lang w:val="uk-UA"/>
        </w:rPr>
      </w:pPr>
      <w:r w:rsidRPr="00E643AE">
        <w:rPr>
          <w:sz w:val="28"/>
          <w:szCs w:val="28"/>
        </w:rPr>
        <w:lastRenderedPageBreak/>
        <w:t>4</w:t>
      </w:r>
      <w:r w:rsidRPr="001212D7">
        <w:rPr>
          <w:sz w:val="28"/>
          <w:szCs w:val="28"/>
          <w:lang w:val="uk-UA"/>
        </w:rPr>
        <w:t xml:space="preserve">. </w:t>
      </w:r>
      <w:r w:rsidR="00015322" w:rsidRPr="001212D7">
        <w:rPr>
          <w:sz w:val="28"/>
          <w:szCs w:val="28"/>
          <w:lang w:val="uk-UA"/>
        </w:rPr>
        <w:t>Оцінка впливу на сферу інтересів суб’єктів господарювання</w:t>
      </w:r>
      <w:r w:rsidR="00A511E4">
        <w:rPr>
          <w:sz w:val="28"/>
          <w:szCs w:val="28"/>
          <w:lang w:val="uk-UA"/>
        </w:rPr>
        <w:t>.</w:t>
      </w:r>
    </w:p>
    <w:p w:rsidR="00816405" w:rsidRPr="001212D7" w:rsidRDefault="00816405" w:rsidP="0004000E">
      <w:pPr>
        <w:pStyle w:val="a3"/>
        <w:widowControl w:val="0"/>
        <w:tabs>
          <w:tab w:val="left" w:pos="720"/>
        </w:tabs>
        <w:spacing w:before="0" w:beforeAutospacing="0" w:after="0" w:afterAutospacing="0"/>
        <w:ind w:right="-2" w:firstLine="37"/>
        <w:jc w:val="both"/>
        <w:rPr>
          <w:sz w:val="28"/>
          <w:szCs w:val="28"/>
          <w:shd w:val="clear" w:color="auto" w:fill="FFFFFF"/>
          <w:lang w:val="uk-UA"/>
        </w:rPr>
      </w:pPr>
      <w:r w:rsidRPr="001212D7">
        <w:rPr>
          <w:sz w:val="28"/>
          <w:szCs w:val="28"/>
          <w:shd w:val="clear" w:color="auto" w:fill="FFFFFF"/>
          <w:lang w:val="uk-UA"/>
        </w:rPr>
        <w:tab/>
        <w:t>За підсумками 2016 року кількість платників</w:t>
      </w:r>
      <w:r w:rsidR="00A2179C" w:rsidRPr="001212D7">
        <w:rPr>
          <w:sz w:val="28"/>
          <w:szCs w:val="28"/>
          <w:shd w:val="clear" w:color="auto" w:fill="FFFFFF"/>
          <w:lang w:val="uk-UA"/>
        </w:rPr>
        <w:t>, які подали декларацію з податку на прибуток підприємств</w:t>
      </w:r>
      <w:r w:rsidR="00257555" w:rsidRPr="001212D7">
        <w:rPr>
          <w:sz w:val="28"/>
          <w:szCs w:val="28"/>
          <w:shd w:val="clear" w:color="auto" w:fill="FFFFFF"/>
          <w:lang w:val="uk-UA"/>
        </w:rPr>
        <w:t>, становить</w:t>
      </w:r>
      <w:r w:rsidRPr="001212D7">
        <w:rPr>
          <w:sz w:val="28"/>
          <w:szCs w:val="28"/>
          <w:shd w:val="clear" w:color="auto" w:fill="FFFFFF"/>
          <w:lang w:val="uk-UA"/>
        </w:rPr>
        <w:t xml:space="preserve"> 282 254.</w:t>
      </w:r>
    </w:p>
    <w:p w:rsidR="003043FF" w:rsidRPr="001212D7" w:rsidRDefault="006B27A3" w:rsidP="0004000E">
      <w:pPr>
        <w:pStyle w:val="a3"/>
        <w:widowControl w:val="0"/>
        <w:tabs>
          <w:tab w:val="left" w:pos="720"/>
        </w:tabs>
        <w:spacing w:before="0" w:beforeAutospacing="0" w:after="0" w:afterAutospacing="0"/>
        <w:ind w:right="-2" w:firstLine="37"/>
        <w:jc w:val="both"/>
        <w:rPr>
          <w:sz w:val="28"/>
          <w:szCs w:val="28"/>
          <w:lang w:val="uk-UA"/>
        </w:rPr>
      </w:pPr>
      <w:r w:rsidRPr="001212D7">
        <w:rPr>
          <w:sz w:val="28"/>
          <w:szCs w:val="28"/>
          <w:lang w:val="uk-UA"/>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1134"/>
        <w:gridCol w:w="1134"/>
        <w:gridCol w:w="1134"/>
        <w:gridCol w:w="2268"/>
      </w:tblGrid>
      <w:tr w:rsidR="001212D7" w:rsidRPr="001212D7" w:rsidTr="0004000E">
        <w:tc>
          <w:tcPr>
            <w:tcW w:w="3119" w:type="dxa"/>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Показник</w:t>
            </w:r>
          </w:p>
        </w:tc>
        <w:tc>
          <w:tcPr>
            <w:tcW w:w="992" w:type="dxa"/>
            <w:shd w:val="clear" w:color="auto" w:fill="auto"/>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Великі</w:t>
            </w:r>
          </w:p>
        </w:tc>
        <w:tc>
          <w:tcPr>
            <w:tcW w:w="1134" w:type="dxa"/>
            <w:shd w:val="clear" w:color="auto" w:fill="auto"/>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Середні</w:t>
            </w:r>
          </w:p>
        </w:tc>
        <w:tc>
          <w:tcPr>
            <w:tcW w:w="1134" w:type="dxa"/>
            <w:shd w:val="clear" w:color="auto" w:fill="auto"/>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Малі</w:t>
            </w:r>
          </w:p>
        </w:tc>
        <w:tc>
          <w:tcPr>
            <w:tcW w:w="1134" w:type="dxa"/>
            <w:shd w:val="clear" w:color="auto" w:fill="auto"/>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Мікро</w:t>
            </w:r>
          </w:p>
        </w:tc>
        <w:tc>
          <w:tcPr>
            <w:tcW w:w="2268" w:type="dxa"/>
            <w:shd w:val="clear" w:color="auto" w:fill="auto"/>
          </w:tcPr>
          <w:p w:rsidR="003043FF" w:rsidRPr="001212D7" w:rsidRDefault="003043FF" w:rsidP="0004000E">
            <w:pPr>
              <w:ind w:right="-2"/>
              <w:rPr>
                <w:lang w:val="uk-UA"/>
              </w:rPr>
            </w:pPr>
          </w:p>
          <w:p w:rsidR="003043FF" w:rsidRPr="001212D7" w:rsidRDefault="003043FF" w:rsidP="0004000E">
            <w:pPr>
              <w:ind w:right="-2"/>
              <w:jc w:val="center"/>
              <w:rPr>
                <w:lang w:val="uk-UA"/>
              </w:rPr>
            </w:pPr>
            <w:r w:rsidRPr="001212D7">
              <w:rPr>
                <w:sz w:val="22"/>
                <w:szCs w:val="22"/>
                <w:lang w:val="uk-UA"/>
              </w:rPr>
              <w:t>Разом</w:t>
            </w:r>
          </w:p>
        </w:tc>
      </w:tr>
      <w:tr w:rsidR="001212D7" w:rsidRPr="001212D7" w:rsidTr="0004000E">
        <w:tc>
          <w:tcPr>
            <w:tcW w:w="3119" w:type="dxa"/>
          </w:tcPr>
          <w:p w:rsidR="003043FF" w:rsidRPr="001212D7" w:rsidRDefault="003043FF" w:rsidP="0004000E">
            <w:pPr>
              <w:ind w:right="-2"/>
              <w:jc w:val="both"/>
              <w:rPr>
                <w:sz w:val="20"/>
                <w:szCs w:val="20"/>
                <w:lang w:val="uk-UA"/>
              </w:rPr>
            </w:pPr>
            <w:r w:rsidRPr="001212D7">
              <w:rPr>
                <w:sz w:val="20"/>
                <w:szCs w:val="20"/>
                <w:lang w:val="uk-UA"/>
              </w:rPr>
              <w:t>Кількість суб’єктів господарювання, одиниць</w:t>
            </w:r>
          </w:p>
        </w:tc>
        <w:tc>
          <w:tcPr>
            <w:tcW w:w="992" w:type="dxa"/>
            <w:shd w:val="clear" w:color="auto" w:fill="auto"/>
            <w:vAlign w:val="center"/>
          </w:tcPr>
          <w:p w:rsidR="003043FF" w:rsidRPr="001212D7" w:rsidRDefault="003043FF" w:rsidP="0004000E">
            <w:pPr>
              <w:ind w:right="-2"/>
              <w:jc w:val="center"/>
              <w:rPr>
                <w:sz w:val="20"/>
                <w:szCs w:val="20"/>
                <w:lang w:val="uk-UA"/>
              </w:rPr>
            </w:pPr>
            <w:r w:rsidRPr="001212D7">
              <w:rPr>
                <w:sz w:val="20"/>
                <w:szCs w:val="20"/>
                <w:lang w:val="uk-UA"/>
              </w:rPr>
              <w:t xml:space="preserve"> 598</w:t>
            </w:r>
          </w:p>
        </w:tc>
        <w:tc>
          <w:tcPr>
            <w:tcW w:w="1134" w:type="dxa"/>
            <w:shd w:val="clear" w:color="auto" w:fill="auto"/>
            <w:vAlign w:val="center"/>
          </w:tcPr>
          <w:p w:rsidR="003043FF" w:rsidRPr="001212D7" w:rsidRDefault="003043FF" w:rsidP="0004000E">
            <w:pPr>
              <w:ind w:right="-2"/>
              <w:jc w:val="center"/>
              <w:rPr>
                <w:sz w:val="20"/>
                <w:szCs w:val="20"/>
                <w:lang w:val="uk-UA"/>
              </w:rPr>
            </w:pPr>
            <w:r w:rsidRPr="001212D7">
              <w:rPr>
                <w:sz w:val="20"/>
                <w:szCs w:val="20"/>
                <w:lang w:val="uk-UA"/>
              </w:rPr>
              <w:t xml:space="preserve"> 2</w:t>
            </w:r>
            <w:r w:rsidR="007A7454" w:rsidRPr="001212D7">
              <w:rPr>
                <w:sz w:val="20"/>
                <w:szCs w:val="20"/>
                <w:lang w:val="uk-UA"/>
              </w:rPr>
              <w:t>657</w:t>
            </w:r>
          </w:p>
        </w:tc>
        <w:tc>
          <w:tcPr>
            <w:tcW w:w="1134" w:type="dxa"/>
            <w:shd w:val="clear" w:color="auto" w:fill="auto"/>
            <w:vAlign w:val="center"/>
          </w:tcPr>
          <w:p w:rsidR="003043FF" w:rsidRPr="001212D7" w:rsidRDefault="003043FF" w:rsidP="0004000E">
            <w:pPr>
              <w:ind w:right="-2"/>
              <w:jc w:val="center"/>
              <w:rPr>
                <w:sz w:val="20"/>
                <w:szCs w:val="20"/>
                <w:lang w:val="uk-UA"/>
              </w:rPr>
            </w:pPr>
            <w:r w:rsidRPr="001212D7">
              <w:rPr>
                <w:sz w:val="20"/>
                <w:szCs w:val="20"/>
                <w:lang w:val="uk-UA"/>
              </w:rPr>
              <w:t xml:space="preserve"> </w:t>
            </w:r>
            <w:r w:rsidR="007A7454" w:rsidRPr="001212D7">
              <w:rPr>
                <w:sz w:val="20"/>
                <w:szCs w:val="20"/>
                <w:lang w:val="uk-UA"/>
              </w:rPr>
              <w:t>7827</w:t>
            </w:r>
          </w:p>
        </w:tc>
        <w:tc>
          <w:tcPr>
            <w:tcW w:w="1134" w:type="dxa"/>
            <w:shd w:val="clear" w:color="auto" w:fill="auto"/>
            <w:vAlign w:val="center"/>
          </w:tcPr>
          <w:p w:rsidR="003043FF" w:rsidRPr="001212D7" w:rsidRDefault="003043FF" w:rsidP="0004000E">
            <w:pPr>
              <w:ind w:right="-2"/>
              <w:jc w:val="center"/>
              <w:rPr>
                <w:sz w:val="20"/>
                <w:szCs w:val="20"/>
                <w:lang w:val="uk-UA"/>
              </w:rPr>
            </w:pPr>
            <w:r w:rsidRPr="001212D7">
              <w:rPr>
                <w:sz w:val="20"/>
                <w:szCs w:val="20"/>
                <w:lang w:val="uk-UA"/>
              </w:rPr>
              <w:t xml:space="preserve"> 271172</w:t>
            </w:r>
          </w:p>
        </w:tc>
        <w:tc>
          <w:tcPr>
            <w:tcW w:w="2268" w:type="dxa"/>
            <w:shd w:val="clear" w:color="auto" w:fill="auto"/>
            <w:vAlign w:val="center"/>
          </w:tcPr>
          <w:p w:rsidR="003043FF" w:rsidRPr="001212D7" w:rsidRDefault="003043FF" w:rsidP="0004000E">
            <w:pPr>
              <w:ind w:right="-2"/>
              <w:jc w:val="center"/>
              <w:rPr>
                <w:sz w:val="20"/>
                <w:szCs w:val="20"/>
                <w:lang w:val="uk-UA"/>
              </w:rPr>
            </w:pPr>
            <w:r w:rsidRPr="001212D7">
              <w:rPr>
                <w:sz w:val="20"/>
                <w:szCs w:val="20"/>
                <w:shd w:val="clear" w:color="auto" w:fill="FFFFFF"/>
                <w:lang w:val="uk-UA"/>
              </w:rPr>
              <w:t xml:space="preserve">282 254 </w:t>
            </w:r>
            <w:r w:rsidRPr="001212D7">
              <w:rPr>
                <w:sz w:val="20"/>
                <w:szCs w:val="20"/>
                <w:lang w:val="uk-UA"/>
              </w:rPr>
              <w:t xml:space="preserve"> </w:t>
            </w:r>
          </w:p>
        </w:tc>
      </w:tr>
      <w:tr w:rsidR="0004000E" w:rsidRPr="001212D7" w:rsidTr="0004000E">
        <w:tc>
          <w:tcPr>
            <w:tcW w:w="3119" w:type="dxa"/>
          </w:tcPr>
          <w:p w:rsidR="003043FF" w:rsidRPr="001212D7" w:rsidRDefault="003043FF" w:rsidP="0004000E">
            <w:pPr>
              <w:ind w:right="-2"/>
              <w:rPr>
                <w:sz w:val="20"/>
                <w:szCs w:val="20"/>
                <w:lang w:val="uk-UA"/>
              </w:rPr>
            </w:pPr>
          </w:p>
          <w:p w:rsidR="003043FF" w:rsidRPr="001212D7" w:rsidRDefault="003043FF" w:rsidP="0004000E">
            <w:pPr>
              <w:ind w:right="-2"/>
              <w:jc w:val="both"/>
              <w:rPr>
                <w:sz w:val="20"/>
                <w:szCs w:val="20"/>
              </w:rPr>
            </w:pPr>
            <w:r w:rsidRPr="001212D7">
              <w:rPr>
                <w:sz w:val="20"/>
                <w:szCs w:val="20"/>
                <w:lang w:val="uk-UA"/>
              </w:rPr>
              <w:t>Питома вага групи у загальній кількості, відсотків</w:t>
            </w:r>
          </w:p>
          <w:p w:rsidR="003043FF" w:rsidRPr="001212D7" w:rsidRDefault="003043FF" w:rsidP="0004000E">
            <w:pPr>
              <w:ind w:right="-2"/>
              <w:jc w:val="both"/>
              <w:rPr>
                <w:sz w:val="20"/>
                <w:szCs w:val="20"/>
                <w:lang w:val="uk-UA"/>
              </w:rPr>
            </w:pPr>
          </w:p>
        </w:tc>
        <w:tc>
          <w:tcPr>
            <w:tcW w:w="992" w:type="dxa"/>
            <w:vAlign w:val="center"/>
          </w:tcPr>
          <w:p w:rsidR="003043FF" w:rsidRPr="001212D7" w:rsidRDefault="003043FF" w:rsidP="0004000E">
            <w:pPr>
              <w:ind w:right="-2"/>
              <w:jc w:val="center"/>
              <w:rPr>
                <w:sz w:val="20"/>
                <w:szCs w:val="20"/>
                <w:lang w:val="uk-UA"/>
              </w:rPr>
            </w:pPr>
            <w:r w:rsidRPr="001212D7">
              <w:rPr>
                <w:sz w:val="20"/>
                <w:szCs w:val="20"/>
                <w:lang w:val="uk-UA"/>
              </w:rPr>
              <w:t xml:space="preserve">0,2 </w:t>
            </w:r>
          </w:p>
        </w:tc>
        <w:tc>
          <w:tcPr>
            <w:tcW w:w="1134" w:type="dxa"/>
            <w:vAlign w:val="center"/>
          </w:tcPr>
          <w:p w:rsidR="003043FF" w:rsidRPr="001212D7" w:rsidRDefault="007A7454" w:rsidP="0004000E">
            <w:pPr>
              <w:ind w:right="-2"/>
              <w:jc w:val="center"/>
              <w:rPr>
                <w:sz w:val="20"/>
                <w:szCs w:val="20"/>
                <w:lang w:val="uk-UA"/>
              </w:rPr>
            </w:pPr>
            <w:r w:rsidRPr="001212D7">
              <w:rPr>
                <w:sz w:val="20"/>
                <w:szCs w:val="20"/>
                <w:lang w:val="uk-UA"/>
              </w:rPr>
              <w:t>0,9</w:t>
            </w:r>
            <w:r w:rsidR="003043FF" w:rsidRPr="001212D7">
              <w:rPr>
                <w:sz w:val="20"/>
                <w:szCs w:val="20"/>
                <w:lang w:val="uk-UA"/>
              </w:rPr>
              <w:t xml:space="preserve"> </w:t>
            </w:r>
          </w:p>
        </w:tc>
        <w:tc>
          <w:tcPr>
            <w:tcW w:w="1134" w:type="dxa"/>
            <w:vAlign w:val="center"/>
          </w:tcPr>
          <w:p w:rsidR="003043FF" w:rsidRPr="001212D7" w:rsidRDefault="003043FF" w:rsidP="0004000E">
            <w:pPr>
              <w:ind w:right="-2"/>
              <w:jc w:val="center"/>
              <w:rPr>
                <w:sz w:val="20"/>
                <w:szCs w:val="20"/>
                <w:lang w:val="uk-UA"/>
              </w:rPr>
            </w:pPr>
            <w:r w:rsidRPr="001212D7">
              <w:rPr>
                <w:sz w:val="20"/>
                <w:szCs w:val="20"/>
                <w:lang w:val="uk-UA"/>
              </w:rPr>
              <w:t xml:space="preserve"> 2,</w:t>
            </w:r>
            <w:r w:rsidR="00BE4ADA" w:rsidRPr="001212D7">
              <w:rPr>
                <w:sz w:val="20"/>
                <w:szCs w:val="20"/>
                <w:lang w:val="uk-UA"/>
              </w:rPr>
              <w:t>7</w:t>
            </w:r>
          </w:p>
        </w:tc>
        <w:tc>
          <w:tcPr>
            <w:tcW w:w="1134" w:type="dxa"/>
            <w:vAlign w:val="center"/>
          </w:tcPr>
          <w:p w:rsidR="003043FF" w:rsidRPr="001212D7" w:rsidRDefault="003043FF" w:rsidP="0004000E">
            <w:pPr>
              <w:ind w:right="-2"/>
              <w:jc w:val="center"/>
              <w:rPr>
                <w:sz w:val="20"/>
                <w:szCs w:val="20"/>
                <w:lang w:val="uk-UA"/>
              </w:rPr>
            </w:pPr>
            <w:r w:rsidRPr="001212D7">
              <w:rPr>
                <w:sz w:val="20"/>
                <w:szCs w:val="20"/>
                <w:lang w:val="uk-UA"/>
              </w:rPr>
              <w:t xml:space="preserve">96,1 </w:t>
            </w:r>
          </w:p>
        </w:tc>
        <w:tc>
          <w:tcPr>
            <w:tcW w:w="2268" w:type="dxa"/>
            <w:vAlign w:val="center"/>
          </w:tcPr>
          <w:p w:rsidR="003043FF" w:rsidRPr="001212D7" w:rsidRDefault="003043FF" w:rsidP="0004000E">
            <w:pPr>
              <w:ind w:right="-2"/>
              <w:jc w:val="center"/>
              <w:rPr>
                <w:sz w:val="20"/>
                <w:szCs w:val="20"/>
                <w:lang w:val="uk-UA"/>
              </w:rPr>
            </w:pPr>
            <w:r w:rsidRPr="001212D7">
              <w:rPr>
                <w:sz w:val="20"/>
                <w:szCs w:val="20"/>
                <w:lang w:val="uk-UA"/>
              </w:rPr>
              <w:t>100</w:t>
            </w:r>
          </w:p>
        </w:tc>
      </w:tr>
    </w:tbl>
    <w:p w:rsidR="003043FF" w:rsidRPr="001212D7" w:rsidRDefault="003043FF" w:rsidP="0004000E">
      <w:pPr>
        <w:pStyle w:val="a3"/>
        <w:widowControl w:val="0"/>
        <w:spacing w:before="60" w:beforeAutospacing="0" w:after="0" w:afterAutospacing="0"/>
        <w:ind w:right="-2"/>
        <w:jc w:val="both"/>
        <w:rPr>
          <w:sz w:val="28"/>
          <w:szCs w:val="28"/>
          <w:lang w:val="en-US"/>
        </w:rPr>
      </w:pPr>
    </w:p>
    <w:p w:rsidR="001212D7" w:rsidRDefault="001212D7" w:rsidP="0004000E">
      <w:pPr>
        <w:pStyle w:val="a3"/>
        <w:widowControl w:val="0"/>
        <w:spacing w:before="60" w:beforeAutospacing="0" w:after="0" w:afterAutospacing="0"/>
        <w:ind w:right="-2" w:firstLine="720"/>
        <w:jc w:val="both"/>
        <w:rPr>
          <w:sz w:val="28"/>
          <w:szCs w:val="28"/>
          <w:lang w:val="uk-UA"/>
        </w:rPr>
      </w:pPr>
    </w:p>
    <w:p w:rsidR="00015322" w:rsidRPr="001212D7" w:rsidRDefault="00700E82" w:rsidP="0004000E">
      <w:pPr>
        <w:pStyle w:val="a3"/>
        <w:widowControl w:val="0"/>
        <w:spacing w:before="60" w:beforeAutospacing="0" w:after="0" w:afterAutospacing="0"/>
        <w:ind w:right="-2" w:firstLine="720"/>
        <w:jc w:val="both"/>
        <w:rPr>
          <w:sz w:val="28"/>
          <w:szCs w:val="28"/>
          <w:lang w:val="uk-UA"/>
        </w:rPr>
      </w:pPr>
      <w:r w:rsidRPr="001212D7">
        <w:rPr>
          <w:sz w:val="28"/>
          <w:szCs w:val="28"/>
          <w:lang w:val="uk-UA"/>
        </w:rPr>
        <w:t xml:space="preserve">Кількість суб’єктів господарювання, на яких поширюватиметься дія </w:t>
      </w:r>
      <w:proofErr w:type="spellStart"/>
      <w:r w:rsidRPr="001212D7">
        <w:rPr>
          <w:sz w:val="28"/>
          <w:szCs w:val="28"/>
          <w:lang w:val="uk-UA"/>
        </w:rPr>
        <w:t>акта</w:t>
      </w:r>
      <w:proofErr w:type="spellEnd"/>
      <w:r w:rsidRPr="001212D7">
        <w:rPr>
          <w:sz w:val="28"/>
          <w:szCs w:val="28"/>
          <w:lang w:val="uk-UA"/>
        </w:rPr>
        <w:t>.</w:t>
      </w:r>
      <w:r w:rsidR="00816405" w:rsidRPr="001212D7">
        <w:rPr>
          <w:sz w:val="28"/>
          <w:szCs w:val="28"/>
          <w:shd w:val="clear" w:color="auto" w:fill="FFFFFF"/>
          <w:lang w:val="uk-UA"/>
        </w:rPr>
        <w:tab/>
      </w:r>
      <w:r w:rsidR="00816405" w:rsidRPr="001212D7">
        <w:rPr>
          <w:sz w:val="20"/>
          <w:szCs w:val="20"/>
          <w:lang w:val="uk-U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1134"/>
        <w:gridCol w:w="1134"/>
        <w:gridCol w:w="1134"/>
        <w:gridCol w:w="2268"/>
      </w:tblGrid>
      <w:tr w:rsidR="001212D7" w:rsidRPr="001212D7" w:rsidTr="0004000E">
        <w:tc>
          <w:tcPr>
            <w:tcW w:w="3119" w:type="dxa"/>
          </w:tcPr>
          <w:p w:rsidR="00C720E3" w:rsidRPr="001212D7" w:rsidRDefault="00C720E3" w:rsidP="0004000E">
            <w:pPr>
              <w:ind w:right="-2"/>
              <w:rPr>
                <w:lang w:val="uk-UA"/>
              </w:rPr>
            </w:pPr>
          </w:p>
          <w:p w:rsidR="00C720E3" w:rsidRPr="001212D7" w:rsidRDefault="00C720E3" w:rsidP="0004000E">
            <w:pPr>
              <w:ind w:right="-2"/>
              <w:jc w:val="center"/>
              <w:rPr>
                <w:lang w:val="uk-UA"/>
              </w:rPr>
            </w:pPr>
            <w:r w:rsidRPr="001212D7">
              <w:rPr>
                <w:sz w:val="22"/>
                <w:szCs w:val="22"/>
                <w:lang w:val="uk-UA"/>
              </w:rPr>
              <w:t>Показник</w:t>
            </w:r>
          </w:p>
        </w:tc>
        <w:tc>
          <w:tcPr>
            <w:tcW w:w="992" w:type="dxa"/>
            <w:shd w:val="clear" w:color="auto" w:fill="auto"/>
          </w:tcPr>
          <w:p w:rsidR="00C720E3" w:rsidRPr="001212D7" w:rsidRDefault="00C720E3" w:rsidP="0004000E">
            <w:pPr>
              <w:ind w:right="-2"/>
              <w:rPr>
                <w:lang w:val="uk-UA"/>
              </w:rPr>
            </w:pPr>
          </w:p>
          <w:p w:rsidR="00C720E3" w:rsidRPr="001212D7" w:rsidRDefault="009A2DE8" w:rsidP="0004000E">
            <w:pPr>
              <w:ind w:right="-2"/>
              <w:rPr>
                <w:lang w:val="en-US"/>
              </w:rPr>
            </w:pPr>
            <w:r w:rsidRPr="001212D7">
              <w:rPr>
                <w:sz w:val="22"/>
                <w:szCs w:val="22"/>
                <w:lang w:val="en-US"/>
              </w:rPr>
              <w:t xml:space="preserve">  </w:t>
            </w:r>
            <w:r w:rsidR="00C720E3" w:rsidRPr="001212D7">
              <w:rPr>
                <w:sz w:val="22"/>
                <w:szCs w:val="22"/>
                <w:lang w:val="uk-UA"/>
              </w:rPr>
              <w:t>Великі</w:t>
            </w:r>
            <w:r w:rsidRPr="001212D7">
              <w:rPr>
                <w:sz w:val="22"/>
                <w:szCs w:val="22"/>
                <w:lang w:val="en-US"/>
              </w:rPr>
              <w:t xml:space="preserve">   </w:t>
            </w:r>
          </w:p>
        </w:tc>
        <w:tc>
          <w:tcPr>
            <w:tcW w:w="1134" w:type="dxa"/>
            <w:shd w:val="clear" w:color="auto" w:fill="auto"/>
          </w:tcPr>
          <w:p w:rsidR="00C720E3" w:rsidRPr="001212D7" w:rsidRDefault="00C720E3" w:rsidP="0004000E">
            <w:pPr>
              <w:ind w:right="-2"/>
              <w:rPr>
                <w:lang w:val="uk-UA"/>
              </w:rPr>
            </w:pPr>
          </w:p>
          <w:p w:rsidR="00C720E3" w:rsidRPr="001212D7" w:rsidRDefault="009A2DE8" w:rsidP="0004000E">
            <w:pPr>
              <w:ind w:right="-2"/>
              <w:rPr>
                <w:lang w:val="uk-UA"/>
              </w:rPr>
            </w:pPr>
            <w:r w:rsidRPr="001212D7">
              <w:rPr>
                <w:sz w:val="22"/>
                <w:szCs w:val="22"/>
                <w:lang w:val="en-US"/>
              </w:rPr>
              <w:t xml:space="preserve">  </w:t>
            </w:r>
            <w:r w:rsidR="00C720E3" w:rsidRPr="001212D7">
              <w:rPr>
                <w:sz w:val="22"/>
                <w:szCs w:val="22"/>
                <w:lang w:val="uk-UA"/>
              </w:rPr>
              <w:t>Середні</w:t>
            </w:r>
          </w:p>
        </w:tc>
        <w:tc>
          <w:tcPr>
            <w:tcW w:w="1134" w:type="dxa"/>
            <w:shd w:val="clear" w:color="auto" w:fill="auto"/>
          </w:tcPr>
          <w:p w:rsidR="00C720E3" w:rsidRPr="001212D7" w:rsidRDefault="00C720E3" w:rsidP="0004000E">
            <w:pPr>
              <w:ind w:right="-2"/>
              <w:rPr>
                <w:lang w:val="uk-UA"/>
              </w:rPr>
            </w:pPr>
          </w:p>
          <w:p w:rsidR="00C720E3" w:rsidRPr="001212D7" w:rsidRDefault="009A2DE8" w:rsidP="0004000E">
            <w:pPr>
              <w:ind w:right="-2"/>
              <w:rPr>
                <w:lang w:val="uk-UA"/>
              </w:rPr>
            </w:pPr>
            <w:r w:rsidRPr="001212D7">
              <w:rPr>
                <w:sz w:val="22"/>
                <w:szCs w:val="22"/>
                <w:lang w:val="en-US"/>
              </w:rPr>
              <w:t xml:space="preserve">    </w:t>
            </w:r>
            <w:r w:rsidR="00C720E3" w:rsidRPr="001212D7">
              <w:rPr>
                <w:sz w:val="22"/>
                <w:szCs w:val="22"/>
                <w:lang w:val="uk-UA"/>
              </w:rPr>
              <w:t>Малі</w:t>
            </w:r>
          </w:p>
        </w:tc>
        <w:tc>
          <w:tcPr>
            <w:tcW w:w="1134" w:type="dxa"/>
            <w:shd w:val="clear" w:color="auto" w:fill="auto"/>
          </w:tcPr>
          <w:p w:rsidR="00C720E3" w:rsidRPr="001212D7" w:rsidRDefault="00C720E3" w:rsidP="0004000E">
            <w:pPr>
              <w:ind w:right="-2"/>
              <w:rPr>
                <w:lang w:val="uk-UA"/>
              </w:rPr>
            </w:pPr>
          </w:p>
          <w:p w:rsidR="00C720E3" w:rsidRPr="001212D7" w:rsidRDefault="009A2DE8" w:rsidP="0004000E">
            <w:pPr>
              <w:ind w:right="-2"/>
              <w:rPr>
                <w:lang w:val="uk-UA"/>
              </w:rPr>
            </w:pPr>
            <w:r w:rsidRPr="001212D7">
              <w:rPr>
                <w:sz w:val="22"/>
                <w:szCs w:val="22"/>
                <w:lang w:val="en-US"/>
              </w:rPr>
              <w:t xml:space="preserve">   </w:t>
            </w:r>
            <w:r w:rsidR="00C720E3" w:rsidRPr="001212D7">
              <w:rPr>
                <w:sz w:val="22"/>
                <w:szCs w:val="22"/>
                <w:lang w:val="uk-UA"/>
              </w:rPr>
              <w:t>Мікро</w:t>
            </w:r>
          </w:p>
        </w:tc>
        <w:tc>
          <w:tcPr>
            <w:tcW w:w="2268" w:type="dxa"/>
            <w:shd w:val="clear" w:color="auto" w:fill="auto"/>
          </w:tcPr>
          <w:p w:rsidR="00C720E3" w:rsidRPr="001212D7" w:rsidRDefault="00C720E3" w:rsidP="0004000E">
            <w:pPr>
              <w:ind w:right="-2"/>
              <w:rPr>
                <w:lang w:val="uk-UA"/>
              </w:rPr>
            </w:pPr>
          </w:p>
          <w:p w:rsidR="00C720E3" w:rsidRPr="001212D7" w:rsidRDefault="009A2DE8" w:rsidP="0004000E">
            <w:pPr>
              <w:ind w:right="-2"/>
              <w:rPr>
                <w:lang w:val="uk-UA"/>
              </w:rPr>
            </w:pPr>
            <w:r w:rsidRPr="001212D7">
              <w:rPr>
                <w:sz w:val="22"/>
                <w:szCs w:val="22"/>
                <w:lang w:val="en-US"/>
              </w:rPr>
              <w:t xml:space="preserve">              </w:t>
            </w:r>
            <w:r w:rsidR="00C720E3" w:rsidRPr="001212D7">
              <w:rPr>
                <w:sz w:val="22"/>
                <w:szCs w:val="22"/>
                <w:lang w:val="uk-UA"/>
              </w:rPr>
              <w:t>Разом</w:t>
            </w:r>
          </w:p>
        </w:tc>
      </w:tr>
      <w:tr w:rsidR="001212D7" w:rsidRPr="001212D7" w:rsidTr="0004000E">
        <w:tc>
          <w:tcPr>
            <w:tcW w:w="3119" w:type="dxa"/>
          </w:tcPr>
          <w:p w:rsidR="00C720E3" w:rsidRPr="001212D7" w:rsidRDefault="00C720E3" w:rsidP="0004000E">
            <w:pPr>
              <w:ind w:right="-2"/>
              <w:jc w:val="both"/>
              <w:rPr>
                <w:sz w:val="20"/>
                <w:szCs w:val="20"/>
                <w:lang w:val="uk-UA"/>
              </w:rPr>
            </w:pPr>
            <w:r w:rsidRPr="001212D7">
              <w:rPr>
                <w:sz w:val="20"/>
                <w:szCs w:val="20"/>
                <w:lang w:val="uk-UA"/>
              </w:rPr>
              <w:t>Кількість суб’єктів господарювання, що підпадають під дію регулювання, одиниць</w:t>
            </w:r>
          </w:p>
        </w:tc>
        <w:tc>
          <w:tcPr>
            <w:tcW w:w="992" w:type="dxa"/>
            <w:shd w:val="clear" w:color="auto" w:fill="auto"/>
            <w:vAlign w:val="center"/>
          </w:tcPr>
          <w:p w:rsidR="00C720E3" w:rsidRPr="001212D7" w:rsidRDefault="00BE4ADA" w:rsidP="0004000E">
            <w:pPr>
              <w:ind w:right="-2"/>
              <w:jc w:val="center"/>
              <w:rPr>
                <w:sz w:val="20"/>
                <w:szCs w:val="20"/>
                <w:lang w:val="uk-UA"/>
              </w:rPr>
            </w:pPr>
            <w:r w:rsidRPr="001212D7">
              <w:rPr>
                <w:sz w:val="20"/>
                <w:szCs w:val="20"/>
                <w:lang w:val="uk-UA"/>
              </w:rPr>
              <w:t>416</w:t>
            </w:r>
          </w:p>
        </w:tc>
        <w:tc>
          <w:tcPr>
            <w:tcW w:w="1134" w:type="dxa"/>
            <w:shd w:val="clear" w:color="auto" w:fill="auto"/>
            <w:vAlign w:val="center"/>
          </w:tcPr>
          <w:p w:rsidR="00C720E3" w:rsidRPr="001212D7" w:rsidRDefault="00BE4ADA" w:rsidP="0004000E">
            <w:pPr>
              <w:ind w:right="-2"/>
              <w:jc w:val="center"/>
              <w:rPr>
                <w:sz w:val="20"/>
                <w:szCs w:val="20"/>
                <w:lang w:val="uk-UA"/>
              </w:rPr>
            </w:pPr>
            <w:r w:rsidRPr="001212D7">
              <w:rPr>
                <w:sz w:val="20"/>
                <w:szCs w:val="20"/>
                <w:lang w:val="uk-UA"/>
              </w:rPr>
              <w:t>2229</w:t>
            </w:r>
          </w:p>
        </w:tc>
        <w:tc>
          <w:tcPr>
            <w:tcW w:w="1134" w:type="dxa"/>
            <w:shd w:val="clear" w:color="auto" w:fill="auto"/>
            <w:vAlign w:val="center"/>
          </w:tcPr>
          <w:p w:rsidR="00C720E3" w:rsidRPr="001212D7" w:rsidRDefault="00BE4ADA" w:rsidP="0004000E">
            <w:pPr>
              <w:ind w:right="-2"/>
              <w:jc w:val="center"/>
              <w:rPr>
                <w:sz w:val="20"/>
                <w:szCs w:val="20"/>
                <w:lang w:val="uk-UA"/>
              </w:rPr>
            </w:pPr>
            <w:r w:rsidRPr="001212D7">
              <w:rPr>
                <w:sz w:val="20"/>
                <w:szCs w:val="20"/>
                <w:lang w:val="uk-UA"/>
              </w:rPr>
              <w:t>259</w:t>
            </w:r>
          </w:p>
        </w:tc>
        <w:tc>
          <w:tcPr>
            <w:tcW w:w="1134" w:type="dxa"/>
            <w:shd w:val="clear" w:color="auto" w:fill="auto"/>
            <w:vAlign w:val="center"/>
          </w:tcPr>
          <w:p w:rsidR="00C720E3" w:rsidRPr="001212D7" w:rsidRDefault="00271202" w:rsidP="0004000E">
            <w:pPr>
              <w:ind w:right="-2"/>
              <w:jc w:val="center"/>
              <w:rPr>
                <w:sz w:val="20"/>
                <w:szCs w:val="20"/>
                <w:lang w:val="uk-UA"/>
              </w:rPr>
            </w:pPr>
            <w:r w:rsidRPr="001212D7">
              <w:rPr>
                <w:sz w:val="20"/>
                <w:szCs w:val="20"/>
                <w:lang w:val="uk-UA"/>
              </w:rPr>
              <w:t xml:space="preserve"> </w:t>
            </w:r>
            <w:r w:rsidR="00544D06" w:rsidRPr="001212D7">
              <w:rPr>
                <w:sz w:val="20"/>
                <w:szCs w:val="20"/>
                <w:lang w:val="uk-UA"/>
              </w:rPr>
              <w:t>-</w:t>
            </w:r>
          </w:p>
        </w:tc>
        <w:tc>
          <w:tcPr>
            <w:tcW w:w="2268" w:type="dxa"/>
            <w:shd w:val="clear" w:color="auto" w:fill="auto"/>
            <w:vAlign w:val="center"/>
          </w:tcPr>
          <w:p w:rsidR="00C720E3" w:rsidRPr="001212D7" w:rsidRDefault="00BE4ADA" w:rsidP="0004000E">
            <w:pPr>
              <w:ind w:right="-2"/>
              <w:jc w:val="center"/>
              <w:rPr>
                <w:sz w:val="20"/>
                <w:szCs w:val="20"/>
                <w:lang w:val="uk-UA"/>
              </w:rPr>
            </w:pPr>
            <w:r w:rsidRPr="001212D7">
              <w:rPr>
                <w:sz w:val="20"/>
                <w:szCs w:val="20"/>
                <w:lang w:val="uk-UA"/>
              </w:rPr>
              <w:t>3324</w:t>
            </w:r>
            <w:r w:rsidR="00271202" w:rsidRPr="001212D7">
              <w:rPr>
                <w:sz w:val="20"/>
                <w:szCs w:val="20"/>
                <w:lang w:val="uk-UA"/>
              </w:rPr>
              <w:t xml:space="preserve"> </w:t>
            </w:r>
          </w:p>
        </w:tc>
      </w:tr>
      <w:tr w:rsidR="0004000E" w:rsidRPr="001212D7" w:rsidTr="0004000E">
        <w:tc>
          <w:tcPr>
            <w:tcW w:w="3119" w:type="dxa"/>
          </w:tcPr>
          <w:p w:rsidR="00C720E3" w:rsidRPr="001212D7" w:rsidRDefault="00C720E3" w:rsidP="0004000E">
            <w:pPr>
              <w:ind w:right="-2"/>
              <w:rPr>
                <w:sz w:val="20"/>
                <w:szCs w:val="20"/>
                <w:lang w:val="uk-UA"/>
              </w:rPr>
            </w:pPr>
          </w:p>
          <w:p w:rsidR="00C720E3" w:rsidRPr="001212D7" w:rsidRDefault="00C720E3" w:rsidP="0004000E">
            <w:pPr>
              <w:ind w:right="-2"/>
              <w:jc w:val="both"/>
              <w:rPr>
                <w:sz w:val="20"/>
                <w:szCs w:val="20"/>
                <w:lang w:val="uk-UA"/>
              </w:rPr>
            </w:pPr>
            <w:r w:rsidRPr="001212D7">
              <w:rPr>
                <w:sz w:val="20"/>
                <w:szCs w:val="20"/>
                <w:lang w:val="uk-UA"/>
              </w:rPr>
              <w:t>Питома вага групи у загальній кількості, відсотків</w:t>
            </w:r>
          </w:p>
        </w:tc>
        <w:tc>
          <w:tcPr>
            <w:tcW w:w="992" w:type="dxa"/>
            <w:vAlign w:val="center"/>
          </w:tcPr>
          <w:p w:rsidR="00C720E3" w:rsidRPr="001212D7" w:rsidRDefault="00BE4ADA" w:rsidP="0004000E">
            <w:pPr>
              <w:ind w:right="-2"/>
              <w:jc w:val="center"/>
              <w:rPr>
                <w:sz w:val="20"/>
                <w:szCs w:val="20"/>
                <w:lang w:val="uk-UA"/>
              </w:rPr>
            </w:pPr>
            <w:r w:rsidRPr="001212D7">
              <w:rPr>
                <w:sz w:val="20"/>
                <w:szCs w:val="20"/>
                <w:lang w:val="uk-UA"/>
              </w:rPr>
              <w:t>12,5</w:t>
            </w:r>
          </w:p>
        </w:tc>
        <w:tc>
          <w:tcPr>
            <w:tcW w:w="1134" w:type="dxa"/>
            <w:vAlign w:val="center"/>
          </w:tcPr>
          <w:p w:rsidR="00C720E3" w:rsidRPr="001212D7" w:rsidRDefault="00BE4ADA" w:rsidP="0004000E">
            <w:pPr>
              <w:ind w:right="-2"/>
              <w:jc w:val="center"/>
              <w:rPr>
                <w:sz w:val="20"/>
                <w:szCs w:val="20"/>
                <w:lang w:val="uk-UA"/>
              </w:rPr>
            </w:pPr>
            <w:r w:rsidRPr="001212D7">
              <w:rPr>
                <w:sz w:val="20"/>
                <w:szCs w:val="20"/>
                <w:lang w:val="uk-UA"/>
              </w:rPr>
              <w:t>67</w:t>
            </w:r>
          </w:p>
        </w:tc>
        <w:tc>
          <w:tcPr>
            <w:tcW w:w="1134" w:type="dxa"/>
            <w:vAlign w:val="center"/>
          </w:tcPr>
          <w:p w:rsidR="00C720E3" w:rsidRPr="001212D7" w:rsidRDefault="00BE4ADA" w:rsidP="0004000E">
            <w:pPr>
              <w:ind w:right="-2"/>
              <w:jc w:val="center"/>
              <w:rPr>
                <w:sz w:val="20"/>
                <w:szCs w:val="20"/>
                <w:lang w:val="uk-UA"/>
              </w:rPr>
            </w:pPr>
            <w:r w:rsidRPr="001212D7">
              <w:rPr>
                <w:sz w:val="20"/>
                <w:szCs w:val="20"/>
                <w:lang w:val="uk-UA"/>
              </w:rPr>
              <w:t>7,7</w:t>
            </w:r>
          </w:p>
        </w:tc>
        <w:tc>
          <w:tcPr>
            <w:tcW w:w="1134" w:type="dxa"/>
            <w:vAlign w:val="center"/>
          </w:tcPr>
          <w:p w:rsidR="00C720E3" w:rsidRPr="001212D7" w:rsidRDefault="00544D06" w:rsidP="0004000E">
            <w:pPr>
              <w:ind w:right="-2"/>
              <w:jc w:val="center"/>
              <w:rPr>
                <w:sz w:val="20"/>
                <w:szCs w:val="20"/>
                <w:lang w:val="uk-UA"/>
              </w:rPr>
            </w:pPr>
            <w:r w:rsidRPr="001212D7">
              <w:rPr>
                <w:sz w:val="20"/>
                <w:szCs w:val="20"/>
                <w:lang w:val="uk-UA"/>
              </w:rPr>
              <w:t>-</w:t>
            </w:r>
          </w:p>
        </w:tc>
        <w:tc>
          <w:tcPr>
            <w:tcW w:w="2268" w:type="dxa"/>
            <w:vAlign w:val="center"/>
          </w:tcPr>
          <w:p w:rsidR="00C720E3" w:rsidRPr="001212D7" w:rsidRDefault="00C720E3" w:rsidP="0004000E">
            <w:pPr>
              <w:ind w:right="-2"/>
              <w:jc w:val="center"/>
              <w:rPr>
                <w:sz w:val="20"/>
                <w:szCs w:val="20"/>
                <w:lang w:val="uk-UA"/>
              </w:rPr>
            </w:pPr>
            <w:r w:rsidRPr="001212D7">
              <w:rPr>
                <w:sz w:val="20"/>
                <w:szCs w:val="20"/>
                <w:lang w:val="uk-UA"/>
              </w:rPr>
              <w:t>100</w:t>
            </w:r>
          </w:p>
        </w:tc>
      </w:tr>
    </w:tbl>
    <w:p w:rsidR="00C21690" w:rsidRPr="001212D7" w:rsidRDefault="00C21690" w:rsidP="0004000E">
      <w:pPr>
        <w:pStyle w:val="21"/>
        <w:spacing w:after="0" w:line="240" w:lineRule="auto"/>
        <w:ind w:left="0" w:right="-2" w:firstLine="540"/>
        <w:jc w:val="both"/>
        <w:rPr>
          <w:sz w:val="18"/>
          <w:szCs w:val="18"/>
          <w:lang w:val="uk-UA"/>
        </w:rPr>
      </w:pPr>
    </w:p>
    <w:p w:rsidR="00D05BE5" w:rsidRPr="001212D7" w:rsidRDefault="00D05BE5" w:rsidP="0004000E">
      <w:pPr>
        <w:pStyle w:val="21"/>
        <w:spacing w:after="0" w:line="240" w:lineRule="auto"/>
        <w:ind w:left="0" w:right="-2" w:firstLine="540"/>
        <w:jc w:val="both"/>
        <w:rPr>
          <w:sz w:val="18"/>
          <w:szCs w:val="18"/>
          <w:lang w:val="uk-UA"/>
        </w:rPr>
      </w:pPr>
    </w:p>
    <w:p w:rsidR="00C21690" w:rsidRPr="001212D7" w:rsidRDefault="00C21690" w:rsidP="0004000E">
      <w:pPr>
        <w:pStyle w:val="21"/>
        <w:spacing w:after="0" w:line="240" w:lineRule="auto"/>
        <w:ind w:left="0" w:right="-2" w:firstLine="540"/>
        <w:jc w:val="both"/>
        <w:rPr>
          <w:sz w:val="18"/>
          <w:szCs w:val="1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111"/>
        <w:gridCol w:w="3969"/>
      </w:tblGrid>
      <w:tr w:rsidR="001212D7" w:rsidRPr="001212D7" w:rsidTr="0004000E">
        <w:trPr>
          <w:trHeight w:val="703"/>
        </w:trPr>
        <w:tc>
          <w:tcPr>
            <w:tcW w:w="1843" w:type="dxa"/>
          </w:tcPr>
          <w:p w:rsidR="0010176C" w:rsidRPr="001212D7" w:rsidRDefault="0010176C" w:rsidP="0004000E">
            <w:pPr>
              <w:ind w:right="-2"/>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Вид альтернативи</w:t>
            </w:r>
          </w:p>
          <w:p w:rsidR="0010176C" w:rsidRPr="001212D7" w:rsidRDefault="0010176C" w:rsidP="0004000E">
            <w:pPr>
              <w:ind w:right="-2"/>
              <w:jc w:val="center"/>
              <w:rPr>
                <w:sz w:val="20"/>
                <w:szCs w:val="20"/>
                <w:lang w:val="uk-UA"/>
              </w:rPr>
            </w:pPr>
          </w:p>
        </w:tc>
        <w:tc>
          <w:tcPr>
            <w:tcW w:w="4111" w:type="dxa"/>
          </w:tcPr>
          <w:p w:rsidR="0010176C" w:rsidRPr="001212D7" w:rsidRDefault="0010176C" w:rsidP="0004000E">
            <w:pPr>
              <w:ind w:right="-2"/>
              <w:rPr>
                <w:sz w:val="20"/>
                <w:szCs w:val="20"/>
                <w:lang w:val="uk-UA"/>
              </w:rPr>
            </w:pPr>
          </w:p>
          <w:p w:rsidR="0010176C" w:rsidRPr="001212D7" w:rsidRDefault="0010176C" w:rsidP="00C40E68">
            <w:pPr>
              <w:ind w:right="-2"/>
              <w:jc w:val="center"/>
              <w:rPr>
                <w:sz w:val="20"/>
                <w:szCs w:val="20"/>
                <w:lang w:val="uk-UA"/>
              </w:rPr>
            </w:pPr>
            <w:r w:rsidRPr="001212D7">
              <w:rPr>
                <w:sz w:val="20"/>
                <w:szCs w:val="20"/>
                <w:lang w:val="uk-UA"/>
              </w:rPr>
              <w:t>Вигоди</w:t>
            </w:r>
            <w:r w:rsidR="00945F80" w:rsidRPr="001212D7">
              <w:rPr>
                <w:sz w:val="20"/>
                <w:szCs w:val="20"/>
                <w:lang w:val="uk-UA"/>
              </w:rPr>
              <w:tab/>
            </w:r>
          </w:p>
        </w:tc>
        <w:tc>
          <w:tcPr>
            <w:tcW w:w="3969" w:type="dxa"/>
          </w:tcPr>
          <w:p w:rsidR="0010176C" w:rsidRPr="001212D7" w:rsidRDefault="0010176C" w:rsidP="0004000E">
            <w:pPr>
              <w:ind w:right="-2"/>
              <w:rPr>
                <w:sz w:val="20"/>
                <w:szCs w:val="20"/>
                <w:lang w:val="uk-UA"/>
              </w:rPr>
            </w:pPr>
          </w:p>
          <w:p w:rsidR="0010176C" w:rsidRPr="001212D7" w:rsidRDefault="0010176C" w:rsidP="00C40E68">
            <w:pPr>
              <w:ind w:right="-2"/>
              <w:jc w:val="center"/>
              <w:rPr>
                <w:sz w:val="20"/>
                <w:szCs w:val="20"/>
                <w:lang w:val="uk-UA"/>
              </w:rPr>
            </w:pPr>
            <w:r w:rsidRPr="001212D7">
              <w:rPr>
                <w:sz w:val="20"/>
                <w:szCs w:val="20"/>
                <w:lang w:val="uk-UA"/>
              </w:rPr>
              <w:t>Витрати</w:t>
            </w:r>
            <w:r w:rsidR="001B1006" w:rsidRPr="001212D7">
              <w:rPr>
                <w:sz w:val="20"/>
                <w:szCs w:val="20"/>
                <w:lang w:val="uk-UA"/>
              </w:rPr>
              <w:t xml:space="preserve"> </w:t>
            </w:r>
          </w:p>
        </w:tc>
      </w:tr>
      <w:tr w:rsidR="001212D7" w:rsidRPr="001212D7" w:rsidTr="0004000E">
        <w:tc>
          <w:tcPr>
            <w:tcW w:w="1843" w:type="dxa"/>
          </w:tcPr>
          <w:p w:rsidR="0010176C" w:rsidRPr="001212D7" w:rsidRDefault="0010176C" w:rsidP="0004000E">
            <w:pPr>
              <w:ind w:right="-2"/>
              <w:rPr>
                <w:sz w:val="20"/>
                <w:szCs w:val="20"/>
                <w:lang w:val="uk-UA"/>
              </w:rPr>
            </w:pPr>
          </w:p>
          <w:p w:rsidR="0010176C" w:rsidRPr="001212D7" w:rsidRDefault="0010176C" w:rsidP="0004000E">
            <w:pPr>
              <w:ind w:right="-2"/>
              <w:rPr>
                <w:sz w:val="20"/>
                <w:szCs w:val="20"/>
                <w:lang w:val="uk-UA"/>
              </w:rPr>
            </w:pPr>
            <w:r w:rsidRPr="001212D7">
              <w:rPr>
                <w:sz w:val="20"/>
                <w:szCs w:val="20"/>
                <w:lang w:val="uk-UA"/>
              </w:rPr>
              <w:t>Альтернатива 1</w:t>
            </w:r>
          </w:p>
        </w:tc>
        <w:tc>
          <w:tcPr>
            <w:tcW w:w="4111" w:type="dxa"/>
          </w:tcPr>
          <w:p w:rsidR="001212D7" w:rsidRPr="00A511E4" w:rsidRDefault="001212D7" w:rsidP="00A511E4">
            <w:pPr>
              <w:widowControl w:val="0"/>
              <w:spacing w:before="60"/>
              <w:ind w:left="34" w:right="-2"/>
              <w:jc w:val="both"/>
              <w:rPr>
                <w:sz w:val="20"/>
                <w:szCs w:val="20"/>
                <w:lang w:val="uk-UA"/>
              </w:rPr>
            </w:pPr>
          </w:p>
          <w:p w:rsidR="00710D3C" w:rsidRPr="00A511E4" w:rsidRDefault="00257555" w:rsidP="00A511E4">
            <w:pPr>
              <w:widowControl w:val="0"/>
              <w:spacing w:before="60"/>
              <w:ind w:left="34" w:right="-2"/>
              <w:jc w:val="both"/>
              <w:rPr>
                <w:sz w:val="20"/>
                <w:szCs w:val="20"/>
                <w:lang w:val="uk-UA"/>
              </w:rPr>
            </w:pPr>
            <w:r w:rsidRPr="00A511E4">
              <w:rPr>
                <w:sz w:val="20"/>
                <w:szCs w:val="20"/>
                <w:lang w:val="uk-UA"/>
              </w:rPr>
              <w:t xml:space="preserve">1) </w:t>
            </w:r>
            <w:r w:rsidR="00B27353" w:rsidRPr="00A511E4">
              <w:rPr>
                <w:sz w:val="20"/>
                <w:szCs w:val="20"/>
                <w:lang w:val="uk-UA"/>
              </w:rPr>
              <w:t>можливість не здійснювати</w:t>
            </w:r>
            <w:r w:rsidR="00710D3C" w:rsidRPr="00A511E4">
              <w:rPr>
                <w:sz w:val="20"/>
                <w:szCs w:val="20"/>
                <w:lang w:val="uk-UA"/>
              </w:rPr>
              <w:t xml:space="preserve"> розподіл прибутку або прирівнян</w:t>
            </w:r>
            <w:r w:rsidR="00562061" w:rsidRPr="00A511E4">
              <w:rPr>
                <w:sz w:val="20"/>
                <w:szCs w:val="20"/>
                <w:lang w:val="uk-UA"/>
              </w:rPr>
              <w:t>их</w:t>
            </w:r>
            <w:r w:rsidR="00710D3C" w:rsidRPr="00A511E4">
              <w:rPr>
                <w:sz w:val="20"/>
                <w:szCs w:val="20"/>
                <w:lang w:val="uk-UA"/>
              </w:rPr>
              <w:t xml:space="preserve"> </w:t>
            </w:r>
            <w:r w:rsidR="00B27353" w:rsidRPr="00A511E4">
              <w:rPr>
                <w:sz w:val="20"/>
                <w:szCs w:val="20"/>
                <w:lang w:val="uk-UA"/>
              </w:rPr>
              <w:t>до такого розподілу платежі</w:t>
            </w:r>
            <w:r w:rsidR="00562061" w:rsidRPr="00A511E4">
              <w:rPr>
                <w:sz w:val="20"/>
                <w:szCs w:val="20"/>
                <w:lang w:val="uk-UA"/>
              </w:rPr>
              <w:t>в</w:t>
            </w:r>
            <w:r w:rsidR="00710D3C" w:rsidRPr="00A511E4">
              <w:rPr>
                <w:sz w:val="20"/>
                <w:szCs w:val="20"/>
                <w:lang w:val="uk-UA"/>
              </w:rPr>
              <w:t xml:space="preserve"> і, відповідно, об’єкт</w:t>
            </w:r>
            <w:r w:rsidRPr="00A511E4">
              <w:rPr>
                <w:sz w:val="20"/>
                <w:szCs w:val="20"/>
                <w:lang w:val="uk-UA"/>
              </w:rPr>
              <w:t>а</w:t>
            </w:r>
            <w:r w:rsidR="00710D3C" w:rsidRPr="00A511E4">
              <w:rPr>
                <w:sz w:val="20"/>
                <w:szCs w:val="20"/>
                <w:lang w:val="uk-UA"/>
              </w:rPr>
              <w:t xml:space="preserve"> оподаткування</w:t>
            </w:r>
            <w:r w:rsidR="00544D06" w:rsidRPr="00A511E4">
              <w:rPr>
                <w:sz w:val="20"/>
                <w:szCs w:val="20"/>
                <w:lang w:val="uk-UA"/>
              </w:rPr>
              <w:t>, що позбавляє обов’язку подання податкової звітності</w:t>
            </w:r>
            <w:r w:rsidR="00302D78" w:rsidRPr="00A511E4">
              <w:rPr>
                <w:sz w:val="20"/>
                <w:szCs w:val="20"/>
                <w:lang w:val="uk-UA"/>
              </w:rPr>
              <w:t>;</w:t>
            </w:r>
          </w:p>
          <w:p w:rsidR="00710D3C" w:rsidRPr="00A511E4" w:rsidRDefault="00710D3C" w:rsidP="00A511E4">
            <w:pPr>
              <w:pStyle w:val="aa"/>
              <w:numPr>
                <w:ilvl w:val="0"/>
                <w:numId w:val="17"/>
              </w:numPr>
              <w:spacing w:before="60"/>
              <w:ind w:left="34" w:right="-2"/>
              <w:jc w:val="both"/>
              <w:rPr>
                <w:strike/>
                <w:sz w:val="20"/>
                <w:szCs w:val="20"/>
                <w:lang w:val="uk-UA"/>
              </w:rPr>
            </w:pPr>
            <w:r w:rsidRPr="00A511E4">
              <w:rPr>
                <w:sz w:val="20"/>
                <w:szCs w:val="20"/>
                <w:lang w:val="uk-UA"/>
              </w:rPr>
              <w:t>2</w:t>
            </w:r>
            <w:r w:rsidR="00193C6D" w:rsidRPr="00A511E4">
              <w:rPr>
                <w:sz w:val="20"/>
                <w:szCs w:val="20"/>
                <w:lang w:val="uk-UA"/>
              </w:rPr>
              <w:t>)</w:t>
            </w:r>
            <w:r w:rsidRPr="00A511E4">
              <w:rPr>
                <w:sz w:val="20"/>
                <w:szCs w:val="20"/>
                <w:lang w:val="uk-UA"/>
              </w:rPr>
              <w:t xml:space="preserve"> виведення прибутку від оподаткування шляхом здійснення інших виплат неплатникам податку </w:t>
            </w:r>
            <w:r w:rsidR="00B27353" w:rsidRPr="00A511E4">
              <w:rPr>
                <w:sz w:val="20"/>
                <w:szCs w:val="20"/>
                <w:lang w:val="uk-UA"/>
              </w:rPr>
              <w:t xml:space="preserve">на виведений капітал </w:t>
            </w:r>
            <w:r w:rsidRPr="00A511E4">
              <w:rPr>
                <w:sz w:val="20"/>
                <w:szCs w:val="20"/>
                <w:lang w:val="uk-UA"/>
              </w:rPr>
              <w:t>(суб’єктам спрощеної системи оподаткування, нерезидентам)</w:t>
            </w:r>
            <w:r w:rsidR="004C0E56" w:rsidRPr="00A511E4">
              <w:rPr>
                <w:sz w:val="20"/>
                <w:szCs w:val="20"/>
                <w:lang w:val="uk-UA"/>
              </w:rPr>
              <w:t>;</w:t>
            </w:r>
          </w:p>
          <w:p w:rsidR="004C0E56" w:rsidRPr="00A511E4" w:rsidRDefault="00257555" w:rsidP="00A511E4">
            <w:pPr>
              <w:spacing w:before="60"/>
              <w:ind w:left="34" w:right="-2"/>
              <w:jc w:val="both"/>
              <w:rPr>
                <w:sz w:val="20"/>
                <w:szCs w:val="20"/>
                <w:lang w:val="uk-UA"/>
              </w:rPr>
            </w:pPr>
            <w:r w:rsidRPr="00A511E4">
              <w:rPr>
                <w:sz w:val="20"/>
                <w:szCs w:val="20"/>
                <w:lang w:val="uk-UA"/>
              </w:rPr>
              <w:t xml:space="preserve">3) </w:t>
            </w:r>
            <w:r w:rsidR="004C0E56" w:rsidRPr="00A511E4">
              <w:rPr>
                <w:sz w:val="20"/>
                <w:szCs w:val="20"/>
                <w:lang w:val="uk-UA"/>
              </w:rPr>
              <w:t>спрощення розрахунку об’єкт</w:t>
            </w:r>
            <w:r w:rsidRPr="00A511E4">
              <w:rPr>
                <w:sz w:val="20"/>
                <w:szCs w:val="20"/>
                <w:lang w:val="uk-UA"/>
              </w:rPr>
              <w:t xml:space="preserve">а </w:t>
            </w:r>
            <w:r w:rsidR="004C0E56" w:rsidRPr="00A511E4">
              <w:rPr>
                <w:sz w:val="20"/>
                <w:szCs w:val="20"/>
                <w:lang w:val="uk-UA"/>
              </w:rPr>
              <w:t>оподаткування</w:t>
            </w:r>
            <w:r w:rsidR="00243E43" w:rsidRPr="00A511E4">
              <w:rPr>
                <w:sz w:val="20"/>
                <w:szCs w:val="20"/>
                <w:lang w:val="uk-UA"/>
              </w:rPr>
              <w:t>;</w:t>
            </w:r>
            <w:r w:rsidR="004C0E56" w:rsidRPr="00A511E4">
              <w:rPr>
                <w:sz w:val="20"/>
                <w:szCs w:val="20"/>
                <w:lang w:val="uk-UA"/>
              </w:rPr>
              <w:t xml:space="preserve"> </w:t>
            </w:r>
          </w:p>
          <w:p w:rsidR="00544D06" w:rsidRPr="00A511E4" w:rsidRDefault="00544D06" w:rsidP="00A511E4">
            <w:pPr>
              <w:pStyle w:val="aa"/>
              <w:numPr>
                <w:ilvl w:val="0"/>
                <w:numId w:val="17"/>
              </w:numPr>
              <w:spacing w:before="60"/>
              <w:ind w:left="34" w:right="-2"/>
              <w:jc w:val="both"/>
              <w:rPr>
                <w:sz w:val="20"/>
                <w:szCs w:val="20"/>
                <w:lang w:val="uk-UA"/>
              </w:rPr>
            </w:pPr>
            <w:r w:rsidRPr="00A511E4">
              <w:rPr>
                <w:sz w:val="20"/>
                <w:szCs w:val="20"/>
                <w:lang w:val="uk-UA"/>
              </w:rPr>
              <w:t xml:space="preserve">4) </w:t>
            </w:r>
            <w:r w:rsidR="00B27353" w:rsidRPr="00A511E4">
              <w:rPr>
                <w:sz w:val="20"/>
                <w:szCs w:val="20"/>
                <w:lang w:val="uk-UA"/>
              </w:rPr>
              <w:t xml:space="preserve">можливість </w:t>
            </w:r>
            <w:r w:rsidRPr="00A511E4">
              <w:rPr>
                <w:sz w:val="20"/>
                <w:szCs w:val="20"/>
                <w:lang w:val="uk-UA"/>
              </w:rPr>
              <w:t xml:space="preserve">зменшення суми податку на виведений капітал на суму наявних переплат з податку на прибуток та залишків сплачених авансових внесків </w:t>
            </w:r>
            <w:r w:rsidR="008E1006" w:rsidRPr="00A511E4">
              <w:rPr>
                <w:sz w:val="20"/>
                <w:szCs w:val="20"/>
                <w:lang w:val="uk-UA"/>
              </w:rPr>
              <w:t xml:space="preserve">під час </w:t>
            </w:r>
            <w:r w:rsidRPr="00A511E4">
              <w:rPr>
                <w:sz w:val="20"/>
                <w:szCs w:val="20"/>
                <w:lang w:val="uk-UA"/>
              </w:rPr>
              <w:t>виплат</w:t>
            </w:r>
            <w:r w:rsidR="008E1006" w:rsidRPr="00A511E4">
              <w:rPr>
                <w:sz w:val="20"/>
                <w:szCs w:val="20"/>
                <w:lang w:val="uk-UA"/>
              </w:rPr>
              <w:t xml:space="preserve">и </w:t>
            </w:r>
            <w:r w:rsidRPr="00A511E4">
              <w:rPr>
                <w:sz w:val="20"/>
                <w:szCs w:val="20"/>
                <w:lang w:val="uk-UA"/>
              </w:rPr>
              <w:t>дивідендів, неврахованих у зменшення грошових зобов’язань з податку на прибуток у минули</w:t>
            </w:r>
            <w:r w:rsidR="00D15DA2" w:rsidRPr="00A511E4">
              <w:rPr>
                <w:sz w:val="20"/>
                <w:szCs w:val="20"/>
                <w:lang w:val="uk-UA"/>
              </w:rPr>
              <w:t>х звітних (податкових) періодах;</w:t>
            </w:r>
          </w:p>
          <w:p w:rsidR="00D15DA2" w:rsidRPr="00A511E4" w:rsidRDefault="00D15DA2" w:rsidP="00A511E4">
            <w:pPr>
              <w:pStyle w:val="aa"/>
              <w:numPr>
                <w:ilvl w:val="0"/>
                <w:numId w:val="17"/>
              </w:numPr>
              <w:spacing w:before="60"/>
              <w:ind w:left="34" w:right="-2"/>
              <w:jc w:val="both"/>
              <w:rPr>
                <w:sz w:val="20"/>
                <w:szCs w:val="20"/>
                <w:lang w:val="uk-UA"/>
              </w:rPr>
            </w:pPr>
            <w:r w:rsidRPr="00A511E4">
              <w:rPr>
                <w:sz w:val="20"/>
                <w:szCs w:val="20"/>
                <w:lang w:val="uk-UA"/>
              </w:rPr>
              <w:t>5) економія витрат на складання звітності.</w:t>
            </w:r>
          </w:p>
          <w:p w:rsidR="00EE467A" w:rsidRPr="00A511E4" w:rsidRDefault="00EE467A" w:rsidP="00A511E4">
            <w:pPr>
              <w:spacing w:before="60"/>
              <w:ind w:right="-2"/>
              <w:jc w:val="both"/>
              <w:rPr>
                <w:sz w:val="20"/>
                <w:szCs w:val="20"/>
                <w:lang w:val="uk-UA"/>
              </w:rPr>
            </w:pPr>
            <w:r w:rsidRPr="00A511E4">
              <w:rPr>
                <w:sz w:val="20"/>
                <w:szCs w:val="20"/>
                <w:lang w:val="uk-UA"/>
              </w:rPr>
              <w:t>Для суб’єктів господарювання  сума вигід (економії) складатиме 307 486 853,4 гривні</w:t>
            </w:r>
            <w:r w:rsidR="00A511E4" w:rsidRPr="00A511E4">
              <w:rPr>
                <w:sz w:val="20"/>
                <w:szCs w:val="20"/>
                <w:lang w:val="uk-UA"/>
              </w:rPr>
              <w:t>.</w:t>
            </w:r>
          </w:p>
          <w:p w:rsidR="00EE467A" w:rsidRPr="00A511E4" w:rsidRDefault="00EE467A" w:rsidP="00A511E4">
            <w:pPr>
              <w:spacing w:before="60"/>
              <w:ind w:right="-2"/>
              <w:jc w:val="both"/>
              <w:rPr>
                <w:sz w:val="20"/>
                <w:szCs w:val="20"/>
                <w:lang w:val="uk-UA"/>
              </w:rPr>
            </w:pPr>
            <w:r w:rsidRPr="00A511E4">
              <w:rPr>
                <w:sz w:val="20"/>
                <w:szCs w:val="20"/>
                <w:lang w:val="uk-UA"/>
              </w:rPr>
              <w:t xml:space="preserve">  Пояснення розрахунку: </w:t>
            </w:r>
          </w:p>
          <w:p w:rsidR="00EE467A" w:rsidRPr="00A511E4" w:rsidRDefault="00EE467A" w:rsidP="00A511E4">
            <w:pPr>
              <w:spacing w:before="60"/>
              <w:ind w:right="-2"/>
              <w:jc w:val="both"/>
              <w:rPr>
                <w:sz w:val="20"/>
                <w:szCs w:val="20"/>
                <w:lang w:val="uk-UA"/>
              </w:rPr>
            </w:pPr>
            <w:r w:rsidRPr="00A511E4">
              <w:rPr>
                <w:sz w:val="20"/>
                <w:szCs w:val="20"/>
                <w:lang w:val="uk-UA"/>
              </w:rPr>
              <w:t xml:space="preserve">  (282254–3324)*57*19,34=307486853,4 грн.,  </w:t>
            </w:r>
            <w:r w:rsidRPr="00A511E4">
              <w:rPr>
                <w:sz w:val="20"/>
                <w:szCs w:val="20"/>
                <w:lang w:val="uk-UA"/>
              </w:rPr>
              <w:lastRenderedPageBreak/>
              <w:t>де:</w:t>
            </w:r>
          </w:p>
          <w:p w:rsidR="00EE467A" w:rsidRPr="00A511E4" w:rsidRDefault="00EE467A" w:rsidP="00A511E4">
            <w:pPr>
              <w:pStyle w:val="aa"/>
              <w:spacing w:before="60"/>
              <w:ind w:left="360" w:right="-2"/>
              <w:jc w:val="both"/>
              <w:rPr>
                <w:sz w:val="20"/>
                <w:szCs w:val="20"/>
                <w:lang w:val="uk-UA"/>
              </w:rPr>
            </w:pPr>
            <w:r w:rsidRPr="00A511E4">
              <w:rPr>
                <w:sz w:val="20"/>
                <w:szCs w:val="20"/>
                <w:lang w:val="uk-UA"/>
              </w:rPr>
              <w:t xml:space="preserve">282254 </w:t>
            </w:r>
            <w:r w:rsidR="00A511E4" w:rsidRPr="00A511E4">
              <w:rPr>
                <w:sz w:val="20"/>
                <w:szCs w:val="20"/>
                <w:lang w:val="uk-UA"/>
              </w:rPr>
              <w:t>–</w:t>
            </w:r>
            <w:r w:rsidRPr="00A511E4">
              <w:rPr>
                <w:sz w:val="20"/>
                <w:szCs w:val="20"/>
                <w:lang w:val="uk-UA"/>
              </w:rPr>
              <w:t xml:space="preserve"> кількість платників, які подали декларацію з податку на прибуток підприємств за підсумками 2016 року;</w:t>
            </w:r>
          </w:p>
          <w:p w:rsidR="00EE467A" w:rsidRPr="00A511E4" w:rsidRDefault="00EE467A" w:rsidP="00A511E4">
            <w:pPr>
              <w:pStyle w:val="aa"/>
              <w:spacing w:before="60"/>
              <w:ind w:left="360" w:right="-2"/>
              <w:jc w:val="both"/>
              <w:rPr>
                <w:sz w:val="20"/>
                <w:szCs w:val="20"/>
                <w:lang w:val="uk-UA"/>
              </w:rPr>
            </w:pPr>
            <w:r w:rsidRPr="00A511E4">
              <w:rPr>
                <w:sz w:val="20"/>
                <w:szCs w:val="20"/>
                <w:lang w:val="uk-UA"/>
              </w:rPr>
              <w:t xml:space="preserve">3324 </w:t>
            </w:r>
            <w:r w:rsidR="00A511E4" w:rsidRPr="00A511E4">
              <w:rPr>
                <w:sz w:val="20"/>
                <w:szCs w:val="20"/>
                <w:lang w:val="uk-UA"/>
              </w:rPr>
              <w:t>–</w:t>
            </w:r>
            <w:r w:rsidRPr="00A511E4">
              <w:rPr>
                <w:sz w:val="20"/>
                <w:szCs w:val="20"/>
                <w:lang w:val="uk-UA"/>
              </w:rPr>
              <w:t xml:space="preserve"> кількість суб’єктів господарювання, на яких поширюватиметься дія </w:t>
            </w:r>
            <w:proofErr w:type="spellStart"/>
            <w:r w:rsidRPr="00A511E4">
              <w:rPr>
                <w:sz w:val="20"/>
                <w:szCs w:val="20"/>
                <w:lang w:val="uk-UA"/>
              </w:rPr>
              <w:t>акта</w:t>
            </w:r>
            <w:proofErr w:type="spellEnd"/>
            <w:r w:rsidRPr="00A511E4">
              <w:rPr>
                <w:sz w:val="20"/>
                <w:szCs w:val="20"/>
                <w:lang w:val="uk-UA"/>
              </w:rPr>
              <w:t>;</w:t>
            </w:r>
          </w:p>
          <w:p w:rsidR="00EE467A" w:rsidRPr="00A511E4" w:rsidRDefault="00EE467A" w:rsidP="00A511E4">
            <w:pPr>
              <w:pStyle w:val="aa"/>
              <w:spacing w:before="60"/>
              <w:ind w:left="360" w:right="-2"/>
              <w:jc w:val="both"/>
              <w:rPr>
                <w:sz w:val="20"/>
                <w:szCs w:val="20"/>
                <w:lang w:val="uk-UA"/>
              </w:rPr>
            </w:pPr>
            <w:r w:rsidRPr="00A511E4">
              <w:rPr>
                <w:sz w:val="20"/>
                <w:szCs w:val="20"/>
                <w:lang w:val="uk-UA"/>
              </w:rPr>
              <w:t>57 –  кількість годин на складання податкової звітності з податку на прибуток,  звіт «</w:t>
            </w:r>
            <w:proofErr w:type="spellStart"/>
            <w:r w:rsidRPr="00A511E4">
              <w:rPr>
                <w:sz w:val="20"/>
                <w:szCs w:val="20"/>
                <w:lang w:val="uk-UA"/>
              </w:rPr>
              <w:t>Paying</w:t>
            </w:r>
            <w:proofErr w:type="spellEnd"/>
            <w:r w:rsidRPr="00A511E4">
              <w:rPr>
                <w:sz w:val="20"/>
                <w:szCs w:val="20"/>
                <w:lang w:val="uk-UA"/>
              </w:rPr>
              <w:t xml:space="preserve"> </w:t>
            </w:r>
            <w:proofErr w:type="spellStart"/>
            <w:r w:rsidRPr="00A511E4">
              <w:rPr>
                <w:sz w:val="20"/>
                <w:szCs w:val="20"/>
                <w:lang w:val="uk-UA"/>
              </w:rPr>
              <w:t>taxes</w:t>
            </w:r>
            <w:proofErr w:type="spellEnd"/>
            <w:r w:rsidRPr="00A511E4">
              <w:rPr>
                <w:sz w:val="20"/>
                <w:szCs w:val="20"/>
                <w:lang w:val="uk-UA"/>
              </w:rPr>
              <w:t xml:space="preserve"> 2017», табл. 73;  http://www.pwc.com/payingtaxes;</w:t>
            </w:r>
          </w:p>
          <w:p w:rsidR="00544D06" w:rsidRPr="00A511E4" w:rsidRDefault="00EE467A" w:rsidP="00A511E4">
            <w:pPr>
              <w:pStyle w:val="aa"/>
              <w:spacing w:before="60"/>
              <w:ind w:left="360" w:right="-2"/>
              <w:jc w:val="both"/>
              <w:rPr>
                <w:sz w:val="20"/>
                <w:szCs w:val="20"/>
                <w:lang w:val="uk-UA"/>
              </w:rPr>
            </w:pPr>
            <w:r w:rsidRPr="00A511E4">
              <w:rPr>
                <w:sz w:val="20"/>
                <w:szCs w:val="20"/>
                <w:lang w:val="uk-UA"/>
              </w:rPr>
              <w:t>19,34 грн</w:t>
            </w:r>
            <w:r w:rsidR="00A511E4">
              <w:rPr>
                <w:sz w:val="20"/>
                <w:szCs w:val="20"/>
                <w:lang w:val="uk-UA"/>
              </w:rPr>
              <w:t>.</w:t>
            </w:r>
            <w:r w:rsidRPr="00A511E4">
              <w:rPr>
                <w:sz w:val="20"/>
                <w:szCs w:val="20"/>
                <w:lang w:val="uk-UA"/>
              </w:rPr>
              <w:t xml:space="preserve"> </w:t>
            </w:r>
            <w:r w:rsidR="00A511E4" w:rsidRPr="00A511E4">
              <w:rPr>
                <w:sz w:val="20"/>
                <w:szCs w:val="20"/>
                <w:lang w:val="uk-UA"/>
              </w:rPr>
              <w:t>–</w:t>
            </w:r>
            <w:r w:rsidRPr="00A511E4">
              <w:rPr>
                <w:sz w:val="20"/>
                <w:szCs w:val="20"/>
                <w:lang w:val="uk-UA"/>
              </w:rPr>
              <w:t xml:space="preserve">  установлена у 2017 році  мінімальна заробітна плата у погодинному розмірі (стаття 8 Закону України «Про Державний бюджет України на 2017 рік»).</w:t>
            </w:r>
          </w:p>
          <w:p w:rsidR="004C0E56" w:rsidRPr="00A511E4" w:rsidRDefault="004C0E56" w:rsidP="00A511E4">
            <w:pPr>
              <w:spacing w:before="60"/>
              <w:ind w:right="-2" w:firstLine="34"/>
              <w:jc w:val="both"/>
              <w:rPr>
                <w:sz w:val="20"/>
                <w:szCs w:val="20"/>
                <w:lang w:val="uk-UA"/>
              </w:rPr>
            </w:pPr>
          </w:p>
          <w:p w:rsidR="0010176C" w:rsidRPr="00A511E4" w:rsidRDefault="0010176C" w:rsidP="00A511E4">
            <w:pPr>
              <w:autoSpaceDE w:val="0"/>
              <w:autoSpaceDN w:val="0"/>
              <w:adjustRightInd w:val="0"/>
              <w:spacing w:before="60"/>
              <w:ind w:left="34" w:right="-2"/>
              <w:jc w:val="both"/>
              <w:rPr>
                <w:sz w:val="20"/>
                <w:szCs w:val="20"/>
                <w:lang w:val="uk-UA"/>
              </w:rPr>
            </w:pPr>
          </w:p>
        </w:tc>
        <w:tc>
          <w:tcPr>
            <w:tcW w:w="3969" w:type="dxa"/>
          </w:tcPr>
          <w:p w:rsidR="001212D7" w:rsidRPr="00A511E4" w:rsidRDefault="001212D7" w:rsidP="00A511E4">
            <w:pPr>
              <w:spacing w:before="60"/>
              <w:ind w:right="-2" w:firstLine="217"/>
              <w:jc w:val="both"/>
              <w:rPr>
                <w:i/>
                <w:sz w:val="20"/>
                <w:szCs w:val="20"/>
                <w:lang w:val="uk-UA"/>
              </w:rPr>
            </w:pPr>
          </w:p>
          <w:p w:rsidR="0010176C" w:rsidRPr="00A511E4" w:rsidRDefault="0010176C" w:rsidP="00A511E4">
            <w:pPr>
              <w:spacing w:before="60"/>
              <w:ind w:right="-2" w:firstLine="217"/>
              <w:jc w:val="both"/>
              <w:rPr>
                <w:i/>
                <w:sz w:val="20"/>
                <w:szCs w:val="20"/>
                <w:lang w:val="uk-UA"/>
              </w:rPr>
            </w:pPr>
            <w:r w:rsidRPr="00A511E4">
              <w:rPr>
                <w:i/>
                <w:sz w:val="20"/>
                <w:szCs w:val="20"/>
                <w:lang w:val="uk-UA"/>
              </w:rPr>
              <w:t>Основні витрати платників  податку на виведений капітал будуть пов’язані із:</w:t>
            </w:r>
          </w:p>
          <w:p w:rsidR="00EE467A" w:rsidRPr="00A511E4" w:rsidRDefault="006A0B43" w:rsidP="00A511E4">
            <w:pPr>
              <w:pStyle w:val="aa"/>
              <w:numPr>
                <w:ilvl w:val="0"/>
                <w:numId w:val="34"/>
              </w:numPr>
              <w:spacing w:before="60"/>
              <w:ind w:left="34" w:right="-2" w:firstLine="0"/>
              <w:jc w:val="both"/>
              <w:rPr>
                <w:rFonts w:eastAsia="Calibri"/>
                <w:sz w:val="20"/>
                <w:szCs w:val="20"/>
                <w:lang w:val="uk-UA"/>
              </w:rPr>
            </w:pPr>
            <w:r w:rsidRPr="00A511E4">
              <w:rPr>
                <w:rFonts w:eastAsia="Calibri"/>
                <w:sz w:val="20"/>
                <w:szCs w:val="20"/>
                <w:lang w:val="uk-UA"/>
              </w:rPr>
              <w:t>нарахуванням та сплатою податку п</w:t>
            </w:r>
            <w:r w:rsidR="008E1006" w:rsidRPr="00A511E4">
              <w:rPr>
                <w:rFonts w:eastAsia="Calibri"/>
                <w:sz w:val="20"/>
                <w:szCs w:val="20"/>
                <w:lang w:val="uk-UA"/>
              </w:rPr>
              <w:t>ід час</w:t>
            </w:r>
            <w:r w:rsidRPr="00A511E4">
              <w:rPr>
                <w:rFonts w:eastAsia="Calibri"/>
                <w:sz w:val="20"/>
                <w:szCs w:val="20"/>
                <w:lang w:val="uk-UA"/>
              </w:rPr>
              <w:t xml:space="preserve"> здійсненн</w:t>
            </w:r>
            <w:r w:rsidR="008E1006" w:rsidRPr="00A511E4">
              <w:rPr>
                <w:rFonts w:eastAsia="Calibri"/>
                <w:sz w:val="20"/>
                <w:szCs w:val="20"/>
                <w:lang w:val="uk-UA"/>
              </w:rPr>
              <w:t>я</w:t>
            </w:r>
            <w:r w:rsidRPr="00A511E4">
              <w:rPr>
                <w:rFonts w:eastAsia="Calibri"/>
                <w:sz w:val="20"/>
                <w:szCs w:val="20"/>
                <w:lang w:val="uk-UA"/>
              </w:rPr>
              <w:t xml:space="preserve"> операцій, що є об’єктом оподаткування</w:t>
            </w:r>
            <w:r w:rsidR="00BA5210" w:rsidRPr="00A511E4">
              <w:rPr>
                <w:rFonts w:eastAsia="Calibri"/>
                <w:sz w:val="20"/>
                <w:szCs w:val="20"/>
                <w:lang w:val="uk-UA"/>
              </w:rPr>
              <w:t xml:space="preserve">. </w:t>
            </w:r>
          </w:p>
          <w:p w:rsidR="00EE467A" w:rsidRPr="00A511E4" w:rsidRDefault="00A511E4" w:rsidP="00A511E4">
            <w:pPr>
              <w:pStyle w:val="a3"/>
              <w:spacing w:before="60" w:beforeAutospacing="0" w:after="0" w:afterAutospacing="0"/>
              <w:ind w:left="34" w:right="-2"/>
              <w:jc w:val="both"/>
              <w:rPr>
                <w:rFonts w:eastAsia="Calibri"/>
                <w:sz w:val="20"/>
                <w:szCs w:val="20"/>
                <w:lang w:val="uk-UA"/>
              </w:rPr>
            </w:pPr>
            <w:r w:rsidRPr="00A511E4">
              <w:rPr>
                <w:rFonts w:eastAsia="Calibri"/>
                <w:sz w:val="20"/>
                <w:szCs w:val="20"/>
                <w:lang w:val="uk-UA"/>
              </w:rPr>
              <w:t xml:space="preserve">        </w:t>
            </w:r>
            <w:r w:rsidR="00EE467A" w:rsidRPr="00A511E4">
              <w:rPr>
                <w:rFonts w:eastAsia="Calibri"/>
                <w:sz w:val="20"/>
                <w:szCs w:val="20"/>
                <w:lang w:val="uk-UA"/>
              </w:rPr>
              <w:t>Відповідно до попередніх розрахунків Міністерства фінансів України, сума податку на виведений капітал та прирівняні до виведення капіталу платежі  (в умовах розрахунку на базі 2016 року) становить 25,1 млрд. грн.  Прогнозні надходження з цього податку у 2018 році – 32,5 млрд. гривень</w:t>
            </w:r>
            <w:r w:rsidR="007F50C3" w:rsidRPr="00A511E4">
              <w:rPr>
                <w:rFonts w:eastAsia="Calibri"/>
                <w:sz w:val="20"/>
                <w:szCs w:val="20"/>
                <w:lang w:val="uk-UA"/>
              </w:rPr>
              <w:t>.</w:t>
            </w:r>
          </w:p>
          <w:p w:rsidR="006A0B43" w:rsidRPr="00A511E4" w:rsidRDefault="00520637" w:rsidP="00A511E4">
            <w:pPr>
              <w:pStyle w:val="a3"/>
              <w:spacing w:before="60" w:beforeAutospacing="0" w:after="0" w:afterAutospacing="0"/>
              <w:ind w:left="34" w:right="-2"/>
              <w:jc w:val="both"/>
              <w:rPr>
                <w:rFonts w:eastAsia="Calibri"/>
                <w:sz w:val="20"/>
                <w:szCs w:val="20"/>
                <w:lang w:val="uk-UA"/>
              </w:rPr>
            </w:pPr>
            <w:r w:rsidRPr="00A511E4">
              <w:rPr>
                <w:sz w:val="20"/>
                <w:szCs w:val="20"/>
                <w:lang w:val="uk-UA"/>
              </w:rPr>
              <w:t xml:space="preserve">2) </w:t>
            </w:r>
            <w:r w:rsidR="006A0B43" w:rsidRPr="00A511E4">
              <w:rPr>
                <w:sz w:val="20"/>
                <w:szCs w:val="20"/>
                <w:lang w:val="uk-UA"/>
              </w:rPr>
              <w:t>веденням</w:t>
            </w:r>
            <w:r w:rsidR="00544D06" w:rsidRPr="00A511E4">
              <w:rPr>
                <w:sz w:val="20"/>
                <w:szCs w:val="20"/>
                <w:lang w:val="uk-UA"/>
              </w:rPr>
              <w:t xml:space="preserve"> аналітичного</w:t>
            </w:r>
            <w:r w:rsidR="006A0B43" w:rsidRPr="00A511E4">
              <w:rPr>
                <w:sz w:val="20"/>
                <w:szCs w:val="20"/>
                <w:lang w:val="uk-UA"/>
              </w:rPr>
              <w:t xml:space="preserve"> обліку операцій з виведення капіталу (прирівняних о</w:t>
            </w:r>
            <w:r w:rsidR="006A0B43" w:rsidRPr="00A511E4">
              <w:rPr>
                <w:rFonts w:eastAsia="Calibri"/>
                <w:sz w:val="20"/>
                <w:szCs w:val="20"/>
                <w:lang w:val="uk-UA"/>
              </w:rPr>
              <w:t>перацій);</w:t>
            </w:r>
          </w:p>
          <w:p w:rsidR="006A0B43" w:rsidRPr="00A511E4" w:rsidRDefault="00520637" w:rsidP="00A511E4">
            <w:pPr>
              <w:pStyle w:val="a3"/>
              <w:spacing w:before="60" w:beforeAutospacing="0" w:after="0" w:afterAutospacing="0"/>
              <w:ind w:left="34" w:right="-2"/>
              <w:jc w:val="both"/>
              <w:rPr>
                <w:sz w:val="20"/>
                <w:szCs w:val="20"/>
                <w:lang w:val="uk-UA"/>
              </w:rPr>
            </w:pPr>
            <w:r w:rsidRPr="00A511E4">
              <w:rPr>
                <w:rFonts w:eastAsia="Calibri"/>
                <w:sz w:val="20"/>
                <w:szCs w:val="20"/>
                <w:lang w:val="uk-UA"/>
              </w:rPr>
              <w:t xml:space="preserve">3) </w:t>
            </w:r>
            <w:r w:rsidR="006A0B43" w:rsidRPr="00A511E4">
              <w:rPr>
                <w:rFonts w:eastAsia="Calibri"/>
                <w:sz w:val="20"/>
                <w:szCs w:val="20"/>
                <w:lang w:val="uk-UA"/>
              </w:rPr>
              <w:t xml:space="preserve">складанням </w:t>
            </w:r>
            <w:r w:rsidR="00B27353" w:rsidRPr="00A511E4">
              <w:rPr>
                <w:rFonts w:eastAsia="Calibri"/>
                <w:sz w:val="20"/>
                <w:szCs w:val="20"/>
                <w:lang w:val="uk-UA"/>
              </w:rPr>
              <w:t xml:space="preserve">та поданням податкової </w:t>
            </w:r>
            <w:r w:rsidR="006A0B43" w:rsidRPr="00A511E4">
              <w:rPr>
                <w:rFonts w:eastAsia="Calibri"/>
                <w:sz w:val="20"/>
                <w:szCs w:val="20"/>
                <w:lang w:val="uk-UA"/>
              </w:rPr>
              <w:t>звітності</w:t>
            </w:r>
            <w:r w:rsidR="00B27353" w:rsidRPr="00A511E4">
              <w:rPr>
                <w:rFonts w:eastAsia="Calibri"/>
                <w:sz w:val="20"/>
                <w:szCs w:val="20"/>
                <w:lang w:val="uk-UA"/>
              </w:rPr>
              <w:t xml:space="preserve"> щодо</w:t>
            </w:r>
            <w:r w:rsidR="006A0B43" w:rsidRPr="00A511E4">
              <w:rPr>
                <w:rFonts w:eastAsia="Calibri"/>
                <w:sz w:val="20"/>
                <w:szCs w:val="20"/>
                <w:lang w:val="uk-UA"/>
              </w:rPr>
              <w:t xml:space="preserve"> обчислення і сплати податку</w:t>
            </w:r>
            <w:r w:rsidR="00B27353" w:rsidRPr="00A511E4">
              <w:rPr>
                <w:rFonts w:eastAsia="Calibri"/>
                <w:sz w:val="20"/>
                <w:szCs w:val="20"/>
                <w:lang w:val="uk-UA"/>
              </w:rPr>
              <w:t xml:space="preserve">, яка </w:t>
            </w:r>
            <w:proofErr w:type="spellStart"/>
            <w:r w:rsidR="008E1006" w:rsidRPr="00A511E4">
              <w:rPr>
                <w:rFonts w:eastAsia="Calibri"/>
                <w:sz w:val="20"/>
                <w:szCs w:val="20"/>
                <w:lang w:val="uk-UA"/>
              </w:rPr>
              <w:t>ск</w:t>
            </w:r>
            <w:r w:rsidR="00545E7E" w:rsidRPr="00A511E4">
              <w:rPr>
                <w:rFonts w:eastAsia="Calibri"/>
                <w:sz w:val="20"/>
                <w:szCs w:val="20"/>
                <w:lang w:val="uk-UA"/>
              </w:rPr>
              <w:t>л</w:t>
            </w:r>
            <w:r w:rsidR="008E1006" w:rsidRPr="00A511E4">
              <w:rPr>
                <w:rFonts w:eastAsia="Calibri"/>
                <w:sz w:val="20"/>
                <w:szCs w:val="20"/>
                <w:lang w:val="uk-UA"/>
              </w:rPr>
              <w:t>адатиметься</w:t>
            </w:r>
            <w:proofErr w:type="spellEnd"/>
            <w:r w:rsidR="00B27353" w:rsidRPr="00A511E4">
              <w:rPr>
                <w:rFonts w:eastAsia="Calibri"/>
                <w:sz w:val="20"/>
                <w:szCs w:val="20"/>
                <w:lang w:val="uk-UA"/>
              </w:rPr>
              <w:t xml:space="preserve"> за окремим порядком</w:t>
            </w:r>
            <w:r w:rsidR="006A0B43" w:rsidRPr="00A511E4">
              <w:rPr>
                <w:sz w:val="20"/>
                <w:szCs w:val="20"/>
                <w:lang w:val="uk-UA"/>
              </w:rPr>
              <w:t>;</w:t>
            </w:r>
          </w:p>
          <w:p w:rsidR="006A0B43" w:rsidRPr="00A511E4" w:rsidRDefault="00520637" w:rsidP="00A511E4">
            <w:pPr>
              <w:pStyle w:val="a3"/>
              <w:spacing w:before="60" w:beforeAutospacing="0" w:after="0" w:afterAutospacing="0"/>
              <w:ind w:left="34" w:right="-2"/>
              <w:jc w:val="both"/>
              <w:rPr>
                <w:sz w:val="20"/>
                <w:szCs w:val="20"/>
                <w:lang w:val="uk-UA"/>
              </w:rPr>
            </w:pPr>
            <w:r w:rsidRPr="00A511E4">
              <w:rPr>
                <w:sz w:val="20"/>
                <w:szCs w:val="20"/>
                <w:lang w:val="uk-UA"/>
              </w:rPr>
              <w:t>4</w:t>
            </w:r>
            <w:r w:rsidR="004F0EFD" w:rsidRPr="00A511E4">
              <w:rPr>
                <w:sz w:val="20"/>
                <w:szCs w:val="20"/>
                <w:lang w:val="uk-UA"/>
              </w:rPr>
              <w:t xml:space="preserve">) </w:t>
            </w:r>
            <w:r w:rsidR="006A0B43" w:rsidRPr="00A511E4">
              <w:rPr>
                <w:sz w:val="20"/>
                <w:szCs w:val="20"/>
                <w:lang w:val="uk-UA"/>
              </w:rPr>
              <w:t>сплатою податку у ви</w:t>
            </w:r>
            <w:r w:rsidR="00B27353" w:rsidRPr="00A511E4">
              <w:rPr>
                <w:sz w:val="20"/>
                <w:szCs w:val="20"/>
                <w:lang w:val="uk-UA"/>
              </w:rPr>
              <w:t>значені строки та  у встановлених</w:t>
            </w:r>
            <w:r w:rsidR="006A0B43" w:rsidRPr="00A511E4">
              <w:rPr>
                <w:sz w:val="20"/>
                <w:szCs w:val="20"/>
                <w:lang w:val="uk-UA"/>
              </w:rPr>
              <w:t xml:space="preserve"> розмірах;</w:t>
            </w:r>
          </w:p>
          <w:p w:rsidR="006A0B43" w:rsidRPr="00A511E4" w:rsidRDefault="00520637" w:rsidP="00A511E4">
            <w:pPr>
              <w:pStyle w:val="a3"/>
              <w:spacing w:before="60" w:beforeAutospacing="0" w:after="0" w:afterAutospacing="0"/>
              <w:ind w:right="-2" w:firstLine="34"/>
              <w:jc w:val="both"/>
              <w:rPr>
                <w:sz w:val="20"/>
                <w:szCs w:val="20"/>
                <w:lang w:val="uk-UA"/>
              </w:rPr>
            </w:pPr>
            <w:r w:rsidRPr="00A511E4">
              <w:rPr>
                <w:sz w:val="20"/>
                <w:szCs w:val="20"/>
                <w:lang w:val="uk-UA"/>
              </w:rPr>
              <w:t>5</w:t>
            </w:r>
            <w:r w:rsidR="001041AD" w:rsidRPr="00A511E4">
              <w:rPr>
                <w:sz w:val="20"/>
                <w:szCs w:val="20"/>
                <w:lang w:val="uk-UA"/>
              </w:rPr>
              <w:t>)</w:t>
            </w:r>
            <w:r w:rsidR="006A0B43" w:rsidRPr="00A511E4">
              <w:rPr>
                <w:sz w:val="20"/>
                <w:szCs w:val="20"/>
                <w:lang w:val="uk-UA"/>
              </w:rPr>
              <w:t xml:space="preserve"> </w:t>
            </w:r>
            <w:r w:rsidR="00B27353" w:rsidRPr="00A511E4">
              <w:rPr>
                <w:sz w:val="20"/>
                <w:szCs w:val="20"/>
                <w:lang w:val="uk-UA"/>
              </w:rPr>
              <w:t>додавання</w:t>
            </w:r>
            <w:r w:rsidR="00DE1376" w:rsidRPr="00A511E4">
              <w:rPr>
                <w:sz w:val="20"/>
                <w:szCs w:val="20"/>
                <w:lang w:val="uk-UA"/>
              </w:rPr>
              <w:t>м</w:t>
            </w:r>
            <w:r w:rsidR="006A0B43" w:rsidRPr="00A511E4">
              <w:rPr>
                <w:sz w:val="20"/>
                <w:szCs w:val="20"/>
                <w:lang w:val="uk-UA"/>
              </w:rPr>
              <w:t xml:space="preserve"> документів з обліку</w:t>
            </w:r>
            <w:r w:rsidR="00B27353" w:rsidRPr="00A511E4">
              <w:rPr>
                <w:sz w:val="20"/>
                <w:szCs w:val="20"/>
                <w:lang w:val="uk-UA"/>
              </w:rPr>
              <w:t xml:space="preserve"> до податкової декларації</w:t>
            </w:r>
            <w:r w:rsidR="006A0B43" w:rsidRPr="00A511E4">
              <w:rPr>
                <w:sz w:val="20"/>
                <w:szCs w:val="20"/>
                <w:lang w:val="uk-UA"/>
              </w:rPr>
              <w:t xml:space="preserve"> </w:t>
            </w:r>
            <w:r w:rsidR="00B27353" w:rsidRPr="00A511E4">
              <w:rPr>
                <w:sz w:val="20"/>
                <w:szCs w:val="20"/>
                <w:lang w:val="uk-UA"/>
              </w:rPr>
              <w:t xml:space="preserve">при виникненні </w:t>
            </w:r>
            <w:r w:rsidR="006A0B43" w:rsidRPr="00A511E4">
              <w:rPr>
                <w:sz w:val="20"/>
                <w:szCs w:val="20"/>
                <w:lang w:val="uk-UA"/>
              </w:rPr>
              <w:t xml:space="preserve">доходів, витрат, </w:t>
            </w:r>
            <w:r w:rsidR="00B27353" w:rsidRPr="00A511E4">
              <w:rPr>
                <w:sz w:val="20"/>
                <w:szCs w:val="20"/>
                <w:lang w:val="uk-UA"/>
              </w:rPr>
              <w:t xml:space="preserve">фінансової звітності, </w:t>
            </w:r>
            <w:r w:rsidR="006A0B43" w:rsidRPr="00A511E4">
              <w:rPr>
                <w:sz w:val="20"/>
                <w:szCs w:val="20"/>
                <w:lang w:val="uk-UA"/>
              </w:rPr>
              <w:lastRenderedPageBreak/>
              <w:t xml:space="preserve">інших </w:t>
            </w:r>
            <w:r w:rsidR="00B27353" w:rsidRPr="00A511E4">
              <w:rPr>
                <w:sz w:val="20"/>
                <w:szCs w:val="20"/>
                <w:lang w:val="uk-UA"/>
              </w:rPr>
              <w:t xml:space="preserve">документів для підтвердження </w:t>
            </w:r>
            <w:r w:rsidR="006A0B43" w:rsidRPr="00A511E4">
              <w:rPr>
                <w:sz w:val="20"/>
                <w:szCs w:val="20"/>
                <w:lang w:val="uk-UA"/>
              </w:rPr>
              <w:t xml:space="preserve">показників, пов’язаних із </w:t>
            </w:r>
            <w:r w:rsidR="00B27353" w:rsidRPr="00A511E4">
              <w:rPr>
                <w:sz w:val="20"/>
                <w:szCs w:val="20"/>
                <w:lang w:val="uk-UA"/>
              </w:rPr>
              <w:t>виникненням</w:t>
            </w:r>
            <w:r w:rsidR="006A0B43" w:rsidRPr="00A511E4">
              <w:rPr>
                <w:sz w:val="20"/>
                <w:szCs w:val="20"/>
                <w:lang w:val="uk-UA"/>
              </w:rPr>
              <w:t xml:space="preserve"> об’єкт</w:t>
            </w:r>
            <w:r w:rsidRPr="00A511E4">
              <w:rPr>
                <w:sz w:val="20"/>
                <w:szCs w:val="20"/>
                <w:lang w:val="uk-UA"/>
              </w:rPr>
              <w:t>а</w:t>
            </w:r>
            <w:r w:rsidR="006A0B43" w:rsidRPr="00A511E4">
              <w:rPr>
                <w:sz w:val="20"/>
                <w:szCs w:val="20"/>
                <w:lang w:val="uk-UA"/>
              </w:rPr>
              <w:t xml:space="preserve"> оподаткування;   </w:t>
            </w:r>
          </w:p>
          <w:p w:rsidR="006A0B43" w:rsidRPr="00A511E4" w:rsidRDefault="00520637" w:rsidP="00A511E4">
            <w:pPr>
              <w:spacing w:before="60"/>
              <w:ind w:right="-2"/>
              <w:jc w:val="both"/>
              <w:rPr>
                <w:rFonts w:eastAsia="Calibri"/>
                <w:strike/>
                <w:sz w:val="20"/>
                <w:szCs w:val="20"/>
                <w:lang w:val="uk-UA"/>
              </w:rPr>
            </w:pPr>
            <w:r w:rsidRPr="00A511E4">
              <w:rPr>
                <w:rFonts w:eastAsia="Calibri"/>
                <w:sz w:val="20"/>
                <w:szCs w:val="20"/>
                <w:lang w:val="uk-UA"/>
              </w:rPr>
              <w:t>6</w:t>
            </w:r>
            <w:r w:rsidR="001041AD" w:rsidRPr="00A511E4">
              <w:rPr>
                <w:rFonts w:eastAsia="Calibri"/>
                <w:sz w:val="20"/>
                <w:szCs w:val="20"/>
                <w:lang w:val="uk-UA"/>
              </w:rPr>
              <w:t>)</w:t>
            </w:r>
            <w:r w:rsidR="006A0B43" w:rsidRPr="00A511E4">
              <w:rPr>
                <w:rFonts w:eastAsia="Calibri"/>
                <w:sz w:val="20"/>
                <w:szCs w:val="20"/>
                <w:lang w:val="uk-UA"/>
              </w:rPr>
              <w:t xml:space="preserve"> визначення</w:t>
            </w:r>
            <w:r w:rsidRPr="00A511E4">
              <w:rPr>
                <w:rFonts w:eastAsia="Calibri"/>
                <w:sz w:val="20"/>
                <w:szCs w:val="20"/>
                <w:lang w:val="uk-UA"/>
              </w:rPr>
              <w:t>м</w:t>
            </w:r>
            <w:r w:rsidR="006A0B43" w:rsidRPr="00A511E4">
              <w:rPr>
                <w:rFonts w:eastAsia="Calibri"/>
                <w:sz w:val="20"/>
                <w:szCs w:val="20"/>
                <w:lang w:val="uk-UA"/>
              </w:rPr>
              <w:t xml:space="preserve"> бази оподаткування в разі здійснення операцій з виведення капіталу;</w:t>
            </w:r>
          </w:p>
          <w:p w:rsidR="006A0B43" w:rsidRPr="00A511E4" w:rsidRDefault="00520637" w:rsidP="00A511E4">
            <w:pPr>
              <w:spacing w:before="60"/>
              <w:ind w:right="-2" w:firstLine="34"/>
              <w:jc w:val="both"/>
              <w:rPr>
                <w:rFonts w:eastAsia="Calibri"/>
                <w:sz w:val="20"/>
                <w:szCs w:val="20"/>
                <w:lang w:val="uk-UA"/>
              </w:rPr>
            </w:pPr>
            <w:r w:rsidRPr="00A511E4">
              <w:rPr>
                <w:rFonts w:eastAsia="Calibri"/>
                <w:sz w:val="20"/>
                <w:szCs w:val="20"/>
                <w:lang w:val="uk-UA"/>
              </w:rPr>
              <w:t>7</w:t>
            </w:r>
            <w:r w:rsidR="001041AD" w:rsidRPr="00A511E4">
              <w:rPr>
                <w:rFonts w:eastAsia="Calibri"/>
                <w:sz w:val="20"/>
                <w:szCs w:val="20"/>
                <w:lang w:val="uk-UA"/>
              </w:rPr>
              <w:t>)</w:t>
            </w:r>
            <w:r w:rsidR="006A0B43" w:rsidRPr="00A511E4">
              <w:rPr>
                <w:rFonts w:eastAsia="Calibri"/>
                <w:sz w:val="20"/>
                <w:szCs w:val="20"/>
                <w:lang w:val="uk-UA"/>
              </w:rPr>
              <w:t xml:space="preserve"> визначення</w:t>
            </w:r>
            <w:r w:rsidRPr="00A511E4">
              <w:rPr>
                <w:rFonts w:eastAsia="Calibri"/>
                <w:sz w:val="20"/>
                <w:szCs w:val="20"/>
                <w:lang w:val="uk-UA"/>
              </w:rPr>
              <w:t>м</w:t>
            </w:r>
            <w:r w:rsidR="006A0B43" w:rsidRPr="00A511E4">
              <w:rPr>
                <w:rFonts w:eastAsia="Calibri"/>
                <w:sz w:val="20"/>
                <w:szCs w:val="20"/>
                <w:lang w:val="uk-UA"/>
              </w:rPr>
              <w:t xml:space="preserve"> бази оподаткування в разі здійснення операцій з виплати прирівняних до виведеного капіталу платежів;</w:t>
            </w:r>
          </w:p>
          <w:p w:rsidR="000D74CB" w:rsidRPr="00A511E4" w:rsidRDefault="00520637" w:rsidP="00A511E4">
            <w:pPr>
              <w:spacing w:before="60"/>
              <w:ind w:right="-2"/>
              <w:jc w:val="both"/>
              <w:rPr>
                <w:rFonts w:eastAsia="Calibri"/>
                <w:sz w:val="20"/>
                <w:szCs w:val="20"/>
                <w:lang w:val="uk-UA"/>
              </w:rPr>
            </w:pPr>
            <w:r w:rsidRPr="00A511E4">
              <w:rPr>
                <w:rFonts w:eastAsia="Calibri"/>
                <w:sz w:val="20"/>
                <w:szCs w:val="20"/>
                <w:lang w:val="uk-UA"/>
              </w:rPr>
              <w:t>8</w:t>
            </w:r>
            <w:r w:rsidR="001041AD" w:rsidRPr="00A511E4">
              <w:rPr>
                <w:rFonts w:eastAsia="Calibri"/>
                <w:sz w:val="20"/>
                <w:szCs w:val="20"/>
                <w:lang w:val="uk-UA"/>
              </w:rPr>
              <w:t>)</w:t>
            </w:r>
            <w:r w:rsidR="006A0B43" w:rsidRPr="00A511E4">
              <w:rPr>
                <w:rFonts w:eastAsia="Calibri"/>
                <w:sz w:val="20"/>
                <w:szCs w:val="20"/>
                <w:lang w:val="uk-UA"/>
              </w:rPr>
              <w:t xml:space="preserve"> визначення</w:t>
            </w:r>
            <w:r w:rsidR="00562061" w:rsidRPr="00A511E4">
              <w:rPr>
                <w:rFonts w:eastAsia="Calibri"/>
                <w:sz w:val="20"/>
                <w:szCs w:val="20"/>
                <w:lang w:val="uk-UA"/>
              </w:rPr>
              <w:t>м</w:t>
            </w:r>
            <w:r w:rsidR="006A0B43" w:rsidRPr="00A511E4">
              <w:rPr>
                <w:rFonts w:eastAsia="Calibri"/>
                <w:sz w:val="20"/>
                <w:szCs w:val="20"/>
                <w:lang w:val="uk-UA"/>
              </w:rPr>
              <w:t xml:space="preserve"> бази оподаткування в разі здійснення операцій, прирівняних до виведення капіталу, якщо їх умови не відповідають принципу “витягнутої руки”</w:t>
            </w:r>
            <w:r w:rsidR="00F434A6" w:rsidRPr="00A511E4">
              <w:rPr>
                <w:rFonts w:eastAsia="Calibri"/>
                <w:sz w:val="20"/>
                <w:szCs w:val="20"/>
                <w:lang w:val="uk-UA"/>
              </w:rPr>
              <w:t>;</w:t>
            </w:r>
          </w:p>
          <w:p w:rsidR="0010176C" w:rsidRPr="00A511E4" w:rsidRDefault="00520637" w:rsidP="00A511E4">
            <w:pPr>
              <w:spacing w:before="60"/>
              <w:ind w:right="-2"/>
              <w:jc w:val="both"/>
              <w:rPr>
                <w:sz w:val="20"/>
                <w:szCs w:val="20"/>
              </w:rPr>
            </w:pPr>
            <w:r w:rsidRPr="00A511E4">
              <w:rPr>
                <w:sz w:val="20"/>
                <w:szCs w:val="20"/>
                <w:lang w:val="uk-UA"/>
              </w:rPr>
              <w:t>9</w:t>
            </w:r>
            <w:r w:rsidR="0052356E" w:rsidRPr="00A511E4">
              <w:rPr>
                <w:sz w:val="20"/>
                <w:szCs w:val="20"/>
                <w:lang w:val="uk-UA"/>
              </w:rPr>
              <w:t>) втрат</w:t>
            </w:r>
            <w:r w:rsidRPr="00A511E4">
              <w:rPr>
                <w:sz w:val="20"/>
                <w:szCs w:val="20"/>
                <w:lang w:val="uk-UA"/>
              </w:rPr>
              <w:t>ою</w:t>
            </w:r>
            <w:r w:rsidR="0052356E" w:rsidRPr="00A511E4">
              <w:rPr>
                <w:sz w:val="20"/>
                <w:szCs w:val="20"/>
                <w:lang w:val="uk-UA"/>
              </w:rPr>
              <w:t xml:space="preserve"> права на подальше врахування податкових збитків</w:t>
            </w:r>
            <w:r w:rsidR="00EE467A" w:rsidRPr="00A511E4">
              <w:rPr>
                <w:sz w:val="20"/>
                <w:szCs w:val="20"/>
                <w:lang w:val="uk-UA"/>
              </w:rPr>
              <w:t>. За наслідками 2016 року сума накопичених збитків платників податків (сума від’ємного значення об’єкта оподаткування минулих податкових (звітних) років) становить  1 трлн. гр</w:t>
            </w:r>
            <w:r w:rsidR="00A511E4">
              <w:rPr>
                <w:sz w:val="20"/>
                <w:szCs w:val="20"/>
                <w:lang w:val="uk-UA"/>
              </w:rPr>
              <w:t>ивень</w:t>
            </w:r>
            <w:r w:rsidR="00F434A6" w:rsidRPr="00A511E4">
              <w:rPr>
                <w:sz w:val="20"/>
                <w:szCs w:val="20"/>
                <w:lang w:val="uk-UA"/>
              </w:rPr>
              <w:t>.</w:t>
            </w:r>
          </w:p>
          <w:p w:rsidR="001212D7" w:rsidRPr="00A511E4" w:rsidRDefault="001212D7" w:rsidP="00A511E4">
            <w:pPr>
              <w:spacing w:before="60"/>
              <w:ind w:right="-2"/>
              <w:jc w:val="both"/>
              <w:rPr>
                <w:sz w:val="20"/>
                <w:szCs w:val="20"/>
                <w:lang w:val="uk-UA"/>
              </w:rPr>
            </w:pPr>
          </w:p>
        </w:tc>
      </w:tr>
      <w:tr w:rsidR="0004000E" w:rsidRPr="001212D7" w:rsidTr="0004000E">
        <w:tc>
          <w:tcPr>
            <w:tcW w:w="1843" w:type="dxa"/>
          </w:tcPr>
          <w:p w:rsidR="0010176C" w:rsidRPr="001212D7" w:rsidRDefault="0010176C" w:rsidP="0004000E">
            <w:pPr>
              <w:ind w:right="-2"/>
              <w:rPr>
                <w:sz w:val="20"/>
                <w:szCs w:val="20"/>
                <w:lang w:val="uk-UA"/>
              </w:rPr>
            </w:pPr>
          </w:p>
          <w:p w:rsidR="0010176C" w:rsidRPr="001212D7" w:rsidRDefault="0010176C" w:rsidP="0004000E">
            <w:pPr>
              <w:ind w:right="-2"/>
              <w:rPr>
                <w:sz w:val="20"/>
                <w:szCs w:val="20"/>
                <w:lang w:val="uk-UA"/>
              </w:rPr>
            </w:pPr>
            <w:r w:rsidRPr="001212D7">
              <w:rPr>
                <w:sz w:val="20"/>
                <w:szCs w:val="20"/>
                <w:lang w:val="uk-UA"/>
              </w:rPr>
              <w:t>Альтернатива 2</w:t>
            </w:r>
          </w:p>
        </w:tc>
        <w:tc>
          <w:tcPr>
            <w:tcW w:w="4111" w:type="dxa"/>
          </w:tcPr>
          <w:p w:rsidR="006D1709" w:rsidRPr="001212D7" w:rsidRDefault="00553F10" w:rsidP="0004000E">
            <w:pPr>
              <w:ind w:right="-2"/>
              <w:jc w:val="both"/>
              <w:rPr>
                <w:sz w:val="20"/>
                <w:szCs w:val="20"/>
                <w:lang w:val="uk-UA"/>
              </w:rPr>
            </w:pPr>
            <w:r w:rsidRPr="001212D7">
              <w:rPr>
                <w:sz w:val="20"/>
                <w:szCs w:val="20"/>
                <w:lang w:val="uk-UA"/>
              </w:rPr>
              <w:t xml:space="preserve">1) </w:t>
            </w:r>
            <w:r w:rsidR="008E1006" w:rsidRPr="001212D7">
              <w:rPr>
                <w:sz w:val="20"/>
                <w:szCs w:val="20"/>
                <w:lang w:val="uk-UA"/>
              </w:rPr>
              <w:t>залишення без змін</w:t>
            </w:r>
            <w:r w:rsidR="006D1709" w:rsidRPr="001212D7">
              <w:rPr>
                <w:sz w:val="20"/>
                <w:szCs w:val="20"/>
                <w:lang w:val="uk-UA"/>
              </w:rPr>
              <w:t xml:space="preserve"> існуючої моделі оподаткування податком на прибуток підприємств;</w:t>
            </w:r>
          </w:p>
          <w:p w:rsidR="005A565F" w:rsidRPr="001212D7" w:rsidRDefault="00544D06" w:rsidP="0004000E">
            <w:pPr>
              <w:autoSpaceDE w:val="0"/>
              <w:autoSpaceDN w:val="0"/>
              <w:adjustRightInd w:val="0"/>
              <w:ind w:right="-2"/>
              <w:jc w:val="both"/>
              <w:rPr>
                <w:sz w:val="20"/>
                <w:szCs w:val="20"/>
                <w:lang w:val="uk-UA"/>
              </w:rPr>
            </w:pPr>
            <w:r w:rsidRPr="001212D7">
              <w:rPr>
                <w:sz w:val="20"/>
                <w:szCs w:val="20"/>
                <w:lang w:val="uk-UA"/>
              </w:rPr>
              <w:t xml:space="preserve">2) </w:t>
            </w:r>
            <w:r w:rsidR="005A565F" w:rsidRPr="001212D7">
              <w:rPr>
                <w:sz w:val="20"/>
                <w:szCs w:val="20"/>
                <w:lang w:val="uk-UA"/>
              </w:rPr>
              <w:t xml:space="preserve">відсутність необхідності ведення окремого податкового обліку для </w:t>
            </w:r>
            <w:r w:rsidR="008E1006" w:rsidRPr="001212D7">
              <w:rPr>
                <w:sz w:val="20"/>
                <w:szCs w:val="20"/>
                <w:lang w:val="uk-UA"/>
              </w:rPr>
              <w:t>більшості</w:t>
            </w:r>
            <w:r w:rsidR="005A565F" w:rsidRPr="001212D7">
              <w:rPr>
                <w:sz w:val="20"/>
                <w:szCs w:val="20"/>
                <w:lang w:val="uk-UA"/>
              </w:rPr>
              <w:t xml:space="preserve"> компаній</w:t>
            </w:r>
            <w:r w:rsidR="004C03A4" w:rsidRPr="001212D7">
              <w:rPr>
                <w:sz w:val="20"/>
                <w:szCs w:val="20"/>
                <w:lang w:val="uk-UA"/>
              </w:rPr>
              <w:t xml:space="preserve">, оскільки </w:t>
            </w:r>
            <w:r w:rsidR="005A565F" w:rsidRPr="001212D7">
              <w:rPr>
                <w:sz w:val="20"/>
                <w:szCs w:val="20"/>
                <w:lang w:val="uk-UA"/>
              </w:rPr>
              <w:t xml:space="preserve">ведення податкових різниць </w:t>
            </w:r>
            <w:r w:rsidR="00716A64" w:rsidRPr="001212D7">
              <w:rPr>
                <w:sz w:val="20"/>
                <w:szCs w:val="20"/>
                <w:lang w:val="uk-UA"/>
              </w:rPr>
              <w:t xml:space="preserve">передбачено </w:t>
            </w:r>
            <w:r w:rsidR="005A565F" w:rsidRPr="001212D7">
              <w:rPr>
                <w:sz w:val="20"/>
                <w:szCs w:val="20"/>
                <w:lang w:val="uk-UA"/>
              </w:rPr>
              <w:t xml:space="preserve">виключно для великого бізнесу </w:t>
            </w:r>
            <w:r w:rsidR="004C03A4" w:rsidRPr="001212D7">
              <w:rPr>
                <w:sz w:val="20"/>
                <w:szCs w:val="20"/>
                <w:lang w:val="uk-UA"/>
              </w:rPr>
              <w:t>(5</w:t>
            </w:r>
            <w:r w:rsidR="00520637" w:rsidRPr="001212D7">
              <w:rPr>
                <w:sz w:val="20"/>
                <w:szCs w:val="20"/>
                <w:lang w:val="uk-UA"/>
              </w:rPr>
              <w:t xml:space="preserve"> відс</w:t>
            </w:r>
            <w:r w:rsidR="00A511E4">
              <w:rPr>
                <w:sz w:val="20"/>
                <w:szCs w:val="20"/>
                <w:lang w:val="uk-UA"/>
              </w:rPr>
              <w:t>отків</w:t>
            </w:r>
            <w:r w:rsidR="004C03A4" w:rsidRPr="001212D7">
              <w:rPr>
                <w:sz w:val="20"/>
                <w:szCs w:val="20"/>
                <w:lang w:val="uk-UA"/>
              </w:rPr>
              <w:t xml:space="preserve"> всіх підприємств в Україні) </w:t>
            </w:r>
            <w:r w:rsidR="005A565F" w:rsidRPr="001212D7">
              <w:rPr>
                <w:sz w:val="20"/>
                <w:szCs w:val="20"/>
                <w:lang w:val="uk-UA"/>
              </w:rPr>
              <w:t>з річ</w:t>
            </w:r>
            <w:r w:rsidRPr="001212D7">
              <w:rPr>
                <w:sz w:val="20"/>
                <w:szCs w:val="20"/>
                <w:lang w:val="uk-UA"/>
              </w:rPr>
              <w:t xml:space="preserve">ним оборотом понад 20 млн. </w:t>
            </w:r>
            <w:r w:rsidR="00520637" w:rsidRPr="001212D7">
              <w:rPr>
                <w:sz w:val="20"/>
                <w:szCs w:val="20"/>
                <w:lang w:val="uk-UA"/>
              </w:rPr>
              <w:t>гривень.</w:t>
            </w:r>
          </w:p>
          <w:p w:rsidR="00710D3C" w:rsidRPr="001212D7" w:rsidRDefault="00710D3C" w:rsidP="0004000E">
            <w:pPr>
              <w:autoSpaceDE w:val="0"/>
              <w:autoSpaceDN w:val="0"/>
              <w:adjustRightInd w:val="0"/>
              <w:ind w:right="-2"/>
              <w:jc w:val="both"/>
              <w:rPr>
                <w:sz w:val="20"/>
                <w:szCs w:val="20"/>
                <w:lang w:val="uk-UA"/>
              </w:rPr>
            </w:pPr>
          </w:p>
        </w:tc>
        <w:tc>
          <w:tcPr>
            <w:tcW w:w="3969" w:type="dxa"/>
          </w:tcPr>
          <w:p w:rsidR="00EE467A" w:rsidRPr="00A511E4" w:rsidRDefault="000D4EA0" w:rsidP="00EE467A">
            <w:pPr>
              <w:ind w:left="34" w:right="-2"/>
              <w:jc w:val="both"/>
              <w:rPr>
                <w:sz w:val="20"/>
                <w:szCs w:val="20"/>
                <w:lang w:val="uk-UA"/>
              </w:rPr>
            </w:pPr>
            <w:r w:rsidRPr="00A511E4">
              <w:rPr>
                <w:sz w:val="20"/>
                <w:szCs w:val="20"/>
                <w:lang w:val="uk-UA"/>
              </w:rPr>
              <w:t xml:space="preserve">витрати на </w:t>
            </w:r>
            <w:r w:rsidR="00182684" w:rsidRPr="00A511E4">
              <w:rPr>
                <w:sz w:val="20"/>
                <w:szCs w:val="20"/>
                <w:lang w:val="uk-UA"/>
              </w:rPr>
              <w:t>складання звітності</w:t>
            </w:r>
            <w:r w:rsidR="00EE467A" w:rsidRPr="00A511E4">
              <w:rPr>
                <w:sz w:val="20"/>
                <w:szCs w:val="20"/>
                <w:lang w:val="uk-UA"/>
              </w:rPr>
              <w:t xml:space="preserve"> (311, 1 млн. гр</w:t>
            </w:r>
            <w:r w:rsidR="00A511E4" w:rsidRPr="00A511E4">
              <w:rPr>
                <w:sz w:val="20"/>
                <w:szCs w:val="20"/>
                <w:lang w:val="uk-UA"/>
              </w:rPr>
              <w:t>ивень</w:t>
            </w:r>
            <w:r w:rsidR="00EE467A" w:rsidRPr="00A511E4">
              <w:rPr>
                <w:sz w:val="20"/>
                <w:szCs w:val="20"/>
                <w:lang w:val="uk-UA"/>
              </w:rPr>
              <w:t xml:space="preserve">). </w:t>
            </w:r>
          </w:p>
          <w:p w:rsidR="00EE467A" w:rsidRPr="00A511E4" w:rsidRDefault="00EE467A" w:rsidP="00EE467A">
            <w:pPr>
              <w:ind w:left="34" w:right="-2"/>
              <w:jc w:val="both"/>
              <w:rPr>
                <w:sz w:val="20"/>
                <w:szCs w:val="20"/>
                <w:lang w:val="en-US"/>
              </w:rPr>
            </w:pPr>
            <w:r w:rsidRPr="00A511E4">
              <w:rPr>
                <w:sz w:val="20"/>
                <w:szCs w:val="20"/>
                <w:lang w:val="uk-UA"/>
              </w:rPr>
              <w:t xml:space="preserve">Пояснення розрахунку: </w:t>
            </w:r>
          </w:p>
          <w:p w:rsidR="00EE467A" w:rsidRPr="00A511E4" w:rsidRDefault="00EE467A" w:rsidP="00EE467A">
            <w:pPr>
              <w:ind w:left="34" w:right="-2"/>
              <w:jc w:val="both"/>
              <w:rPr>
                <w:sz w:val="20"/>
                <w:szCs w:val="20"/>
                <w:lang w:val="uk-UA"/>
              </w:rPr>
            </w:pPr>
            <w:r w:rsidRPr="00A511E4">
              <w:rPr>
                <w:sz w:val="20"/>
                <w:szCs w:val="20"/>
                <w:lang w:val="uk-UA"/>
              </w:rPr>
              <w:t>282254*57*19,34 = 311 151 164,52 грн</w:t>
            </w:r>
            <w:r w:rsidRPr="00A511E4">
              <w:rPr>
                <w:sz w:val="20"/>
                <w:szCs w:val="20"/>
                <w:lang w:val="en-US"/>
              </w:rPr>
              <w:t>.</w:t>
            </w:r>
            <w:r w:rsidRPr="00A511E4">
              <w:rPr>
                <w:sz w:val="20"/>
                <w:szCs w:val="20"/>
                <w:lang w:val="uk-UA"/>
              </w:rPr>
              <w:t>, де:</w:t>
            </w:r>
          </w:p>
          <w:p w:rsidR="00EE467A" w:rsidRPr="00A511E4" w:rsidRDefault="00EE467A" w:rsidP="00EE467A">
            <w:pPr>
              <w:ind w:left="175" w:right="-2"/>
              <w:jc w:val="both"/>
              <w:rPr>
                <w:sz w:val="20"/>
                <w:szCs w:val="20"/>
                <w:lang w:val="uk-UA"/>
              </w:rPr>
            </w:pPr>
            <w:r w:rsidRPr="00A511E4">
              <w:rPr>
                <w:sz w:val="20"/>
                <w:szCs w:val="20"/>
                <w:lang w:val="uk-UA"/>
              </w:rPr>
              <w:t xml:space="preserve">282 254 </w:t>
            </w:r>
            <w:r w:rsidR="00A511E4" w:rsidRPr="00A511E4">
              <w:rPr>
                <w:sz w:val="20"/>
                <w:szCs w:val="20"/>
                <w:lang w:val="uk-UA"/>
              </w:rPr>
              <w:t>–</w:t>
            </w:r>
            <w:r w:rsidRPr="00A511E4">
              <w:rPr>
                <w:sz w:val="20"/>
                <w:szCs w:val="20"/>
                <w:lang w:val="uk-UA"/>
              </w:rPr>
              <w:t xml:space="preserve"> кількість платників, які подали декларацію з податку на прибуток підприємств за підсумками 2016 року;</w:t>
            </w:r>
          </w:p>
          <w:p w:rsidR="00EE467A" w:rsidRPr="00A511E4" w:rsidRDefault="00EE467A" w:rsidP="00EE467A">
            <w:pPr>
              <w:ind w:left="175" w:right="-2"/>
              <w:jc w:val="both"/>
              <w:rPr>
                <w:sz w:val="20"/>
                <w:szCs w:val="20"/>
                <w:lang w:val="uk-UA"/>
              </w:rPr>
            </w:pPr>
            <w:r w:rsidRPr="00A511E4">
              <w:rPr>
                <w:sz w:val="20"/>
                <w:szCs w:val="20"/>
                <w:lang w:val="uk-UA"/>
              </w:rPr>
              <w:t>57 –  кількість годин на складання податкової звітності з податку на прибуток,  звіт «</w:t>
            </w:r>
            <w:proofErr w:type="spellStart"/>
            <w:r w:rsidRPr="00A511E4">
              <w:rPr>
                <w:sz w:val="20"/>
                <w:szCs w:val="20"/>
                <w:lang w:val="uk-UA"/>
              </w:rPr>
              <w:t>Paying</w:t>
            </w:r>
            <w:proofErr w:type="spellEnd"/>
            <w:r w:rsidRPr="00A511E4">
              <w:rPr>
                <w:sz w:val="20"/>
                <w:szCs w:val="20"/>
                <w:lang w:val="uk-UA"/>
              </w:rPr>
              <w:t xml:space="preserve"> </w:t>
            </w:r>
            <w:proofErr w:type="spellStart"/>
            <w:r w:rsidRPr="00A511E4">
              <w:rPr>
                <w:sz w:val="20"/>
                <w:szCs w:val="20"/>
                <w:lang w:val="uk-UA"/>
              </w:rPr>
              <w:t>taxes</w:t>
            </w:r>
            <w:proofErr w:type="spellEnd"/>
            <w:r w:rsidRPr="00A511E4">
              <w:rPr>
                <w:sz w:val="20"/>
                <w:szCs w:val="20"/>
                <w:lang w:val="uk-UA"/>
              </w:rPr>
              <w:t xml:space="preserve"> 2017», табл. 73;  http://www.pwc.com/payingtaxes;, </w:t>
            </w:r>
          </w:p>
          <w:p w:rsidR="0010176C" w:rsidRDefault="00EE467A" w:rsidP="00EE467A">
            <w:pPr>
              <w:ind w:left="175" w:right="-2"/>
              <w:jc w:val="both"/>
              <w:rPr>
                <w:sz w:val="20"/>
                <w:szCs w:val="20"/>
                <w:lang w:val="en-US"/>
              </w:rPr>
            </w:pPr>
            <w:r w:rsidRPr="00A511E4">
              <w:rPr>
                <w:sz w:val="20"/>
                <w:szCs w:val="20"/>
                <w:lang w:val="uk-UA"/>
              </w:rPr>
              <w:t>19,34 грн</w:t>
            </w:r>
            <w:r w:rsidR="00A511E4" w:rsidRPr="00A511E4">
              <w:rPr>
                <w:sz w:val="20"/>
                <w:szCs w:val="20"/>
                <w:lang w:val="uk-UA"/>
              </w:rPr>
              <w:t>.</w:t>
            </w:r>
            <w:r w:rsidRPr="00A511E4">
              <w:rPr>
                <w:sz w:val="20"/>
                <w:szCs w:val="20"/>
                <w:lang w:val="uk-UA"/>
              </w:rPr>
              <w:t xml:space="preserve"> </w:t>
            </w:r>
            <w:r w:rsidR="00A511E4" w:rsidRPr="00A511E4">
              <w:rPr>
                <w:sz w:val="20"/>
                <w:szCs w:val="20"/>
                <w:lang w:val="uk-UA"/>
              </w:rPr>
              <w:t>–</w:t>
            </w:r>
            <w:r w:rsidRPr="00A511E4">
              <w:rPr>
                <w:sz w:val="20"/>
                <w:szCs w:val="20"/>
                <w:lang w:val="uk-UA"/>
              </w:rPr>
              <w:t xml:space="preserve">  установлена у 2017 році  мінімальна заробітна плата у погодинному розмірі (стаття 8 Закону України «Про Державний бюджет України на 2017 рік»).</w:t>
            </w:r>
            <w:r w:rsidR="000D4EA0" w:rsidRPr="00A511E4">
              <w:rPr>
                <w:sz w:val="20"/>
                <w:szCs w:val="20"/>
                <w:lang w:val="uk-UA"/>
              </w:rPr>
              <w:t xml:space="preserve"> </w:t>
            </w:r>
          </w:p>
          <w:p w:rsidR="00156E52" w:rsidRPr="00156E52" w:rsidRDefault="00156E52" w:rsidP="00EE467A">
            <w:pPr>
              <w:ind w:left="175" w:right="-2"/>
              <w:jc w:val="both"/>
              <w:rPr>
                <w:sz w:val="20"/>
                <w:szCs w:val="20"/>
                <w:lang w:val="en-US"/>
              </w:rPr>
            </w:pPr>
          </w:p>
        </w:tc>
      </w:tr>
    </w:tbl>
    <w:p w:rsidR="0004000E" w:rsidRPr="001212D7" w:rsidRDefault="0004000E" w:rsidP="0004000E">
      <w:pPr>
        <w:pStyle w:val="a3"/>
        <w:widowControl w:val="0"/>
        <w:spacing w:before="60" w:beforeAutospacing="0" w:after="0" w:afterAutospacing="0"/>
        <w:ind w:right="-2" w:firstLine="720"/>
        <w:jc w:val="both"/>
        <w:rPr>
          <w:sz w:val="20"/>
          <w:szCs w:val="20"/>
          <w:lang w:val="en-US"/>
        </w:rPr>
      </w:pPr>
    </w:p>
    <w:p w:rsidR="0004000E" w:rsidRPr="001212D7" w:rsidRDefault="0004000E" w:rsidP="0004000E">
      <w:pPr>
        <w:pStyle w:val="a3"/>
        <w:widowControl w:val="0"/>
        <w:spacing w:before="60" w:beforeAutospacing="0" w:after="0" w:afterAutospacing="0"/>
        <w:ind w:right="-2" w:firstLine="720"/>
        <w:jc w:val="both"/>
        <w:rPr>
          <w:sz w:val="20"/>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111"/>
      </w:tblGrid>
      <w:tr w:rsidR="001212D7" w:rsidRPr="001212D7" w:rsidTr="009A2DE8">
        <w:tc>
          <w:tcPr>
            <w:tcW w:w="5812" w:type="dxa"/>
          </w:tcPr>
          <w:p w:rsidR="0010176C" w:rsidRPr="001212D7" w:rsidRDefault="0010176C" w:rsidP="0004000E">
            <w:pPr>
              <w:ind w:right="-2"/>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Сумарні витрати за альтернативами</w:t>
            </w:r>
          </w:p>
        </w:tc>
        <w:tc>
          <w:tcPr>
            <w:tcW w:w="4111" w:type="dxa"/>
          </w:tcPr>
          <w:p w:rsidR="0010176C" w:rsidRPr="001212D7" w:rsidRDefault="0010176C" w:rsidP="0004000E">
            <w:pPr>
              <w:ind w:right="-2"/>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 xml:space="preserve">Сума витрат, гривень </w:t>
            </w:r>
          </w:p>
        </w:tc>
      </w:tr>
      <w:tr w:rsidR="001212D7" w:rsidRPr="001212D7" w:rsidTr="009A2DE8">
        <w:tc>
          <w:tcPr>
            <w:tcW w:w="5812" w:type="dxa"/>
          </w:tcPr>
          <w:p w:rsidR="0010176C" w:rsidRPr="001212D7" w:rsidRDefault="0010176C" w:rsidP="0004000E">
            <w:pPr>
              <w:ind w:right="-2"/>
              <w:jc w:val="both"/>
              <w:rPr>
                <w:strike/>
                <w:sz w:val="20"/>
                <w:szCs w:val="20"/>
                <w:lang w:val="uk-UA"/>
              </w:rPr>
            </w:pPr>
            <w:r w:rsidRPr="001212D7">
              <w:rPr>
                <w:sz w:val="20"/>
                <w:szCs w:val="20"/>
                <w:lang w:val="uk-UA"/>
              </w:rPr>
              <w:t xml:space="preserve"> </w:t>
            </w:r>
          </w:p>
          <w:p w:rsidR="0010176C" w:rsidRPr="001212D7" w:rsidRDefault="0010176C" w:rsidP="0004000E">
            <w:pPr>
              <w:ind w:right="-2"/>
              <w:jc w:val="both"/>
              <w:rPr>
                <w:sz w:val="20"/>
                <w:szCs w:val="20"/>
              </w:rPr>
            </w:pPr>
            <w:r w:rsidRPr="001212D7">
              <w:rPr>
                <w:sz w:val="20"/>
                <w:szCs w:val="20"/>
                <w:lang w:val="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1212D7">
              <w:rPr>
                <w:sz w:val="20"/>
                <w:szCs w:val="20"/>
                <w:lang w:val="uk-UA"/>
              </w:rPr>
              <w:t>акта</w:t>
            </w:r>
            <w:proofErr w:type="spellEnd"/>
            <w:r w:rsidRPr="001212D7">
              <w:rPr>
                <w:sz w:val="20"/>
                <w:szCs w:val="20"/>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1212D7">
              <w:rPr>
                <w:sz w:val="20"/>
                <w:szCs w:val="20"/>
                <w:lang w:val="uk-UA"/>
              </w:rPr>
              <w:t>акта</w:t>
            </w:r>
            <w:proofErr w:type="spellEnd"/>
            <w:r w:rsidRPr="001212D7">
              <w:rPr>
                <w:sz w:val="20"/>
                <w:szCs w:val="20"/>
                <w:lang w:val="uk-UA"/>
              </w:rPr>
              <w:t>»)</w:t>
            </w:r>
            <w:r w:rsidR="00156E52">
              <w:rPr>
                <w:sz w:val="20"/>
                <w:szCs w:val="20"/>
                <w:lang w:val="uk-UA"/>
              </w:rPr>
              <w:t>.</w:t>
            </w:r>
          </w:p>
          <w:p w:rsidR="009A2DE8" w:rsidRPr="001212D7" w:rsidRDefault="009A2DE8" w:rsidP="0004000E">
            <w:pPr>
              <w:ind w:right="-2"/>
              <w:jc w:val="both"/>
              <w:rPr>
                <w:strike/>
                <w:sz w:val="20"/>
                <w:szCs w:val="20"/>
              </w:rPr>
            </w:pPr>
          </w:p>
        </w:tc>
        <w:tc>
          <w:tcPr>
            <w:tcW w:w="4111" w:type="dxa"/>
          </w:tcPr>
          <w:p w:rsidR="00DB016E" w:rsidRPr="001212D7" w:rsidRDefault="00DB016E" w:rsidP="0004000E">
            <w:pPr>
              <w:ind w:right="-2"/>
              <w:jc w:val="both"/>
              <w:rPr>
                <w:sz w:val="20"/>
                <w:szCs w:val="20"/>
                <w:lang w:val="uk-UA"/>
              </w:rPr>
            </w:pPr>
          </w:p>
          <w:p w:rsidR="0010176C" w:rsidRPr="001212D7" w:rsidRDefault="00DB016E" w:rsidP="0004000E">
            <w:pPr>
              <w:ind w:right="-2"/>
              <w:jc w:val="both"/>
              <w:rPr>
                <w:sz w:val="20"/>
                <w:szCs w:val="20"/>
                <w:lang w:val="uk-UA"/>
              </w:rPr>
            </w:pPr>
            <w:r w:rsidRPr="001212D7">
              <w:rPr>
                <w:sz w:val="20"/>
                <w:szCs w:val="20"/>
                <w:lang w:val="uk-UA"/>
              </w:rPr>
              <w:t>Відсутні</w:t>
            </w:r>
            <w:r w:rsidR="00156E52">
              <w:rPr>
                <w:sz w:val="20"/>
                <w:szCs w:val="20"/>
                <w:lang w:val="uk-UA"/>
              </w:rPr>
              <w:t>.</w:t>
            </w:r>
          </w:p>
          <w:p w:rsidR="0010176C" w:rsidRPr="001212D7" w:rsidRDefault="0010176C" w:rsidP="0004000E">
            <w:pPr>
              <w:ind w:right="-2"/>
              <w:jc w:val="both"/>
              <w:rPr>
                <w:sz w:val="20"/>
                <w:szCs w:val="20"/>
                <w:lang w:val="uk-UA"/>
              </w:rPr>
            </w:pPr>
          </w:p>
        </w:tc>
      </w:tr>
      <w:tr w:rsidR="001212D7" w:rsidRPr="001212D7" w:rsidTr="009A2DE8">
        <w:tc>
          <w:tcPr>
            <w:tcW w:w="5812" w:type="dxa"/>
          </w:tcPr>
          <w:p w:rsidR="0010176C" w:rsidRPr="001212D7" w:rsidRDefault="0010176C" w:rsidP="0004000E">
            <w:pPr>
              <w:ind w:right="-2"/>
              <w:jc w:val="both"/>
              <w:rPr>
                <w:sz w:val="20"/>
                <w:szCs w:val="20"/>
                <w:lang w:val="uk-UA"/>
              </w:rPr>
            </w:pPr>
            <w:r w:rsidRPr="001212D7">
              <w:rPr>
                <w:sz w:val="20"/>
                <w:szCs w:val="20"/>
                <w:lang w:val="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1212D7">
              <w:rPr>
                <w:sz w:val="20"/>
                <w:szCs w:val="20"/>
                <w:lang w:val="uk-UA"/>
              </w:rPr>
              <w:t>акта</w:t>
            </w:r>
            <w:proofErr w:type="spellEnd"/>
            <w:r w:rsidRPr="001212D7">
              <w:rPr>
                <w:sz w:val="20"/>
                <w:szCs w:val="20"/>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1212D7">
              <w:rPr>
                <w:sz w:val="20"/>
                <w:szCs w:val="20"/>
                <w:lang w:val="uk-UA"/>
              </w:rPr>
              <w:t>акта</w:t>
            </w:r>
            <w:proofErr w:type="spellEnd"/>
            <w:r w:rsidRPr="001212D7">
              <w:rPr>
                <w:sz w:val="20"/>
                <w:szCs w:val="20"/>
                <w:lang w:val="uk-UA"/>
              </w:rPr>
              <w:t>»)</w:t>
            </w:r>
            <w:r w:rsidR="00156E52">
              <w:rPr>
                <w:sz w:val="20"/>
                <w:szCs w:val="20"/>
                <w:lang w:val="uk-UA"/>
              </w:rPr>
              <w:t>.</w:t>
            </w:r>
          </w:p>
          <w:p w:rsidR="0010176C" w:rsidRPr="001212D7" w:rsidRDefault="0010176C" w:rsidP="0004000E">
            <w:pPr>
              <w:ind w:right="-2"/>
              <w:rPr>
                <w:sz w:val="20"/>
                <w:szCs w:val="20"/>
                <w:lang w:val="uk-UA"/>
              </w:rPr>
            </w:pPr>
            <w:r w:rsidRPr="001212D7">
              <w:rPr>
                <w:sz w:val="20"/>
                <w:szCs w:val="20"/>
                <w:lang w:val="uk-UA"/>
              </w:rPr>
              <w:t xml:space="preserve"> </w:t>
            </w:r>
          </w:p>
        </w:tc>
        <w:tc>
          <w:tcPr>
            <w:tcW w:w="4111" w:type="dxa"/>
          </w:tcPr>
          <w:p w:rsidR="0010176C" w:rsidRPr="001212D7" w:rsidRDefault="0010176C" w:rsidP="0004000E">
            <w:pPr>
              <w:ind w:right="-2"/>
              <w:rPr>
                <w:sz w:val="20"/>
                <w:szCs w:val="20"/>
                <w:lang w:val="uk-UA"/>
              </w:rPr>
            </w:pPr>
            <w:r w:rsidRPr="001212D7">
              <w:rPr>
                <w:sz w:val="20"/>
                <w:szCs w:val="20"/>
                <w:lang w:val="uk-UA"/>
              </w:rPr>
              <w:t>Відсутні</w:t>
            </w:r>
            <w:r w:rsidR="00156E52">
              <w:rPr>
                <w:sz w:val="20"/>
                <w:szCs w:val="20"/>
                <w:lang w:val="uk-UA"/>
              </w:rPr>
              <w:t>.</w:t>
            </w:r>
          </w:p>
        </w:tc>
      </w:tr>
    </w:tbl>
    <w:p w:rsidR="001212D7" w:rsidRDefault="001212D7" w:rsidP="0004000E">
      <w:pPr>
        <w:pStyle w:val="3"/>
        <w:widowControl w:val="0"/>
        <w:spacing w:before="360" w:beforeAutospacing="0" w:after="0" w:afterAutospacing="0"/>
        <w:ind w:right="-2"/>
        <w:jc w:val="center"/>
        <w:rPr>
          <w:sz w:val="28"/>
          <w:szCs w:val="28"/>
          <w:lang w:val="uk-UA"/>
        </w:rPr>
      </w:pPr>
    </w:p>
    <w:p w:rsidR="00B76B63" w:rsidRDefault="00B76B63" w:rsidP="0004000E">
      <w:pPr>
        <w:pStyle w:val="3"/>
        <w:widowControl w:val="0"/>
        <w:spacing w:before="360" w:beforeAutospacing="0" w:after="0" w:afterAutospacing="0"/>
        <w:ind w:right="-2"/>
        <w:jc w:val="center"/>
        <w:rPr>
          <w:sz w:val="28"/>
          <w:szCs w:val="28"/>
          <w:lang w:val="uk-UA"/>
        </w:rPr>
      </w:pPr>
    </w:p>
    <w:p w:rsidR="00015322" w:rsidRPr="001212D7" w:rsidRDefault="00015322" w:rsidP="0004000E">
      <w:pPr>
        <w:pStyle w:val="3"/>
        <w:widowControl w:val="0"/>
        <w:spacing w:before="360" w:beforeAutospacing="0" w:after="0" w:afterAutospacing="0"/>
        <w:ind w:right="-2"/>
        <w:jc w:val="center"/>
        <w:rPr>
          <w:sz w:val="28"/>
          <w:szCs w:val="28"/>
          <w:lang w:val="uk-UA"/>
        </w:rPr>
      </w:pPr>
      <w:r w:rsidRPr="001212D7">
        <w:rPr>
          <w:sz w:val="28"/>
          <w:szCs w:val="28"/>
          <w:lang w:val="uk-UA"/>
        </w:rPr>
        <w:lastRenderedPageBreak/>
        <w:t>IV. Вибір найбільш оптимального альтернативного способу досягнення цілей</w:t>
      </w:r>
    </w:p>
    <w:p w:rsidR="006D1057" w:rsidRPr="001212D7" w:rsidRDefault="006D1057" w:rsidP="0004000E">
      <w:pPr>
        <w:pStyle w:val="3"/>
        <w:widowControl w:val="0"/>
        <w:spacing w:before="60" w:beforeAutospacing="0" w:after="0" w:afterAutospacing="0"/>
        <w:ind w:right="-2"/>
        <w:jc w:val="center"/>
        <w:rPr>
          <w:sz w:val="28"/>
          <w:szCs w:val="28"/>
          <w:lang w:val="uk-UA"/>
        </w:rPr>
      </w:pPr>
    </w:p>
    <w:tbl>
      <w:tblPr>
        <w:tblW w:w="9923" w:type="dxa"/>
        <w:tblInd w:w="108" w:type="dxa"/>
        <w:tblLayout w:type="fixed"/>
        <w:tblLook w:val="0000" w:firstRow="0" w:lastRow="0" w:firstColumn="0" w:lastColumn="0" w:noHBand="0" w:noVBand="0"/>
      </w:tblPr>
      <w:tblGrid>
        <w:gridCol w:w="2268"/>
        <w:gridCol w:w="1843"/>
        <w:gridCol w:w="5812"/>
      </w:tblGrid>
      <w:tr w:rsidR="001212D7" w:rsidRPr="001212D7" w:rsidTr="009A2DE8">
        <w:tc>
          <w:tcPr>
            <w:tcW w:w="2268"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ind w:right="-2"/>
              <w:jc w:val="both"/>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Рейтинг результативності (досягнення цілей під час вирішення проблеми)</w:t>
            </w:r>
          </w:p>
        </w:tc>
        <w:tc>
          <w:tcPr>
            <w:tcW w:w="1843"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ind w:right="-2"/>
              <w:jc w:val="both"/>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Бал результативності (за чотирибальною системою оцінки)</w:t>
            </w:r>
          </w:p>
        </w:tc>
        <w:tc>
          <w:tcPr>
            <w:tcW w:w="5812"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ind w:right="-2"/>
              <w:jc w:val="both"/>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 xml:space="preserve">Коментарі щодо присвоєння відповідного </w:t>
            </w:r>
            <w:proofErr w:type="spellStart"/>
            <w:r w:rsidRPr="001212D7">
              <w:rPr>
                <w:sz w:val="20"/>
                <w:szCs w:val="20"/>
                <w:lang w:val="uk-UA"/>
              </w:rPr>
              <w:t>бала</w:t>
            </w:r>
            <w:proofErr w:type="spellEnd"/>
          </w:p>
        </w:tc>
      </w:tr>
      <w:tr w:rsidR="001212D7" w:rsidRPr="001212D7" w:rsidTr="009A2DE8">
        <w:tc>
          <w:tcPr>
            <w:tcW w:w="2268"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ind w:right="-2"/>
              <w:jc w:val="both"/>
              <w:rPr>
                <w:sz w:val="20"/>
                <w:szCs w:val="20"/>
                <w:lang w:val="uk-UA"/>
              </w:rPr>
            </w:pPr>
          </w:p>
          <w:p w:rsidR="0010176C" w:rsidRPr="001212D7" w:rsidRDefault="0010176C" w:rsidP="0004000E">
            <w:pPr>
              <w:ind w:right="-2"/>
              <w:rPr>
                <w:sz w:val="20"/>
                <w:szCs w:val="20"/>
                <w:lang w:val="uk-UA"/>
              </w:rPr>
            </w:pPr>
            <w:r w:rsidRPr="001212D7">
              <w:rPr>
                <w:sz w:val="20"/>
                <w:szCs w:val="20"/>
                <w:lang w:val="uk-UA"/>
              </w:rPr>
              <w:t>Альтернатива 1</w:t>
            </w:r>
          </w:p>
        </w:tc>
        <w:tc>
          <w:tcPr>
            <w:tcW w:w="1843" w:type="dxa"/>
            <w:tcBorders>
              <w:top w:val="single" w:sz="4" w:space="0" w:color="auto"/>
              <w:left w:val="single" w:sz="4" w:space="0" w:color="auto"/>
              <w:bottom w:val="single" w:sz="4" w:space="0" w:color="auto"/>
              <w:right w:val="single" w:sz="4" w:space="0" w:color="auto"/>
            </w:tcBorders>
            <w:vAlign w:val="center"/>
          </w:tcPr>
          <w:p w:rsidR="0010176C" w:rsidRPr="001212D7" w:rsidRDefault="0010176C" w:rsidP="0004000E">
            <w:pPr>
              <w:ind w:right="-2"/>
              <w:jc w:val="center"/>
              <w:rPr>
                <w:sz w:val="20"/>
                <w:szCs w:val="20"/>
                <w:lang w:val="uk-UA"/>
              </w:rPr>
            </w:pPr>
            <w:r w:rsidRPr="001212D7">
              <w:rPr>
                <w:sz w:val="20"/>
                <w:szCs w:val="20"/>
                <w:lang w:val="uk-UA"/>
              </w:rPr>
              <w:t xml:space="preserve">2 </w:t>
            </w:r>
          </w:p>
        </w:tc>
        <w:tc>
          <w:tcPr>
            <w:tcW w:w="5812"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pStyle w:val="a3"/>
              <w:spacing w:before="0" w:beforeAutospacing="0" w:after="0" w:afterAutospacing="0"/>
              <w:ind w:right="-2"/>
              <w:jc w:val="both"/>
              <w:rPr>
                <w:i/>
                <w:sz w:val="20"/>
                <w:szCs w:val="20"/>
                <w:lang w:val="uk-UA"/>
              </w:rPr>
            </w:pPr>
            <w:r w:rsidRPr="001212D7">
              <w:rPr>
                <w:sz w:val="20"/>
                <w:szCs w:val="20"/>
                <w:lang w:val="uk-UA"/>
              </w:rPr>
              <w:t xml:space="preserve"> </w:t>
            </w:r>
            <w:r w:rsidRPr="001212D7">
              <w:rPr>
                <w:i/>
                <w:sz w:val="20"/>
                <w:szCs w:val="20"/>
                <w:lang w:val="uk-UA"/>
              </w:rPr>
              <w:t>Альтернатива 1 дає змогу:</w:t>
            </w:r>
          </w:p>
          <w:p w:rsidR="0010176C" w:rsidRPr="001212D7" w:rsidRDefault="0010176C" w:rsidP="0004000E">
            <w:pPr>
              <w:pStyle w:val="a3"/>
              <w:spacing w:before="0" w:beforeAutospacing="0" w:after="0" w:afterAutospacing="0"/>
              <w:ind w:right="-2"/>
              <w:jc w:val="both"/>
              <w:rPr>
                <w:sz w:val="20"/>
                <w:szCs w:val="20"/>
                <w:lang w:val="uk-UA"/>
              </w:rPr>
            </w:pPr>
            <w:r w:rsidRPr="001212D7">
              <w:rPr>
                <w:sz w:val="20"/>
                <w:szCs w:val="20"/>
                <w:lang w:val="uk-UA"/>
              </w:rPr>
              <w:t>досягнути цілі державного регулювання;</w:t>
            </w:r>
          </w:p>
          <w:p w:rsidR="0010176C" w:rsidRPr="001212D7" w:rsidRDefault="0010176C" w:rsidP="0004000E">
            <w:pPr>
              <w:pStyle w:val="a3"/>
              <w:spacing w:before="0" w:beforeAutospacing="0" w:after="0" w:afterAutospacing="0"/>
              <w:ind w:right="-2"/>
              <w:jc w:val="both"/>
              <w:rPr>
                <w:sz w:val="20"/>
                <w:szCs w:val="20"/>
                <w:lang w:val="uk-UA"/>
              </w:rPr>
            </w:pPr>
            <w:r w:rsidRPr="001212D7">
              <w:rPr>
                <w:sz w:val="20"/>
                <w:szCs w:val="20"/>
                <w:lang w:val="uk-UA"/>
              </w:rPr>
              <w:t>виконати вимоги п</w:t>
            </w:r>
            <w:r w:rsidRPr="001212D7">
              <w:rPr>
                <w:rFonts w:eastAsia="Calibri"/>
                <w:sz w:val="20"/>
                <w:szCs w:val="20"/>
                <w:lang w:val="uk-UA" w:eastAsia="en-US"/>
              </w:rPr>
              <w:t xml:space="preserve">ункту 5 розділу </w:t>
            </w:r>
            <w:r w:rsidRPr="001212D7">
              <w:rPr>
                <w:rFonts w:eastAsia="Calibri"/>
                <w:sz w:val="20"/>
                <w:szCs w:val="20"/>
                <w:lang w:eastAsia="en-US"/>
              </w:rPr>
              <w:t>II</w:t>
            </w:r>
            <w:r w:rsidRPr="001212D7">
              <w:rPr>
                <w:rFonts w:eastAsia="Calibri"/>
                <w:sz w:val="20"/>
                <w:szCs w:val="20"/>
                <w:lang w:val="uk-UA" w:eastAsia="en-US"/>
              </w:rPr>
              <w:t xml:space="preserve"> «Прикінцеві та перехідні положення» Закону № 1797</w:t>
            </w:r>
            <w:r w:rsidR="00960AE3" w:rsidRPr="001212D7">
              <w:rPr>
                <w:rFonts w:eastAsia="Calibri"/>
                <w:sz w:val="20"/>
                <w:szCs w:val="20"/>
                <w:lang w:val="uk-UA" w:eastAsia="en-US"/>
              </w:rPr>
              <w:t>.</w:t>
            </w:r>
            <w:r w:rsidRPr="001212D7">
              <w:rPr>
                <w:sz w:val="20"/>
                <w:szCs w:val="20"/>
                <w:lang w:val="uk-UA"/>
              </w:rPr>
              <w:t> </w:t>
            </w:r>
          </w:p>
        </w:tc>
      </w:tr>
      <w:tr w:rsidR="0004000E" w:rsidRPr="001212D7" w:rsidTr="009A2DE8">
        <w:tc>
          <w:tcPr>
            <w:tcW w:w="2268"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ind w:right="-2"/>
              <w:jc w:val="both"/>
              <w:rPr>
                <w:sz w:val="20"/>
                <w:szCs w:val="20"/>
                <w:lang w:val="uk-UA"/>
              </w:rPr>
            </w:pPr>
          </w:p>
          <w:p w:rsidR="0010176C" w:rsidRPr="001212D7" w:rsidRDefault="0010176C" w:rsidP="0004000E">
            <w:pPr>
              <w:ind w:right="-2"/>
              <w:rPr>
                <w:sz w:val="20"/>
                <w:szCs w:val="20"/>
                <w:lang w:val="uk-UA"/>
              </w:rPr>
            </w:pPr>
            <w:r w:rsidRPr="001212D7">
              <w:rPr>
                <w:sz w:val="20"/>
                <w:szCs w:val="20"/>
                <w:lang w:val="uk-UA"/>
              </w:rPr>
              <w:t>Альтернатива 2</w:t>
            </w:r>
          </w:p>
        </w:tc>
        <w:tc>
          <w:tcPr>
            <w:tcW w:w="1843" w:type="dxa"/>
            <w:tcBorders>
              <w:top w:val="single" w:sz="4" w:space="0" w:color="auto"/>
              <w:left w:val="single" w:sz="4" w:space="0" w:color="auto"/>
              <w:bottom w:val="single" w:sz="4" w:space="0" w:color="auto"/>
              <w:right w:val="single" w:sz="4" w:space="0" w:color="auto"/>
            </w:tcBorders>
            <w:vAlign w:val="center"/>
          </w:tcPr>
          <w:p w:rsidR="0010176C" w:rsidRPr="001212D7" w:rsidRDefault="0010176C" w:rsidP="0004000E">
            <w:pPr>
              <w:ind w:right="-2"/>
              <w:jc w:val="center"/>
              <w:rPr>
                <w:sz w:val="20"/>
                <w:szCs w:val="20"/>
                <w:lang w:val="uk-UA"/>
              </w:rPr>
            </w:pPr>
            <w:r w:rsidRPr="001212D7">
              <w:rPr>
                <w:sz w:val="20"/>
                <w:szCs w:val="20"/>
                <w:lang w:val="uk-UA"/>
              </w:rPr>
              <w:t xml:space="preserve"> 1</w:t>
            </w:r>
          </w:p>
        </w:tc>
        <w:tc>
          <w:tcPr>
            <w:tcW w:w="5812" w:type="dxa"/>
            <w:tcBorders>
              <w:top w:val="single" w:sz="4" w:space="0" w:color="auto"/>
              <w:left w:val="single" w:sz="4" w:space="0" w:color="auto"/>
              <w:bottom w:val="single" w:sz="4" w:space="0" w:color="auto"/>
              <w:right w:val="single" w:sz="4" w:space="0" w:color="auto"/>
            </w:tcBorders>
          </w:tcPr>
          <w:p w:rsidR="0010176C" w:rsidRPr="001212D7" w:rsidRDefault="0010176C" w:rsidP="0004000E">
            <w:pPr>
              <w:pStyle w:val="a3"/>
              <w:spacing w:before="0" w:beforeAutospacing="0" w:after="0" w:afterAutospacing="0"/>
              <w:ind w:right="-2" w:firstLine="23"/>
              <w:jc w:val="both"/>
              <w:rPr>
                <w:i/>
                <w:sz w:val="20"/>
                <w:szCs w:val="20"/>
                <w:lang w:val="uk-UA"/>
              </w:rPr>
            </w:pPr>
            <w:r w:rsidRPr="001212D7">
              <w:rPr>
                <w:sz w:val="20"/>
                <w:szCs w:val="20"/>
                <w:lang w:val="uk-UA"/>
              </w:rPr>
              <w:t xml:space="preserve"> </w:t>
            </w:r>
            <w:r w:rsidRPr="001212D7">
              <w:rPr>
                <w:i/>
                <w:sz w:val="20"/>
                <w:szCs w:val="20"/>
                <w:lang w:val="uk-UA"/>
              </w:rPr>
              <w:t>Альтернатива 2 не дає можливості:</w:t>
            </w:r>
          </w:p>
          <w:p w:rsidR="0010176C" w:rsidRPr="001212D7" w:rsidRDefault="0010176C" w:rsidP="0004000E">
            <w:pPr>
              <w:pStyle w:val="a3"/>
              <w:spacing w:before="0" w:beforeAutospacing="0" w:after="0" w:afterAutospacing="0"/>
              <w:ind w:right="-2"/>
              <w:jc w:val="both"/>
              <w:rPr>
                <w:rFonts w:eastAsia="Calibri"/>
                <w:sz w:val="20"/>
                <w:szCs w:val="20"/>
                <w:lang w:eastAsia="en-US"/>
              </w:rPr>
            </w:pPr>
            <w:r w:rsidRPr="001212D7">
              <w:rPr>
                <w:sz w:val="20"/>
                <w:szCs w:val="20"/>
                <w:lang w:val="uk-UA"/>
              </w:rPr>
              <w:t>виконати вимоги п</w:t>
            </w:r>
            <w:r w:rsidRPr="001212D7">
              <w:rPr>
                <w:rFonts w:eastAsia="Calibri"/>
                <w:sz w:val="20"/>
                <w:szCs w:val="20"/>
                <w:lang w:val="uk-UA" w:eastAsia="en-US"/>
              </w:rPr>
              <w:t xml:space="preserve">ункту 5 розділу </w:t>
            </w:r>
            <w:r w:rsidRPr="001212D7">
              <w:rPr>
                <w:rFonts w:eastAsia="Calibri"/>
                <w:sz w:val="20"/>
                <w:szCs w:val="20"/>
                <w:lang w:eastAsia="en-US"/>
              </w:rPr>
              <w:t>II</w:t>
            </w:r>
            <w:r w:rsidRPr="001212D7">
              <w:rPr>
                <w:rFonts w:eastAsia="Calibri"/>
                <w:sz w:val="20"/>
                <w:szCs w:val="20"/>
                <w:lang w:val="uk-UA" w:eastAsia="en-US"/>
              </w:rPr>
              <w:t xml:space="preserve"> «Прикінцеві та перехідні положення» Закону № 1797</w:t>
            </w:r>
            <w:r w:rsidR="00960AE3" w:rsidRPr="001212D7">
              <w:rPr>
                <w:rFonts w:eastAsia="Calibri"/>
                <w:sz w:val="20"/>
                <w:szCs w:val="20"/>
                <w:lang w:val="uk-UA" w:eastAsia="en-US"/>
              </w:rPr>
              <w:t>.</w:t>
            </w:r>
          </w:p>
          <w:p w:rsidR="009A2DE8" w:rsidRPr="001212D7" w:rsidRDefault="009A2DE8" w:rsidP="0004000E">
            <w:pPr>
              <w:pStyle w:val="a3"/>
              <w:spacing w:before="0" w:beforeAutospacing="0" w:after="0" w:afterAutospacing="0"/>
              <w:ind w:right="-2"/>
              <w:jc w:val="both"/>
              <w:rPr>
                <w:sz w:val="20"/>
                <w:szCs w:val="20"/>
              </w:rPr>
            </w:pPr>
          </w:p>
        </w:tc>
      </w:tr>
    </w:tbl>
    <w:p w:rsidR="0010176C" w:rsidRPr="001212D7" w:rsidRDefault="0010176C" w:rsidP="0004000E">
      <w:pPr>
        <w:pStyle w:val="3"/>
        <w:widowControl w:val="0"/>
        <w:spacing w:before="60" w:beforeAutospacing="0" w:after="0" w:afterAutospacing="0"/>
        <w:ind w:right="-2"/>
        <w:jc w:val="center"/>
        <w:rPr>
          <w:sz w:val="20"/>
          <w:szCs w:val="20"/>
          <w:lang w:val="uk-UA"/>
        </w:rPr>
      </w:pPr>
    </w:p>
    <w:p w:rsidR="001212D7" w:rsidRDefault="001212D7" w:rsidP="0004000E">
      <w:pPr>
        <w:pStyle w:val="3"/>
        <w:widowControl w:val="0"/>
        <w:spacing w:before="60" w:beforeAutospacing="0" w:after="0" w:afterAutospacing="0"/>
        <w:ind w:right="-2"/>
        <w:jc w:val="center"/>
        <w:rPr>
          <w:sz w:val="20"/>
          <w:szCs w:val="20"/>
          <w:lang w:val="uk-UA"/>
        </w:rPr>
      </w:pPr>
    </w:p>
    <w:p w:rsidR="001212D7" w:rsidRPr="001212D7" w:rsidRDefault="001212D7" w:rsidP="0004000E">
      <w:pPr>
        <w:pStyle w:val="3"/>
        <w:widowControl w:val="0"/>
        <w:spacing w:before="60" w:beforeAutospacing="0" w:after="0" w:afterAutospacing="0"/>
        <w:ind w:right="-2"/>
        <w:jc w:val="center"/>
        <w:rPr>
          <w:sz w:val="20"/>
          <w:szCs w:val="20"/>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90"/>
        <w:gridCol w:w="2977"/>
        <w:gridCol w:w="2268"/>
      </w:tblGrid>
      <w:tr w:rsidR="001212D7" w:rsidRPr="001212D7" w:rsidTr="009A2DE8">
        <w:tc>
          <w:tcPr>
            <w:tcW w:w="2088" w:type="dxa"/>
          </w:tcPr>
          <w:p w:rsidR="0010176C" w:rsidRPr="001212D7" w:rsidRDefault="0010176C" w:rsidP="0004000E">
            <w:pPr>
              <w:ind w:right="-2"/>
              <w:jc w:val="both"/>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Рейтинг результативності</w:t>
            </w:r>
          </w:p>
        </w:tc>
        <w:tc>
          <w:tcPr>
            <w:tcW w:w="2590" w:type="dxa"/>
          </w:tcPr>
          <w:p w:rsidR="0010176C" w:rsidRPr="001212D7" w:rsidRDefault="0010176C" w:rsidP="0004000E">
            <w:pPr>
              <w:ind w:right="-2"/>
              <w:jc w:val="both"/>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Вигоди (підсумок)</w:t>
            </w:r>
          </w:p>
        </w:tc>
        <w:tc>
          <w:tcPr>
            <w:tcW w:w="2977" w:type="dxa"/>
          </w:tcPr>
          <w:p w:rsidR="0010176C" w:rsidRPr="001212D7" w:rsidRDefault="0010176C" w:rsidP="0004000E">
            <w:pPr>
              <w:ind w:right="-2"/>
              <w:jc w:val="center"/>
              <w:rPr>
                <w:sz w:val="20"/>
                <w:szCs w:val="20"/>
                <w:lang w:val="uk-UA"/>
              </w:rPr>
            </w:pPr>
          </w:p>
          <w:p w:rsidR="0010176C" w:rsidRPr="001212D7" w:rsidRDefault="0010176C" w:rsidP="0004000E">
            <w:pPr>
              <w:ind w:right="-2"/>
              <w:jc w:val="center"/>
              <w:rPr>
                <w:sz w:val="20"/>
                <w:szCs w:val="20"/>
                <w:lang w:val="uk-UA"/>
              </w:rPr>
            </w:pPr>
            <w:r w:rsidRPr="001212D7">
              <w:rPr>
                <w:sz w:val="20"/>
                <w:szCs w:val="20"/>
                <w:lang w:val="uk-UA"/>
              </w:rPr>
              <w:t>Витрати (підсумок)</w:t>
            </w:r>
          </w:p>
        </w:tc>
        <w:tc>
          <w:tcPr>
            <w:tcW w:w="2268" w:type="dxa"/>
          </w:tcPr>
          <w:p w:rsidR="0010176C" w:rsidRPr="001212D7" w:rsidRDefault="0010176C" w:rsidP="0004000E">
            <w:pPr>
              <w:ind w:right="-2"/>
              <w:jc w:val="center"/>
              <w:rPr>
                <w:sz w:val="20"/>
                <w:szCs w:val="20"/>
                <w:lang w:val="uk-UA"/>
              </w:rPr>
            </w:pPr>
            <w:r w:rsidRPr="001212D7">
              <w:rPr>
                <w:sz w:val="20"/>
                <w:szCs w:val="20"/>
                <w:lang w:val="uk-UA"/>
              </w:rPr>
              <w:t>Обґрунтування відповідного місця альтернативи у рейтингу</w:t>
            </w:r>
          </w:p>
        </w:tc>
      </w:tr>
      <w:tr w:rsidR="001212D7" w:rsidRPr="001212D7" w:rsidTr="009A2DE8">
        <w:tc>
          <w:tcPr>
            <w:tcW w:w="2088" w:type="dxa"/>
          </w:tcPr>
          <w:p w:rsidR="002759AA" w:rsidRPr="00156E52" w:rsidRDefault="002759AA" w:rsidP="0004000E">
            <w:pPr>
              <w:ind w:right="-2"/>
              <w:rPr>
                <w:sz w:val="20"/>
                <w:szCs w:val="20"/>
                <w:lang w:val="uk-UA"/>
              </w:rPr>
            </w:pPr>
          </w:p>
          <w:p w:rsidR="0010176C" w:rsidRPr="00156E52" w:rsidRDefault="0010176C" w:rsidP="0004000E">
            <w:pPr>
              <w:ind w:right="-2"/>
              <w:rPr>
                <w:sz w:val="20"/>
                <w:szCs w:val="20"/>
                <w:lang w:val="uk-UA"/>
              </w:rPr>
            </w:pPr>
            <w:r w:rsidRPr="00156E52">
              <w:rPr>
                <w:sz w:val="20"/>
                <w:szCs w:val="20"/>
                <w:lang w:val="uk-UA"/>
              </w:rPr>
              <w:t>Альтернатива 1</w:t>
            </w:r>
          </w:p>
        </w:tc>
        <w:tc>
          <w:tcPr>
            <w:tcW w:w="2590" w:type="dxa"/>
          </w:tcPr>
          <w:p w:rsidR="0010176C" w:rsidRPr="00156E52" w:rsidRDefault="0010176C" w:rsidP="0004000E">
            <w:pPr>
              <w:spacing w:after="120"/>
              <w:ind w:right="-2"/>
              <w:jc w:val="both"/>
              <w:rPr>
                <w:rFonts w:eastAsia="Calibri"/>
                <w:sz w:val="20"/>
                <w:szCs w:val="20"/>
                <w:lang w:val="uk-UA" w:eastAsia="en-US"/>
              </w:rPr>
            </w:pPr>
            <w:r w:rsidRPr="00156E52">
              <w:rPr>
                <w:sz w:val="20"/>
                <w:szCs w:val="20"/>
                <w:lang w:val="uk-UA"/>
              </w:rPr>
              <w:t>1</w:t>
            </w:r>
            <w:r w:rsidR="00460B5D" w:rsidRPr="00156E52">
              <w:rPr>
                <w:sz w:val="20"/>
                <w:szCs w:val="20"/>
                <w:lang w:val="uk-UA"/>
              </w:rPr>
              <w:t>)</w:t>
            </w:r>
            <w:r w:rsidRPr="00156E52">
              <w:rPr>
                <w:sz w:val="20"/>
                <w:szCs w:val="20"/>
                <w:lang w:val="uk-UA"/>
              </w:rPr>
              <w:t xml:space="preserve"> запровадження  податку на виведений капітал  відповідно до вимог п</w:t>
            </w:r>
            <w:r w:rsidRPr="00156E52">
              <w:rPr>
                <w:rFonts w:eastAsia="Calibri"/>
                <w:sz w:val="20"/>
                <w:szCs w:val="20"/>
                <w:lang w:val="uk-UA" w:eastAsia="en-US"/>
              </w:rPr>
              <w:t xml:space="preserve">ункту 5 розділу </w:t>
            </w:r>
            <w:r w:rsidRPr="00156E52">
              <w:rPr>
                <w:rFonts w:eastAsia="Calibri"/>
                <w:sz w:val="20"/>
                <w:szCs w:val="20"/>
                <w:lang w:eastAsia="en-US"/>
              </w:rPr>
              <w:t>II</w:t>
            </w:r>
            <w:r w:rsidRPr="00156E52">
              <w:rPr>
                <w:rFonts w:eastAsia="Calibri"/>
                <w:sz w:val="20"/>
                <w:szCs w:val="20"/>
                <w:lang w:val="uk-UA" w:eastAsia="en-US"/>
              </w:rPr>
              <w:t xml:space="preserve"> «Прикінцеві та перехідні положення»  Закону </w:t>
            </w:r>
            <w:r w:rsidR="003F216E" w:rsidRPr="00156E52">
              <w:rPr>
                <w:rFonts w:eastAsia="Calibri"/>
                <w:sz w:val="20"/>
                <w:szCs w:val="20"/>
                <w:lang w:val="uk-UA" w:eastAsia="en-US"/>
              </w:rPr>
              <w:br/>
            </w:r>
            <w:r w:rsidRPr="00156E52">
              <w:rPr>
                <w:rFonts w:eastAsia="Calibri"/>
                <w:sz w:val="20"/>
                <w:szCs w:val="20"/>
                <w:lang w:val="uk-UA" w:eastAsia="en-US"/>
              </w:rPr>
              <w:t>№ 1797;</w:t>
            </w:r>
          </w:p>
          <w:p w:rsidR="006D1709" w:rsidRPr="00156E52" w:rsidRDefault="00D054E5" w:rsidP="0004000E">
            <w:pPr>
              <w:pStyle w:val="a8"/>
              <w:spacing w:before="60" w:after="0"/>
              <w:ind w:left="0" w:right="-2"/>
              <w:jc w:val="both"/>
              <w:rPr>
                <w:sz w:val="20"/>
                <w:szCs w:val="20"/>
              </w:rPr>
            </w:pPr>
            <w:r w:rsidRPr="00156E52">
              <w:rPr>
                <w:sz w:val="20"/>
                <w:szCs w:val="20"/>
              </w:rPr>
              <w:t>2</w:t>
            </w:r>
            <w:r w:rsidR="006D1709" w:rsidRPr="00156E52">
              <w:rPr>
                <w:sz w:val="20"/>
                <w:szCs w:val="20"/>
              </w:rPr>
              <w:t>)</w:t>
            </w:r>
            <w:r w:rsidR="00A210FD" w:rsidRPr="00156E52">
              <w:rPr>
                <w:sz w:val="20"/>
                <w:szCs w:val="20"/>
              </w:rPr>
              <w:t xml:space="preserve"> </w:t>
            </w:r>
            <w:r w:rsidR="006D1709" w:rsidRPr="00156E52">
              <w:rPr>
                <w:sz w:val="20"/>
                <w:szCs w:val="20"/>
              </w:rPr>
              <w:t>сприятиме запобіганню відтоку капіталу за кордон;</w:t>
            </w:r>
          </w:p>
          <w:p w:rsidR="0008410B" w:rsidRPr="00156E52" w:rsidRDefault="0008410B" w:rsidP="0004000E">
            <w:pPr>
              <w:pStyle w:val="a8"/>
              <w:spacing w:before="60" w:after="0"/>
              <w:ind w:left="0" w:right="-2"/>
              <w:jc w:val="both"/>
              <w:rPr>
                <w:sz w:val="20"/>
                <w:szCs w:val="20"/>
              </w:rPr>
            </w:pPr>
          </w:p>
          <w:p w:rsidR="00D054E5" w:rsidRPr="00156E52" w:rsidRDefault="00D054E5" w:rsidP="00D054E5">
            <w:pPr>
              <w:pStyle w:val="a3"/>
              <w:spacing w:before="0" w:beforeAutospacing="0" w:after="0" w:afterAutospacing="0"/>
              <w:ind w:right="-2"/>
              <w:jc w:val="both"/>
              <w:rPr>
                <w:bCs/>
                <w:sz w:val="20"/>
                <w:szCs w:val="20"/>
                <w:lang w:val="uk-UA"/>
              </w:rPr>
            </w:pPr>
            <w:r w:rsidRPr="00156E52">
              <w:rPr>
                <w:sz w:val="20"/>
                <w:szCs w:val="20"/>
                <w:lang w:val="uk-UA"/>
              </w:rPr>
              <w:t>3</w:t>
            </w:r>
            <w:r w:rsidR="006D1709" w:rsidRPr="00156E52">
              <w:rPr>
                <w:sz w:val="20"/>
                <w:szCs w:val="20"/>
                <w:lang w:val="uk-UA"/>
              </w:rPr>
              <w:t>) створить більш сприятливі ум</w:t>
            </w:r>
            <w:r w:rsidR="0008410B" w:rsidRPr="00156E52">
              <w:rPr>
                <w:sz w:val="20"/>
                <w:szCs w:val="20"/>
                <w:lang w:val="uk-UA"/>
              </w:rPr>
              <w:t>ови для  інвестиційного клімату;</w:t>
            </w:r>
          </w:p>
          <w:p w:rsidR="00D054E5" w:rsidRPr="00156E52" w:rsidRDefault="0008410B" w:rsidP="00D054E5">
            <w:pPr>
              <w:pStyle w:val="a3"/>
              <w:spacing w:before="0" w:beforeAutospacing="0" w:after="0" w:afterAutospacing="0"/>
              <w:ind w:right="-2"/>
              <w:jc w:val="both"/>
              <w:rPr>
                <w:sz w:val="20"/>
                <w:szCs w:val="20"/>
                <w:lang w:val="uk-UA"/>
              </w:rPr>
            </w:pPr>
            <w:r w:rsidRPr="00156E52">
              <w:rPr>
                <w:bCs/>
                <w:sz w:val="20"/>
                <w:szCs w:val="20"/>
                <w:lang w:val="uk-UA"/>
              </w:rPr>
              <w:t>4</w:t>
            </w:r>
            <w:r w:rsidR="00D054E5" w:rsidRPr="00156E52">
              <w:rPr>
                <w:bCs/>
                <w:sz w:val="20"/>
                <w:szCs w:val="20"/>
                <w:lang w:val="uk-UA"/>
              </w:rPr>
              <w:t>)</w:t>
            </w:r>
            <w:r w:rsidR="00D054E5" w:rsidRPr="00156E52">
              <w:rPr>
                <w:sz w:val="20"/>
                <w:szCs w:val="20"/>
                <w:lang w:val="uk-UA"/>
              </w:rPr>
              <w:t xml:space="preserve"> оподаткування лише операцій з виведення капіталу (п</w:t>
            </w:r>
            <w:r w:rsidR="00D054E5" w:rsidRPr="00156E52">
              <w:rPr>
                <w:rFonts w:eastAsia="Calibri"/>
                <w:sz w:val="20"/>
                <w:szCs w:val="20"/>
                <w:lang w:val="uk-UA"/>
              </w:rPr>
              <w:t>рирівняних операцій)</w:t>
            </w:r>
            <w:r w:rsidR="00D054E5" w:rsidRPr="00156E52">
              <w:rPr>
                <w:sz w:val="20"/>
                <w:szCs w:val="20"/>
                <w:lang w:val="uk-UA"/>
              </w:rPr>
              <w:t xml:space="preserve">; </w:t>
            </w:r>
          </w:p>
          <w:p w:rsidR="0008410B" w:rsidRPr="00156E52" w:rsidRDefault="0008410B" w:rsidP="0008410B">
            <w:pPr>
              <w:pStyle w:val="a3"/>
              <w:ind w:right="-2"/>
              <w:jc w:val="both"/>
              <w:rPr>
                <w:sz w:val="20"/>
                <w:szCs w:val="20"/>
                <w:lang w:val="uk-UA"/>
              </w:rPr>
            </w:pPr>
            <w:r w:rsidRPr="00156E52">
              <w:rPr>
                <w:sz w:val="20"/>
                <w:szCs w:val="20"/>
                <w:lang w:val="uk-UA"/>
              </w:rPr>
              <w:t>5) економія витрат на складання звітності: для суб’єктів господарювання  сума вигід (економії) складатиме 307 486 853,4 гривні</w:t>
            </w:r>
            <w:r w:rsidR="00156E52" w:rsidRPr="00156E52">
              <w:rPr>
                <w:sz w:val="20"/>
                <w:szCs w:val="20"/>
                <w:lang w:val="uk-UA"/>
              </w:rPr>
              <w:t>.</w:t>
            </w:r>
          </w:p>
          <w:p w:rsidR="0008410B" w:rsidRPr="00156E52" w:rsidRDefault="0008410B" w:rsidP="00D054E5">
            <w:pPr>
              <w:pStyle w:val="a3"/>
              <w:spacing w:before="0" w:beforeAutospacing="0" w:after="0" w:afterAutospacing="0"/>
              <w:ind w:right="-2"/>
              <w:jc w:val="both"/>
              <w:rPr>
                <w:sz w:val="20"/>
                <w:szCs w:val="20"/>
                <w:lang w:val="uk-UA"/>
              </w:rPr>
            </w:pPr>
          </w:p>
          <w:p w:rsidR="0010176C" w:rsidRPr="00156E52" w:rsidRDefault="0010176C" w:rsidP="0004000E">
            <w:pPr>
              <w:ind w:right="-2"/>
              <w:jc w:val="both"/>
              <w:rPr>
                <w:sz w:val="20"/>
                <w:szCs w:val="20"/>
                <w:lang w:val="uk-UA"/>
              </w:rPr>
            </w:pPr>
          </w:p>
        </w:tc>
        <w:tc>
          <w:tcPr>
            <w:tcW w:w="2977" w:type="dxa"/>
          </w:tcPr>
          <w:p w:rsidR="0010176C" w:rsidRPr="00156E52" w:rsidRDefault="0010176C" w:rsidP="0004000E">
            <w:pPr>
              <w:pStyle w:val="a3"/>
              <w:spacing w:before="0" w:beforeAutospacing="0" w:after="0" w:afterAutospacing="0"/>
              <w:ind w:right="-2"/>
              <w:jc w:val="both"/>
              <w:rPr>
                <w:i/>
                <w:sz w:val="20"/>
                <w:szCs w:val="20"/>
                <w:lang w:val="uk-UA"/>
              </w:rPr>
            </w:pPr>
            <w:r w:rsidRPr="00156E52">
              <w:rPr>
                <w:i/>
                <w:sz w:val="20"/>
                <w:szCs w:val="20"/>
                <w:lang w:val="uk-UA"/>
              </w:rPr>
              <w:t>Основні витрати держави пов’язані із:</w:t>
            </w:r>
          </w:p>
          <w:p w:rsidR="00F64E26" w:rsidRPr="00156E52" w:rsidRDefault="00F64E26" w:rsidP="0004000E">
            <w:pPr>
              <w:ind w:left="-22" w:right="-2" w:firstLine="56"/>
              <w:jc w:val="both"/>
              <w:rPr>
                <w:sz w:val="20"/>
                <w:szCs w:val="20"/>
                <w:lang w:val="uk-UA"/>
              </w:rPr>
            </w:pPr>
            <w:r w:rsidRPr="00156E52">
              <w:rPr>
                <w:sz w:val="20"/>
                <w:szCs w:val="20"/>
                <w:lang w:val="uk-UA"/>
              </w:rPr>
              <w:t xml:space="preserve">1) </w:t>
            </w:r>
            <w:r w:rsidR="009F3709" w:rsidRPr="00156E52">
              <w:rPr>
                <w:sz w:val="20"/>
                <w:szCs w:val="20"/>
                <w:lang w:val="uk-UA"/>
              </w:rPr>
              <w:t xml:space="preserve">суттєвим </w:t>
            </w:r>
            <w:r w:rsidRPr="00156E52">
              <w:rPr>
                <w:sz w:val="20"/>
                <w:szCs w:val="20"/>
                <w:lang w:val="uk-UA"/>
              </w:rPr>
              <w:t>зменшення</w:t>
            </w:r>
            <w:r w:rsidR="009F3709" w:rsidRPr="00156E52">
              <w:rPr>
                <w:sz w:val="20"/>
                <w:szCs w:val="20"/>
                <w:lang w:val="uk-UA"/>
              </w:rPr>
              <w:t>м</w:t>
            </w:r>
            <w:r w:rsidRPr="00156E52">
              <w:rPr>
                <w:sz w:val="20"/>
                <w:szCs w:val="20"/>
                <w:lang w:val="uk-UA"/>
              </w:rPr>
              <w:t xml:space="preserve"> надходжень до бюджету від податку на виведений капітал в перші роки </w:t>
            </w:r>
            <w:r w:rsidR="00070686" w:rsidRPr="00156E52">
              <w:rPr>
                <w:sz w:val="20"/>
                <w:szCs w:val="20"/>
                <w:lang w:val="uk-UA"/>
              </w:rPr>
              <w:t xml:space="preserve">його </w:t>
            </w:r>
            <w:r w:rsidRPr="00156E52">
              <w:rPr>
                <w:sz w:val="20"/>
                <w:szCs w:val="20"/>
                <w:lang w:val="uk-UA"/>
              </w:rPr>
              <w:t>запровадження  порівняно з податком на прибуток</w:t>
            </w:r>
            <w:r w:rsidR="006D1709" w:rsidRPr="00156E52">
              <w:rPr>
                <w:sz w:val="20"/>
                <w:szCs w:val="20"/>
                <w:lang w:val="uk-UA"/>
              </w:rPr>
              <w:t xml:space="preserve"> підприємств</w:t>
            </w:r>
            <w:r w:rsidR="00156E52" w:rsidRPr="00156E52">
              <w:rPr>
                <w:sz w:val="20"/>
                <w:szCs w:val="20"/>
                <w:lang w:val="uk-UA"/>
              </w:rPr>
              <w:t>.</w:t>
            </w:r>
            <w:r w:rsidRPr="00156E52">
              <w:rPr>
                <w:sz w:val="20"/>
                <w:szCs w:val="20"/>
                <w:lang w:val="uk-UA"/>
              </w:rPr>
              <w:t xml:space="preserve"> </w:t>
            </w:r>
          </w:p>
          <w:p w:rsidR="00D054E5" w:rsidRPr="00156E52" w:rsidRDefault="00D054E5" w:rsidP="0004000E">
            <w:pPr>
              <w:ind w:left="-22" w:right="-2" w:firstLine="56"/>
              <w:jc w:val="both"/>
              <w:rPr>
                <w:sz w:val="20"/>
                <w:szCs w:val="20"/>
                <w:lang w:val="uk-UA"/>
              </w:rPr>
            </w:pPr>
            <w:r w:rsidRPr="00156E52">
              <w:rPr>
                <w:sz w:val="20"/>
                <w:szCs w:val="20"/>
                <w:lang w:val="uk-UA"/>
              </w:rPr>
              <w:t>Так, за попередніми розрахунками Мінфіну, сума податку на виведений капітал та прирівняні до виведення капіталу платежі  (в умовах 2016 року) становить 25,1 млрд. грн., що на 35.2 млрд. грн. менше фактичних надходжень податку на прибуток підприємств у 2016 році (факт по Зведеному бюджету – 60,2 млрд. грн). Прогнозні надходження з цього податку у 2018 році – 32,5 млрд. грн, що  на 47,6 млрд. грн</w:t>
            </w:r>
            <w:r w:rsidR="00156E52" w:rsidRPr="00156E52">
              <w:rPr>
                <w:sz w:val="20"/>
                <w:szCs w:val="20"/>
                <w:lang w:val="uk-UA"/>
              </w:rPr>
              <w:t>.</w:t>
            </w:r>
            <w:r w:rsidRPr="00156E52">
              <w:rPr>
                <w:sz w:val="20"/>
                <w:szCs w:val="20"/>
                <w:lang w:val="uk-UA"/>
              </w:rPr>
              <w:t xml:space="preserve"> менше прогнозної суми </w:t>
            </w:r>
            <w:r w:rsidR="00156E52" w:rsidRPr="00156E52">
              <w:rPr>
                <w:sz w:val="20"/>
                <w:szCs w:val="20"/>
                <w:lang w:val="uk-UA"/>
              </w:rPr>
              <w:t>податку на прибуток підприємств;</w:t>
            </w:r>
          </w:p>
          <w:p w:rsidR="00D054E5" w:rsidRPr="00156E52" w:rsidRDefault="00D054E5" w:rsidP="00D054E5">
            <w:pPr>
              <w:ind w:left="-22" w:right="-2"/>
              <w:jc w:val="both"/>
              <w:rPr>
                <w:sz w:val="20"/>
                <w:szCs w:val="20"/>
                <w:lang w:val="uk-UA"/>
              </w:rPr>
            </w:pPr>
            <w:r w:rsidRPr="00156E52">
              <w:rPr>
                <w:sz w:val="20"/>
                <w:szCs w:val="20"/>
                <w:lang w:val="uk-UA"/>
              </w:rPr>
              <w:t>2) пошуком компенсаторів для покриття обсягів недонадходжень до бюджету, які забезпечувались надходженнями з податку на прибуток підприємств, щонайменше протягом 3-х років;</w:t>
            </w:r>
          </w:p>
          <w:p w:rsidR="00F64E26" w:rsidRPr="00156E52" w:rsidRDefault="00D054E5" w:rsidP="0004000E">
            <w:pPr>
              <w:ind w:left="-22" w:right="-2"/>
              <w:jc w:val="both"/>
              <w:rPr>
                <w:sz w:val="20"/>
                <w:szCs w:val="20"/>
                <w:lang w:val="uk-UA"/>
              </w:rPr>
            </w:pPr>
            <w:r w:rsidRPr="00156E52">
              <w:rPr>
                <w:sz w:val="20"/>
                <w:szCs w:val="20"/>
                <w:lang w:val="uk-UA"/>
              </w:rPr>
              <w:t>3</w:t>
            </w:r>
            <w:r w:rsidR="00F64E26" w:rsidRPr="00156E52">
              <w:rPr>
                <w:sz w:val="20"/>
                <w:szCs w:val="20"/>
                <w:lang w:val="uk-UA"/>
              </w:rPr>
              <w:t>) нівелюванням існуючих міжнародних договорів про уникнення подвійного оподаткування, укладен</w:t>
            </w:r>
            <w:r w:rsidR="003F216E" w:rsidRPr="00156E52">
              <w:rPr>
                <w:sz w:val="20"/>
                <w:szCs w:val="20"/>
                <w:lang w:val="uk-UA"/>
              </w:rPr>
              <w:t>их</w:t>
            </w:r>
            <w:r w:rsidR="00F64E26" w:rsidRPr="00156E52">
              <w:rPr>
                <w:sz w:val="20"/>
                <w:szCs w:val="20"/>
                <w:lang w:val="uk-UA"/>
              </w:rPr>
              <w:t xml:space="preserve"> Україною з іншими країнами</w:t>
            </w:r>
            <w:r w:rsidRPr="00156E52">
              <w:rPr>
                <w:sz w:val="20"/>
                <w:szCs w:val="20"/>
                <w:lang w:val="uk-UA"/>
              </w:rPr>
              <w:t xml:space="preserve"> </w:t>
            </w:r>
            <w:r w:rsidRPr="00156E52">
              <w:rPr>
                <w:sz w:val="20"/>
                <w:szCs w:val="20"/>
                <w:lang w:val="uk-UA"/>
              </w:rPr>
              <w:lastRenderedPageBreak/>
              <w:t>(</w:t>
            </w:r>
            <w:r w:rsidR="00156E52" w:rsidRPr="00156E52">
              <w:rPr>
                <w:sz w:val="20"/>
                <w:szCs w:val="20"/>
                <w:lang w:val="uk-UA"/>
              </w:rPr>
              <w:t>н</w:t>
            </w:r>
            <w:r w:rsidRPr="00156E52">
              <w:rPr>
                <w:sz w:val="20"/>
                <w:szCs w:val="20"/>
                <w:lang w:val="uk-UA"/>
              </w:rPr>
              <w:t>а сьогоднішній день Україна має 70 діючих міжнародних угод щодо уникнення подвійного оподаткування)</w:t>
            </w:r>
            <w:r w:rsidR="00F64E26" w:rsidRPr="00156E52">
              <w:rPr>
                <w:sz w:val="20"/>
                <w:szCs w:val="20"/>
                <w:lang w:val="uk-UA"/>
              </w:rPr>
              <w:t>;</w:t>
            </w:r>
          </w:p>
          <w:p w:rsidR="0010176C" w:rsidRPr="00156E52" w:rsidRDefault="006D1709" w:rsidP="0004000E">
            <w:pPr>
              <w:ind w:right="-2" w:firstLine="34"/>
              <w:jc w:val="both"/>
              <w:rPr>
                <w:sz w:val="20"/>
                <w:szCs w:val="20"/>
                <w:lang w:val="uk-UA"/>
              </w:rPr>
            </w:pPr>
            <w:r w:rsidRPr="00156E52">
              <w:rPr>
                <w:sz w:val="20"/>
                <w:szCs w:val="20"/>
                <w:lang w:val="uk-UA"/>
              </w:rPr>
              <w:t>4</w:t>
            </w:r>
            <w:r w:rsidR="00F64E26" w:rsidRPr="00156E52">
              <w:rPr>
                <w:sz w:val="20"/>
                <w:szCs w:val="20"/>
                <w:lang w:val="uk-UA"/>
              </w:rPr>
              <w:t>)</w:t>
            </w:r>
            <w:r w:rsidR="0010176C" w:rsidRPr="00156E52">
              <w:rPr>
                <w:sz w:val="20"/>
                <w:szCs w:val="20"/>
                <w:lang w:val="uk-UA"/>
              </w:rPr>
              <w:t xml:space="preserve"> встановленням </w:t>
            </w:r>
            <w:r w:rsidR="0010176C" w:rsidRPr="00156E52">
              <w:rPr>
                <w:rFonts w:eastAsia="Calibri"/>
                <w:sz w:val="20"/>
                <w:szCs w:val="20"/>
                <w:lang w:val="uk-UA"/>
              </w:rPr>
              <w:t>форм звіт</w:t>
            </w:r>
            <w:r w:rsidR="003F216E" w:rsidRPr="00156E52">
              <w:rPr>
                <w:rFonts w:eastAsia="Calibri"/>
                <w:sz w:val="20"/>
                <w:szCs w:val="20"/>
                <w:lang w:val="uk-UA"/>
              </w:rPr>
              <w:t>-</w:t>
            </w:r>
            <w:proofErr w:type="spellStart"/>
            <w:r w:rsidR="0010176C" w:rsidRPr="00156E52">
              <w:rPr>
                <w:rFonts w:eastAsia="Calibri"/>
                <w:sz w:val="20"/>
                <w:szCs w:val="20"/>
                <w:lang w:val="uk-UA"/>
              </w:rPr>
              <w:t>ності</w:t>
            </w:r>
            <w:proofErr w:type="spellEnd"/>
            <w:r w:rsidR="0010176C" w:rsidRPr="00156E52">
              <w:rPr>
                <w:rFonts w:eastAsia="Calibri"/>
                <w:sz w:val="20"/>
                <w:szCs w:val="20"/>
                <w:lang w:val="uk-UA"/>
              </w:rPr>
              <w:t xml:space="preserve"> з податку на виведений капітал</w:t>
            </w:r>
            <w:r w:rsidR="0010176C" w:rsidRPr="00156E52">
              <w:rPr>
                <w:sz w:val="20"/>
                <w:szCs w:val="20"/>
                <w:lang w:val="uk-UA"/>
              </w:rPr>
              <w:t>;</w:t>
            </w:r>
          </w:p>
          <w:p w:rsidR="0010176C" w:rsidRPr="00156E52" w:rsidRDefault="003F216E" w:rsidP="0004000E">
            <w:pPr>
              <w:pStyle w:val="a3"/>
              <w:widowControl w:val="0"/>
              <w:spacing w:before="60" w:beforeAutospacing="0" w:after="0" w:afterAutospacing="0"/>
              <w:ind w:right="-2" w:firstLine="34"/>
              <w:jc w:val="both"/>
              <w:rPr>
                <w:sz w:val="20"/>
                <w:szCs w:val="20"/>
                <w:lang w:val="uk-UA"/>
              </w:rPr>
            </w:pPr>
            <w:r w:rsidRPr="00156E52">
              <w:rPr>
                <w:sz w:val="20"/>
                <w:szCs w:val="20"/>
                <w:lang w:val="uk-UA"/>
              </w:rPr>
              <w:t xml:space="preserve">5) </w:t>
            </w:r>
            <w:r w:rsidR="0010176C" w:rsidRPr="00156E52">
              <w:rPr>
                <w:sz w:val="20"/>
                <w:szCs w:val="20"/>
                <w:lang w:val="uk-UA"/>
              </w:rPr>
              <w:t>веденням обліку платників податку на виведений капітал;</w:t>
            </w:r>
          </w:p>
          <w:p w:rsidR="0010176C" w:rsidRPr="00156E52" w:rsidRDefault="006D1709" w:rsidP="0004000E">
            <w:pPr>
              <w:pStyle w:val="a3"/>
              <w:widowControl w:val="0"/>
              <w:spacing w:before="60" w:beforeAutospacing="0" w:after="0" w:afterAutospacing="0"/>
              <w:ind w:right="-2"/>
              <w:jc w:val="both"/>
              <w:rPr>
                <w:rFonts w:eastAsia="Calibri"/>
                <w:sz w:val="20"/>
                <w:szCs w:val="20"/>
                <w:lang w:val="uk-UA"/>
              </w:rPr>
            </w:pPr>
            <w:r w:rsidRPr="00156E52">
              <w:rPr>
                <w:rFonts w:eastAsia="Calibri"/>
                <w:sz w:val="20"/>
                <w:szCs w:val="20"/>
                <w:lang w:val="uk-UA"/>
              </w:rPr>
              <w:t>6</w:t>
            </w:r>
            <w:r w:rsidR="00F64E26" w:rsidRPr="00156E52">
              <w:rPr>
                <w:rFonts w:eastAsia="Calibri"/>
                <w:sz w:val="20"/>
                <w:szCs w:val="20"/>
                <w:lang w:val="uk-UA"/>
              </w:rPr>
              <w:t>)</w:t>
            </w:r>
            <w:r w:rsidR="00A210FD" w:rsidRPr="00156E52">
              <w:rPr>
                <w:rFonts w:eastAsia="Calibri"/>
                <w:sz w:val="20"/>
                <w:szCs w:val="20"/>
                <w:lang w:val="uk-UA"/>
              </w:rPr>
              <w:t xml:space="preserve"> </w:t>
            </w:r>
            <w:r w:rsidR="0010176C" w:rsidRPr="00156E52">
              <w:rPr>
                <w:rFonts w:eastAsia="Calibri"/>
                <w:sz w:val="20"/>
                <w:szCs w:val="20"/>
                <w:lang w:val="uk-UA"/>
              </w:rPr>
              <w:t>адмініструванням податку на виведений капітал;</w:t>
            </w:r>
          </w:p>
          <w:p w:rsidR="006D1709" w:rsidRPr="00156E52" w:rsidRDefault="006D1709" w:rsidP="0004000E">
            <w:pPr>
              <w:pStyle w:val="af"/>
              <w:numPr>
                <w:ilvl w:val="0"/>
                <w:numId w:val="30"/>
              </w:numPr>
              <w:ind w:left="-22" w:right="-2"/>
              <w:jc w:val="both"/>
              <w:rPr>
                <w:rFonts w:ascii="Times New Roman" w:eastAsia="Times New Roman" w:hAnsi="Times New Roman" w:cs="Times New Roman"/>
                <w:sz w:val="20"/>
                <w:szCs w:val="20"/>
                <w:lang w:eastAsia="ru-RU"/>
              </w:rPr>
            </w:pPr>
            <w:r w:rsidRPr="00156E52">
              <w:rPr>
                <w:rFonts w:ascii="Times New Roman" w:eastAsia="Times New Roman" w:hAnsi="Times New Roman" w:cs="Times New Roman"/>
                <w:sz w:val="20"/>
                <w:szCs w:val="20"/>
                <w:lang w:eastAsia="ru-RU"/>
              </w:rPr>
              <w:t xml:space="preserve">7) встановленням </w:t>
            </w:r>
            <w:proofErr w:type="spellStart"/>
            <w:r w:rsidRPr="00156E52">
              <w:rPr>
                <w:rFonts w:ascii="Times New Roman" w:eastAsia="Times New Roman" w:hAnsi="Times New Roman" w:cs="Times New Roman"/>
                <w:sz w:val="20"/>
                <w:szCs w:val="20"/>
                <w:lang w:eastAsia="ru-RU"/>
              </w:rPr>
              <w:t>законо</w:t>
            </w:r>
            <w:r w:rsidR="003F216E" w:rsidRPr="00156E52">
              <w:rPr>
                <w:rFonts w:ascii="Times New Roman" w:eastAsia="Times New Roman" w:hAnsi="Times New Roman" w:cs="Times New Roman"/>
                <w:sz w:val="20"/>
                <w:szCs w:val="20"/>
                <w:lang w:eastAsia="ru-RU"/>
              </w:rPr>
              <w:t>-</w:t>
            </w:r>
            <w:r w:rsidRPr="00156E52">
              <w:rPr>
                <w:rFonts w:ascii="Times New Roman" w:eastAsia="Times New Roman" w:hAnsi="Times New Roman" w:cs="Times New Roman"/>
                <w:sz w:val="20"/>
                <w:szCs w:val="20"/>
                <w:lang w:eastAsia="ru-RU"/>
              </w:rPr>
              <w:t>давчого</w:t>
            </w:r>
            <w:proofErr w:type="spellEnd"/>
            <w:r w:rsidRPr="00156E52">
              <w:rPr>
                <w:rFonts w:ascii="Times New Roman" w:eastAsia="Times New Roman" w:hAnsi="Times New Roman" w:cs="Times New Roman"/>
                <w:sz w:val="20"/>
                <w:szCs w:val="20"/>
                <w:lang w:eastAsia="ru-RU"/>
              </w:rPr>
              <w:t xml:space="preserve"> механізму та визначення</w:t>
            </w:r>
            <w:r w:rsidR="00716A64" w:rsidRPr="00156E52">
              <w:rPr>
                <w:rFonts w:ascii="Times New Roman" w:eastAsia="Times New Roman" w:hAnsi="Times New Roman" w:cs="Times New Roman"/>
                <w:sz w:val="20"/>
                <w:szCs w:val="20"/>
                <w:lang w:eastAsia="ru-RU"/>
              </w:rPr>
              <w:t>м</w:t>
            </w:r>
            <w:r w:rsidRPr="00156E52">
              <w:rPr>
                <w:rFonts w:ascii="Times New Roman" w:eastAsia="Times New Roman" w:hAnsi="Times New Roman" w:cs="Times New Roman"/>
                <w:sz w:val="20"/>
                <w:szCs w:val="20"/>
                <w:lang w:eastAsia="ru-RU"/>
              </w:rPr>
              <w:t xml:space="preserve"> органу для здійснення моніторингу та передачі до органів ДФС інформації щодо здійснення операцій </w:t>
            </w:r>
            <w:r w:rsidR="00562061" w:rsidRPr="00156E52">
              <w:rPr>
                <w:rFonts w:ascii="Times New Roman" w:eastAsia="Times New Roman" w:hAnsi="Times New Roman" w:cs="Times New Roman"/>
                <w:sz w:val="20"/>
                <w:szCs w:val="20"/>
                <w:lang w:eastAsia="ru-RU"/>
              </w:rPr>
              <w:t>з</w:t>
            </w:r>
            <w:r w:rsidRPr="00156E52">
              <w:rPr>
                <w:rFonts w:ascii="Times New Roman" w:eastAsia="Times New Roman" w:hAnsi="Times New Roman" w:cs="Times New Roman"/>
                <w:sz w:val="20"/>
                <w:szCs w:val="20"/>
                <w:lang w:eastAsia="ru-RU"/>
              </w:rPr>
              <w:t xml:space="preserve"> виводу капіталу, які можуть мати ознаки виведення капіталу з метою ухилення від оподаткування</w:t>
            </w:r>
            <w:r w:rsidRPr="00156E52">
              <w:rPr>
                <w:rFonts w:ascii="Times New Roman" w:eastAsia="Calibri" w:hAnsi="Times New Roman" w:cs="Times New Roman"/>
                <w:sz w:val="20"/>
                <w:szCs w:val="20"/>
              </w:rPr>
              <w:t>;</w:t>
            </w:r>
          </w:p>
          <w:p w:rsidR="00CF7A8F" w:rsidRPr="00156E52" w:rsidRDefault="006D1709" w:rsidP="0004000E">
            <w:pPr>
              <w:ind w:right="-2" w:firstLine="34"/>
              <w:jc w:val="both"/>
              <w:rPr>
                <w:sz w:val="20"/>
                <w:szCs w:val="20"/>
                <w:lang w:val="uk-UA"/>
              </w:rPr>
            </w:pPr>
            <w:r w:rsidRPr="00156E52">
              <w:rPr>
                <w:sz w:val="20"/>
                <w:szCs w:val="20"/>
                <w:lang w:val="uk-UA"/>
              </w:rPr>
              <w:t>8</w:t>
            </w:r>
            <w:r w:rsidR="00F64E26" w:rsidRPr="00156E52">
              <w:rPr>
                <w:sz w:val="20"/>
                <w:szCs w:val="20"/>
                <w:lang w:val="uk-UA"/>
              </w:rPr>
              <w:t>)</w:t>
            </w:r>
            <w:r w:rsidR="00A210FD" w:rsidRPr="00156E52">
              <w:rPr>
                <w:sz w:val="20"/>
                <w:szCs w:val="20"/>
                <w:lang w:val="uk-UA"/>
              </w:rPr>
              <w:t xml:space="preserve"> </w:t>
            </w:r>
            <w:r w:rsidR="0010176C" w:rsidRPr="00156E52">
              <w:rPr>
                <w:sz w:val="20"/>
                <w:szCs w:val="20"/>
                <w:lang w:val="uk-UA"/>
              </w:rPr>
              <w:t xml:space="preserve">опрацюванням звітності,  яка подаватиметься платниками податку за календарний квартал  </w:t>
            </w:r>
            <w:r w:rsidR="005131F8" w:rsidRPr="00156E52">
              <w:rPr>
                <w:sz w:val="20"/>
                <w:szCs w:val="20"/>
                <w:lang w:val="uk-UA"/>
              </w:rPr>
              <w:t>або</w:t>
            </w:r>
            <w:r w:rsidR="0010176C" w:rsidRPr="00156E52">
              <w:rPr>
                <w:sz w:val="20"/>
                <w:szCs w:val="20"/>
                <w:lang w:val="uk-UA"/>
              </w:rPr>
              <w:t xml:space="preserve"> календарний рік</w:t>
            </w:r>
            <w:r w:rsidR="00CF7A8F" w:rsidRPr="00156E52">
              <w:rPr>
                <w:sz w:val="20"/>
                <w:szCs w:val="20"/>
                <w:lang w:val="uk-UA"/>
              </w:rPr>
              <w:t xml:space="preserve"> (для господарських операцій, які визнаються контрольованими).</w:t>
            </w:r>
          </w:p>
          <w:p w:rsidR="00D054E5" w:rsidRPr="00156E52" w:rsidRDefault="00D054E5" w:rsidP="0004000E">
            <w:pPr>
              <w:ind w:right="-2" w:firstLine="34"/>
              <w:jc w:val="both"/>
              <w:rPr>
                <w:sz w:val="20"/>
                <w:szCs w:val="20"/>
                <w:lang w:val="uk-UA"/>
              </w:rPr>
            </w:pPr>
          </w:p>
          <w:p w:rsidR="00D054E5" w:rsidRPr="00156E52" w:rsidRDefault="00D054E5" w:rsidP="0004000E">
            <w:pPr>
              <w:ind w:right="-2" w:firstLine="34"/>
              <w:jc w:val="both"/>
              <w:rPr>
                <w:sz w:val="20"/>
                <w:szCs w:val="20"/>
                <w:lang w:val="uk-UA"/>
              </w:rPr>
            </w:pPr>
            <w:r w:rsidRPr="00156E52">
              <w:rPr>
                <w:sz w:val="20"/>
                <w:szCs w:val="20"/>
                <w:lang w:val="uk-UA"/>
              </w:rPr>
              <w:t xml:space="preserve">Витрати на запровадження державного регулювання регуляторного </w:t>
            </w:r>
            <w:proofErr w:type="spellStart"/>
            <w:r w:rsidRPr="00156E52">
              <w:rPr>
                <w:sz w:val="20"/>
                <w:szCs w:val="20"/>
                <w:lang w:val="uk-UA"/>
              </w:rPr>
              <w:t>акта</w:t>
            </w:r>
            <w:proofErr w:type="spellEnd"/>
            <w:r w:rsidRPr="00156E52">
              <w:rPr>
                <w:sz w:val="20"/>
                <w:szCs w:val="20"/>
                <w:lang w:val="uk-UA"/>
              </w:rPr>
              <w:t xml:space="preserve"> для контролюючих органів складатимуть 8 470 361,62 гривні за рік.</w:t>
            </w:r>
          </w:p>
          <w:p w:rsidR="006D1709" w:rsidRPr="00156E52" w:rsidRDefault="006D1709" w:rsidP="00D054E5">
            <w:pPr>
              <w:ind w:right="-2"/>
              <w:jc w:val="both"/>
              <w:rPr>
                <w:sz w:val="20"/>
                <w:szCs w:val="20"/>
                <w:lang w:val="uk-UA"/>
              </w:rPr>
            </w:pPr>
          </w:p>
        </w:tc>
        <w:tc>
          <w:tcPr>
            <w:tcW w:w="2268" w:type="dxa"/>
          </w:tcPr>
          <w:p w:rsidR="0010176C" w:rsidRPr="00156E52" w:rsidRDefault="0010176C" w:rsidP="0004000E">
            <w:pPr>
              <w:ind w:right="-2"/>
              <w:jc w:val="both"/>
              <w:rPr>
                <w:sz w:val="20"/>
                <w:szCs w:val="20"/>
                <w:lang w:val="uk-UA"/>
              </w:rPr>
            </w:pPr>
            <w:r w:rsidRPr="00156E52">
              <w:rPr>
                <w:sz w:val="20"/>
                <w:szCs w:val="20"/>
                <w:lang w:val="uk-UA"/>
              </w:rPr>
              <w:lastRenderedPageBreak/>
              <w:t>Найоптимальніша серед запропонованих альтернатив, оскільки надає змогу досягну</w:t>
            </w:r>
            <w:r w:rsidR="008E1006" w:rsidRPr="00156E52">
              <w:rPr>
                <w:sz w:val="20"/>
                <w:szCs w:val="20"/>
                <w:lang w:val="uk-UA"/>
              </w:rPr>
              <w:t xml:space="preserve">ти поставлених цілей державного </w:t>
            </w:r>
            <w:r w:rsidRPr="00156E52">
              <w:rPr>
                <w:sz w:val="20"/>
                <w:szCs w:val="20"/>
                <w:lang w:val="uk-UA"/>
              </w:rPr>
              <w:t>регулювання.</w:t>
            </w:r>
          </w:p>
          <w:p w:rsidR="0010176C" w:rsidRPr="00156E52" w:rsidRDefault="0010176C" w:rsidP="0004000E">
            <w:pPr>
              <w:ind w:right="-2"/>
              <w:rPr>
                <w:sz w:val="20"/>
                <w:szCs w:val="20"/>
                <w:lang w:val="uk-UA"/>
              </w:rPr>
            </w:pPr>
          </w:p>
        </w:tc>
      </w:tr>
      <w:tr w:rsidR="0004000E" w:rsidRPr="001212D7" w:rsidTr="009A2DE8">
        <w:tc>
          <w:tcPr>
            <w:tcW w:w="2088" w:type="dxa"/>
          </w:tcPr>
          <w:p w:rsidR="002759AA" w:rsidRPr="001212D7" w:rsidRDefault="002759AA" w:rsidP="0004000E">
            <w:pPr>
              <w:ind w:right="-2"/>
              <w:rPr>
                <w:sz w:val="20"/>
                <w:szCs w:val="20"/>
                <w:lang w:val="uk-UA"/>
              </w:rPr>
            </w:pPr>
          </w:p>
          <w:p w:rsidR="0010176C" w:rsidRPr="001212D7" w:rsidRDefault="0010176C" w:rsidP="0004000E">
            <w:pPr>
              <w:ind w:right="-2"/>
              <w:rPr>
                <w:sz w:val="20"/>
                <w:szCs w:val="20"/>
                <w:lang w:val="uk-UA"/>
              </w:rPr>
            </w:pPr>
            <w:r w:rsidRPr="001212D7">
              <w:rPr>
                <w:sz w:val="20"/>
                <w:szCs w:val="20"/>
                <w:lang w:val="uk-UA"/>
              </w:rPr>
              <w:t>Альтернатива 2</w:t>
            </w:r>
          </w:p>
        </w:tc>
        <w:tc>
          <w:tcPr>
            <w:tcW w:w="2590" w:type="dxa"/>
          </w:tcPr>
          <w:p w:rsidR="0008410B" w:rsidRPr="0008410B" w:rsidRDefault="0008410B" w:rsidP="0008410B">
            <w:pPr>
              <w:ind w:right="-2"/>
              <w:jc w:val="both"/>
              <w:rPr>
                <w:sz w:val="20"/>
                <w:szCs w:val="20"/>
                <w:lang w:val="uk-UA"/>
              </w:rPr>
            </w:pPr>
            <w:r w:rsidRPr="0008410B">
              <w:rPr>
                <w:sz w:val="20"/>
                <w:szCs w:val="20"/>
                <w:lang w:val="uk-UA"/>
              </w:rPr>
              <w:t>1) залишення без змін  існуючої моделі оподаткування податком на прибуток підприємств;</w:t>
            </w:r>
          </w:p>
          <w:p w:rsidR="0010176C" w:rsidRDefault="0008410B" w:rsidP="0008410B">
            <w:pPr>
              <w:ind w:right="-2"/>
              <w:jc w:val="both"/>
              <w:rPr>
                <w:sz w:val="20"/>
                <w:szCs w:val="20"/>
                <w:lang w:val="uk-UA"/>
              </w:rPr>
            </w:pPr>
            <w:r w:rsidRPr="0008410B">
              <w:rPr>
                <w:sz w:val="20"/>
                <w:szCs w:val="20"/>
                <w:lang w:val="uk-UA"/>
              </w:rPr>
              <w:t>2) уникнення втрат бюджету при запровадженні податку на виведений капітал;</w:t>
            </w:r>
          </w:p>
          <w:p w:rsidR="0008410B" w:rsidRPr="001212D7" w:rsidRDefault="0008410B" w:rsidP="0008410B">
            <w:pPr>
              <w:ind w:right="-2"/>
              <w:jc w:val="both"/>
              <w:rPr>
                <w:sz w:val="20"/>
                <w:szCs w:val="20"/>
                <w:lang w:val="uk-UA"/>
              </w:rPr>
            </w:pPr>
          </w:p>
        </w:tc>
        <w:tc>
          <w:tcPr>
            <w:tcW w:w="2977" w:type="dxa"/>
          </w:tcPr>
          <w:p w:rsidR="0010176C" w:rsidRPr="001212D7" w:rsidRDefault="0010176C" w:rsidP="0004000E">
            <w:pPr>
              <w:pStyle w:val="a3"/>
              <w:spacing w:before="0" w:beforeAutospacing="0" w:after="0" w:afterAutospacing="0"/>
              <w:ind w:right="-2"/>
              <w:jc w:val="both"/>
              <w:rPr>
                <w:sz w:val="20"/>
                <w:szCs w:val="20"/>
                <w:lang w:val="uk-UA"/>
              </w:rPr>
            </w:pPr>
            <w:r w:rsidRPr="001212D7">
              <w:rPr>
                <w:sz w:val="20"/>
                <w:szCs w:val="20"/>
                <w:lang w:val="uk-UA"/>
              </w:rPr>
              <w:t>Не</w:t>
            </w:r>
            <w:r w:rsidR="00EF13D5" w:rsidRPr="001212D7">
              <w:rPr>
                <w:sz w:val="20"/>
                <w:szCs w:val="20"/>
                <w:lang w:val="uk-UA"/>
              </w:rPr>
              <w:t xml:space="preserve"> </w:t>
            </w:r>
            <w:r w:rsidRPr="001212D7">
              <w:rPr>
                <w:sz w:val="20"/>
                <w:szCs w:val="20"/>
                <w:lang w:val="uk-UA"/>
              </w:rPr>
              <w:t xml:space="preserve">запровадження податку на виведений капітал може призвести до: </w:t>
            </w:r>
          </w:p>
          <w:p w:rsidR="0010176C" w:rsidRPr="001212D7" w:rsidRDefault="0010176C" w:rsidP="0004000E">
            <w:pPr>
              <w:pStyle w:val="a3"/>
              <w:spacing w:before="0" w:beforeAutospacing="0" w:after="0" w:afterAutospacing="0"/>
              <w:ind w:right="-2"/>
              <w:jc w:val="both"/>
              <w:rPr>
                <w:sz w:val="20"/>
                <w:szCs w:val="20"/>
              </w:rPr>
            </w:pPr>
            <w:r w:rsidRPr="001212D7">
              <w:rPr>
                <w:sz w:val="20"/>
                <w:szCs w:val="20"/>
                <w:lang w:val="uk-UA"/>
              </w:rPr>
              <w:t>невиконання вимог п</w:t>
            </w:r>
            <w:r w:rsidRPr="001212D7">
              <w:rPr>
                <w:rFonts w:eastAsia="Calibri"/>
                <w:sz w:val="20"/>
                <w:szCs w:val="20"/>
                <w:lang w:val="uk-UA" w:eastAsia="en-US"/>
              </w:rPr>
              <w:t xml:space="preserve">ункту 5 розділу </w:t>
            </w:r>
            <w:r w:rsidRPr="001212D7">
              <w:rPr>
                <w:rFonts w:eastAsia="Calibri"/>
                <w:sz w:val="20"/>
                <w:szCs w:val="20"/>
                <w:lang w:eastAsia="en-US"/>
              </w:rPr>
              <w:t>II</w:t>
            </w:r>
            <w:r w:rsidRPr="001212D7">
              <w:rPr>
                <w:rFonts w:eastAsia="Calibri"/>
                <w:sz w:val="20"/>
                <w:szCs w:val="20"/>
                <w:lang w:val="uk-UA" w:eastAsia="en-US"/>
              </w:rPr>
              <w:t xml:space="preserve"> «Прикінцеві та перехідні положення» Закону № 1797</w:t>
            </w:r>
            <w:r w:rsidR="00A3643C" w:rsidRPr="001212D7">
              <w:rPr>
                <w:sz w:val="20"/>
                <w:szCs w:val="20"/>
                <w:lang w:val="uk-UA"/>
              </w:rPr>
              <w:t>.</w:t>
            </w:r>
          </w:p>
          <w:p w:rsidR="0004000E" w:rsidRPr="001212D7" w:rsidRDefault="0004000E" w:rsidP="0004000E">
            <w:pPr>
              <w:pStyle w:val="a3"/>
              <w:spacing w:before="0" w:beforeAutospacing="0" w:after="0" w:afterAutospacing="0"/>
              <w:ind w:right="-2"/>
              <w:jc w:val="both"/>
              <w:rPr>
                <w:sz w:val="20"/>
                <w:szCs w:val="20"/>
              </w:rPr>
            </w:pPr>
          </w:p>
        </w:tc>
        <w:tc>
          <w:tcPr>
            <w:tcW w:w="2268" w:type="dxa"/>
          </w:tcPr>
          <w:p w:rsidR="0010176C" w:rsidRPr="001212D7" w:rsidRDefault="0010176C" w:rsidP="0004000E">
            <w:pPr>
              <w:ind w:right="-2"/>
              <w:jc w:val="both"/>
              <w:rPr>
                <w:sz w:val="20"/>
                <w:szCs w:val="20"/>
                <w:lang w:val="uk-UA"/>
              </w:rPr>
            </w:pPr>
            <w:r w:rsidRPr="001212D7">
              <w:rPr>
                <w:sz w:val="20"/>
                <w:szCs w:val="20"/>
                <w:lang w:val="uk-UA"/>
              </w:rPr>
              <w:t>Не дає змоги виконати вимоги п</w:t>
            </w:r>
            <w:r w:rsidRPr="001212D7">
              <w:rPr>
                <w:rFonts w:eastAsia="Calibri"/>
                <w:sz w:val="20"/>
                <w:szCs w:val="20"/>
                <w:lang w:val="uk-UA" w:eastAsia="en-US"/>
              </w:rPr>
              <w:t xml:space="preserve">ункту 5 розділу </w:t>
            </w:r>
            <w:r w:rsidRPr="001212D7">
              <w:rPr>
                <w:rFonts w:eastAsia="Calibri"/>
                <w:sz w:val="20"/>
                <w:szCs w:val="20"/>
                <w:lang w:eastAsia="en-US"/>
              </w:rPr>
              <w:t>II</w:t>
            </w:r>
            <w:r w:rsidRPr="001212D7">
              <w:rPr>
                <w:rFonts w:eastAsia="Calibri"/>
                <w:sz w:val="20"/>
                <w:szCs w:val="20"/>
                <w:lang w:val="uk-UA" w:eastAsia="en-US"/>
              </w:rPr>
              <w:t xml:space="preserve"> «Прик</w:t>
            </w:r>
            <w:r w:rsidR="00B25F1C" w:rsidRPr="001212D7">
              <w:rPr>
                <w:rFonts w:eastAsia="Calibri"/>
                <w:sz w:val="20"/>
                <w:szCs w:val="20"/>
                <w:lang w:val="uk-UA" w:eastAsia="en-US"/>
              </w:rPr>
              <w:t xml:space="preserve">інцеві та перехідні положення» </w:t>
            </w:r>
            <w:r w:rsidRPr="001212D7">
              <w:rPr>
                <w:rFonts w:eastAsia="Calibri"/>
                <w:sz w:val="20"/>
                <w:szCs w:val="20"/>
                <w:lang w:val="uk-UA" w:eastAsia="en-US"/>
              </w:rPr>
              <w:t xml:space="preserve">Закону </w:t>
            </w:r>
            <w:r w:rsidRPr="001212D7">
              <w:rPr>
                <w:rFonts w:eastAsia="Calibri"/>
                <w:sz w:val="20"/>
                <w:szCs w:val="20"/>
                <w:lang w:val="uk-UA" w:eastAsia="en-US"/>
              </w:rPr>
              <w:br/>
              <w:t xml:space="preserve">№ 1797. </w:t>
            </w:r>
          </w:p>
          <w:p w:rsidR="0010176C" w:rsidRPr="001212D7" w:rsidRDefault="0010176C" w:rsidP="0004000E">
            <w:pPr>
              <w:ind w:right="-2"/>
              <w:jc w:val="both"/>
              <w:rPr>
                <w:sz w:val="20"/>
                <w:szCs w:val="20"/>
                <w:lang w:val="uk-UA"/>
              </w:rPr>
            </w:pPr>
          </w:p>
        </w:tc>
      </w:tr>
    </w:tbl>
    <w:p w:rsidR="0010176C" w:rsidRPr="001212D7" w:rsidRDefault="0010176C" w:rsidP="0004000E">
      <w:pPr>
        <w:spacing w:before="120"/>
        <w:ind w:right="-2"/>
        <w:jc w:val="both"/>
        <w:rPr>
          <w:lang w:val="uk-UA"/>
        </w:rPr>
      </w:pPr>
    </w:p>
    <w:p w:rsidR="00015322" w:rsidRPr="001212D7" w:rsidRDefault="00015322" w:rsidP="0004000E">
      <w:pPr>
        <w:pStyle w:val="3"/>
        <w:widowControl w:val="0"/>
        <w:spacing w:before="0" w:beforeAutospacing="0" w:after="0" w:afterAutospacing="0"/>
        <w:ind w:right="-2"/>
        <w:jc w:val="center"/>
        <w:rPr>
          <w:sz w:val="28"/>
          <w:szCs w:val="28"/>
          <w:lang w:val="uk-UA"/>
        </w:rPr>
      </w:pPr>
      <w:r w:rsidRPr="001212D7">
        <w:rPr>
          <w:sz w:val="28"/>
          <w:szCs w:val="28"/>
          <w:lang w:val="uk-UA"/>
        </w:rPr>
        <w:t>V. Механізми та заходи, які забезпечать розв’язання визначеної проблеми</w:t>
      </w:r>
    </w:p>
    <w:p w:rsidR="0098598B" w:rsidRPr="001212D7" w:rsidRDefault="0098598B" w:rsidP="0004000E">
      <w:pPr>
        <w:pStyle w:val="3"/>
        <w:widowControl w:val="0"/>
        <w:spacing w:before="0" w:beforeAutospacing="0" w:after="0" w:afterAutospacing="0"/>
        <w:ind w:right="-2"/>
        <w:jc w:val="center"/>
        <w:rPr>
          <w:sz w:val="28"/>
          <w:szCs w:val="28"/>
          <w:lang w:val="uk-UA"/>
        </w:rPr>
      </w:pPr>
    </w:p>
    <w:p w:rsidR="00631A26" w:rsidRPr="001212D7" w:rsidRDefault="003D671D" w:rsidP="0004000E">
      <w:pPr>
        <w:pStyle w:val="a3"/>
        <w:spacing w:before="0" w:beforeAutospacing="0" w:after="0" w:afterAutospacing="0"/>
        <w:ind w:right="-2" w:firstLine="709"/>
        <w:jc w:val="both"/>
        <w:rPr>
          <w:rFonts w:eastAsia="Calibri"/>
          <w:sz w:val="28"/>
          <w:szCs w:val="28"/>
          <w:lang w:val="uk-UA" w:eastAsia="en-US"/>
        </w:rPr>
      </w:pPr>
      <w:r w:rsidRPr="001212D7">
        <w:rPr>
          <w:sz w:val="28"/>
          <w:szCs w:val="28"/>
          <w:lang w:val="uk-UA"/>
        </w:rPr>
        <w:t>З</w:t>
      </w:r>
      <w:r w:rsidR="00631A26" w:rsidRPr="001212D7">
        <w:rPr>
          <w:sz w:val="28"/>
          <w:szCs w:val="28"/>
          <w:lang w:val="uk-UA"/>
        </w:rPr>
        <w:t>аконопроект</w:t>
      </w:r>
      <w:r w:rsidRPr="001212D7">
        <w:rPr>
          <w:sz w:val="28"/>
          <w:szCs w:val="28"/>
          <w:lang w:val="uk-UA"/>
        </w:rPr>
        <w:t xml:space="preserve"> розроблено з метою </w:t>
      </w:r>
      <w:r w:rsidR="00631A26" w:rsidRPr="001212D7">
        <w:rPr>
          <w:sz w:val="28"/>
          <w:szCs w:val="28"/>
          <w:lang w:val="uk-UA"/>
        </w:rPr>
        <w:t>реаліз</w:t>
      </w:r>
      <w:r w:rsidRPr="001212D7">
        <w:rPr>
          <w:sz w:val="28"/>
          <w:szCs w:val="28"/>
          <w:lang w:val="uk-UA"/>
        </w:rPr>
        <w:t>ації</w:t>
      </w:r>
      <w:r w:rsidR="00631A26" w:rsidRPr="001212D7">
        <w:rPr>
          <w:sz w:val="28"/>
          <w:szCs w:val="28"/>
          <w:lang w:val="uk-UA"/>
        </w:rPr>
        <w:t xml:space="preserve"> положен</w:t>
      </w:r>
      <w:r w:rsidRPr="001212D7">
        <w:rPr>
          <w:sz w:val="28"/>
          <w:szCs w:val="28"/>
          <w:lang w:val="uk-UA"/>
        </w:rPr>
        <w:t>ь</w:t>
      </w:r>
      <w:r w:rsidR="00631A26" w:rsidRPr="001212D7">
        <w:rPr>
          <w:sz w:val="28"/>
          <w:szCs w:val="28"/>
          <w:lang w:val="uk-UA"/>
        </w:rPr>
        <w:t xml:space="preserve"> п</w:t>
      </w:r>
      <w:r w:rsidR="00631A26" w:rsidRPr="001212D7">
        <w:rPr>
          <w:rFonts w:eastAsia="Calibri"/>
          <w:sz w:val="28"/>
          <w:szCs w:val="28"/>
          <w:lang w:val="uk-UA" w:eastAsia="en-US"/>
        </w:rPr>
        <w:t xml:space="preserve">ункту 5 розділу II «Прикінцеві та перехідні положення» </w:t>
      </w:r>
      <w:r w:rsidR="00531910" w:rsidRPr="001212D7">
        <w:rPr>
          <w:rFonts w:eastAsia="Calibri"/>
          <w:sz w:val="28"/>
          <w:szCs w:val="28"/>
          <w:lang w:val="uk-UA" w:eastAsia="en-US"/>
        </w:rPr>
        <w:t>Закону України від 21.12.2016 № 1797-</w:t>
      </w:r>
      <w:r w:rsidR="00156E52">
        <w:rPr>
          <w:rFonts w:eastAsia="Calibri"/>
          <w:sz w:val="28"/>
          <w:szCs w:val="28"/>
          <w:lang w:val="en-US" w:eastAsia="en-US"/>
        </w:rPr>
        <w:t> </w:t>
      </w:r>
      <w:r w:rsidR="00531910" w:rsidRPr="001212D7">
        <w:rPr>
          <w:rFonts w:eastAsia="Calibri"/>
          <w:sz w:val="28"/>
          <w:szCs w:val="28"/>
          <w:lang w:val="uk-UA" w:eastAsia="en-US"/>
        </w:rPr>
        <w:t>III «Про внесення змін до Податкового кодексу України щодо покращення інвестиційного клімату в Україні».</w:t>
      </w:r>
    </w:p>
    <w:p w:rsidR="008D7102" w:rsidRPr="001212D7" w:rsidRDefault="008D7102" w:rsidP="0004000E">
      <w:pPr>
        <w:spacing w:before="120"/>
        <w:ind w:right="-2" w:firstLine="567"/>
        <w:jc w:val="both"/>
        <w:rPr>
          <w:b/>
          <w:sz w:val="28"/>
          <w:szCs w:val="28"/>
          <w:lang w:val="uk-UA"/>
        </w:rPr>
      </w:pPr>
      <w:r w:rsidRPr="001212D7">
        <w:rPr>
          <w:sz w:val="28"/>
          <w:szCs w:val="28"/>
          <w:lang w:val="uk-UA"/>
        </w:rPr>
        <w:t>Реалізація поставлених цілей державного регулювання забезпечується шляхом прийняття Закону України «Про внесення змін до Податкового кодексу України щодо податку на виведений капітал», яким буд</w:t>
      </w:r>
      <w:r w:rsidR="00DB29E6" w:rsidRPr="001212D7">
        <w:rPr>
          <w:sz w:val="28"/>
          <w:szCs w:val="28"/>
          <w:lang w:val="uk-UA"/>
        </w:rPr>
        <w:t>е</w:t>
      </w:r>
      <w:r w:rsidRPr="001212D7">
        <w:rPr>
          <w:sz w:val="28"/>
          <w:szCs w:val="28"/>
          <w:lang w:val="uk-UA"/>
        </w:rPr>
        <w:t xml:space="preserve"> </w:t>
      </w:r>
      <w:r w:rsidR="00DB29E6" w:rsidRPr="001212D7">
        <w:rPr>
          <w:sz w:val="28"/>
          <w:szCs w:val="28"/>
          <w:lang w:val="uk-UA"/>
        </w:rPr>
        <w:t>доповнено</w:t>
      </w:r>
      <w:r w:rsidRPr="001212D7">
        <w:rPr>
          <w:sz w:val="28"/>
          <w:szCs w:val="28"/>
          <w:lang w:val="uk-UA"/>
        </w:rPr>
        <w:t xml:space="preserve"> </w:t>
      </w:r>
      <w:r w:rsidR="006548CA" w:rsidRPr="001212D7">
        <w:rPr>
          <w:sz w:val="28"/>
          <w:szCs w:val="28"/>
          <w:lang w:val="uk-UA"/>
        </w:rPr>
        <w:t>К</w:t>
      </w:r>
      <w:r w:rsidRPr="001212D7">
        <w:rPr>
          <w:sz w:val="28"/>
          <w:szCs w:val="28"/>
          <w:lang w:val="uk-UA"/>
        </w:rPr>
        <w:t>одекс</w:t>
      </w:r>
      <w:r w:rsidR="00DB29E6" w:rsidRPr="001212D7">
        <w:rPr>
          <w:sz w:val="28"/>
          <w:szCs w:val="28"/>
          <w:lang w:val="uk-UA"/>
        </w:rPr>
        <w:t xml:space="preserve">, зокрема </w:t>
      </w:r>
      <w:r w:rsidR="00562061" w:rsidRPr="001212D7">
        <w:rPr>
          <w:sz w:val="28"/>
          <w:szCs w:val="28"/>
          <w:lang w:val="uk-UA"/>
        </w:rPr>
        <w:t>р</w:t>
      </w:r>
      <w:r w:rsidR="00DB29E6" w:rsidRPr="001212D7">
        <w:rPr>
          <w:sz w:val="28"/>
          <w:szCs w:val="28"/>
          <w:lang w:val="uk-UA"/>
        </w:rPr>
        <w:t>озділом</w:t>
      </w:r>
      <w:r w:rsidR="00DB29E6" w:rsidRPr="001212D7">
        <w:rPr>
          <w:rFonts w:eastAsia="Calibri"/>
          <w:sz w:val="28"/>
          <w:szCs w:val="28"/>
          <w:lang w:val="uk-UA"/>
        </w:rPr>
        <w:t xml:space="preserve"> III</w:t>
      </w:r>
      <w:r w:rsidR="00DB29E6" w:rsidRPr="001212D7">
        <w:rPr>
          <w:rFonts w:eastAsia="Calibri"/>
          <w:sz w:val="28"/>
          <w:szCs w:val="28"/>
          <w:vertAlign w:val="superscript"/>
          <w:lang w:val="uk-UA"/>
        </w:rPr>
        <w:t>1</w:t>
      </w:r>
      <w:r w:rsidR="00DB29E6" w:rsidRPr="001212D7">
        <w:rPr>
          <w:rFonts w:eastAsia="Calibri"/>
          <w:sz w:val="28"/>
          <w:szCs w:val="28"/>
          <w:lang w:val="uk-UA"/>
        </w:rPr>
        <w:t xml:space="preserve"> «Податок на виведений капітал»</w:t>
      </w:r>
      <w:r w:rsidRPr="001212D7">
        <w:rPr>
          <w:sz w:val="28"/>
          <w:szCs w:val="28"/>
          <w:lang w:val="uk-UA"/>
        </w:rPr>
        <w:t>.</w:t>
      </w:r>
    </w:p>
    <w:p w:rsidR="00CA3E48" w:rsidRPr="001212D7" w:rsidRDefault="009659AA"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lastRenderedPageBreak/>
        <w:t>Основн</w:t>
      </w:r>
      <w:r w:rsidR="009E257F" w:rsidRPr="001212D7">
        <w:rPr>
          <w:rFonts w:eastAsia="Calibri"/>
          <w:sz w:val="28"/>
          <w:szCs w:val="28"/>
          <w:lang w:val="uk-UA" w:eastAsia="en-US"/>
        </w:rPr>
        <w:t xml:space="preserve">ою метою </w:t>
      </w:r>
      <w:r w:rsidRPr="001212D7">
        <w:rPr>
          <w:rFonts w:eastAsia="Calibri"/>
          <w:sz w:val="28"/>
          <w:szCs w:val="28"/>
          <w:lang w:val="uk-UA" w:eastAsia="en-US"/>
        </w:rPr>
        <w:t xml:space="preserve">законопроекту є запровадження оподаткування </w:t>
      </w:r>
      <w:r w:rsidR="009E257F" w:rsidRPr="001212D7">
        <w:rPr>
          <w:rFonts w:eastAsia="Calibri"/>
          <w:sz w:val="28"/>
          <w:szCs w:val="28"/>
          <w:lang w:val="uk-UA" w:eastAsia="en-US"/>
        </w:rPr>
        <w:t>виведеного капіталу</w:t>
      </w:r>
      <w:r w:rsidRPr="001212D7">
        <w:rPr>
          <w:rFonts w:eastAsia="Calibri"/>
          <w:sz w:val="28"/>
          <w:szCs w:val="28"/>
          <w:lang w:val="uk-UA" w:eastAsia="en-US"/>
        </w:rPr>
        <w:t>, розподіленого у формі дивідендів чи прирівняних до них платежів</w:t>
      </w:r>
      <w:r w:rsidR="009E257F" w:rsidRPr="001212D7">
        <w:rPr>
          <w:rFonts w:eastAsia="Calibri"/>
          <w:sz w:val="28"/>
          <w:szCs w:val="28"/>
          <w:lang w:val="uk-UA" w:eastAsia="en-US"/>
        </w:rPr>
        <w:t>,</w:t>
      </w:r>
      <w:r w:rsidRPr="001212D7">
        <w:rPr>
          <w:rFonts w:eastAsia="Calibri"/>
          <w:sz w:val="28"/>
          <w:szCs w:val="28"/>
          <w:lang w:val="uk-UA" w:eastAsia="en-US"/>
        </w:rPr>
        <w:t xml:space="preserve"> та відмов</w:t>
      </w:r>
      <w:r w:rsidR="009E257F" w:rsidRPr="001212D7">
        <w:rPr>
          <w:rFonts w:eastAsia="Calibri"/>
          <w:sz w:val="28"/>
          <w:szCs w:val="28"/>
          <w:lang w:val="uk-UA" w:eastAsia="en-US"/>
        </w:rPr>
        <w:t>и</w:t>
      </w:r>
      <w:r w:rsidRPr="001212D7">
        <w:rPr>
          <w:rFonts w:eastAsia="Calibri"/>
          <w:sz w:val="28"/>
          <w:szCs w:val="28"/>
          <w:lang w:val="uk-UA" w:eastAsia="en-US"/>
        </w:rPr>
        <w:t xml:space="preserve"> від податку з доходів нерезидентів.</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 xml:space="preserve">Прирівняними до дивідендів </w:t>
      </w:r>
      <w:proofErr w:type="spellStart"/>
      <w:r w:rsidRPr="001212D7">
        <w:rPr>
          <w:rFonts w:eastAsia="Calibri"/>
          <w:sz w:val="28"/>
          <w:szCs w:val="28"/>
          <w:lang w:val="uk-UA" w:eastAsia="en-US"/>
        </w:rPr>
        <w:t>платежами</w:t>
      </w:r>
      <w:proofErr w:type="spellEnd"/>
      <w:r w:rsidRPr="001212D7">
        <w:rPr>
          <w:rFonts w:eastAsia="Calibri"/>
          <w:sz w:val="28"/>
          <w:szCs w:val="28"/>
          <w:lang w:val="uk-UA" w:eastAsia="en-US"/>
        </w:rPr>
        <w:t xml:space="preserve"> є:</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 xml:space="preserve">проценти, сплачені на адресу нерезидентів – пов’язаних осіб (у деяких випадках); </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виплати в межах договорів страхування або перестрахування на користь страховиків – нерезидентів (у деяких випадках);</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виплата фінансової допомоги неплатнику податку на виведений капітал, що залишається неповернутою протягом 12 місяців (з правом зменшення податку);</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придбання товарів та послуг у пов’язаних осіб, що використовують спрощену систему оподаткування;</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донарахування за операціями з трансфертного ціноутворення;</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операції з безоплатного надання майна неплатнику податку на виведений капітал;</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інвестування в статутний капітал неплатників податку на виведений капітал (з правом зменшення податку);</w:t>
      </w:r>
    </w:p>
    <w:p w:rsidR="00CA3E48" w:rsidRPr="001212D7" w:rsidRDefault="00CA3E48" w:rsidP="00CA3E48">
      <w:pPr>
        <w:pStyle w:val="a3"/>
        <w:spacing w:before="120" w:beforeAutospacing="0" w:after="0" w:afterAutospacing="0"/>
        <w:ind w:right="-2" w:firstLine="709"/>
        <w:jc w:val="both"/>
        <w:rPr>
          <w:rFonts w:eastAsia="Calibri"/>
          <w:sz w:val="28"/>
          <w:szCs w:val="28"/>
          <w:lang w:val="uk-UA" w:eastAsia="en-US"/>
        </w:rPr>
      </w:pPr>
      <w:r w:rsidRPr="001212D7">
        <w:rPr>
          <w:rFonts w:eastAsia="Calibri"/>
          <w:sz w:val="28"/>
          <w:szCs w:val="28"/>
          <w:lang w:val="uk-UA" w:eastAsia="en-US"/>
        </w:rPr>
        <w:t>виплата роялті в окремих випадках, в сумах перевищення ліміту.</w:t>
      </w:r>
    </w:p>
    <w:p w:rsidR="00CA3E48" w:rsidRPr="001212D7" w:rsidRDefault="00CA3E48" w:rsidP="00CA3E48">
      <w:pPr>
        <w:pStyle w:val="a3"/>
        <w:spacing w:before="120"/>
        <w:ind w:right="-2" w:firstLine="709"/>
        <w:jc w:val="both"/>
        <w:rPr>
          <w:rFonts w:eastAsia="Calibri"/>
          <w:sz w:val="28"/>
          <w:szCs w:val="28"/>
          <w:lang w:val="uk-UA" w:eastAsia="en-US"/>
        </w:rPr>
      </w:pPr>
      <w:r w:rsidRPr="001212D7">
        <w:rPr>
          <w:rFonts w:eastAsia="Calibri"/>
          <w:sz w:val="28"/>
          <w:szCs w:val="28"/>
          <w:lang w:val="uk-UA" w:eastAsia="en-US"/>
        </w:rPr>
        <w:t xml:space="preserve">Також законопроектом, зокрема, передбачається зміна методологічних підходів оподаткування процентів за користування кредитом, що отримуються у нерезидентів. Так, платники, у яких сукупний розмір отриманих у нерезидентів кредитів перевищує розмір власного капіталу більше ніж у 1,5 рази (для фінансових установ та компаній, що провадять винятково лізингову діяльність, – більш ніж у 5 разів), вважаються пов’язаними особами з такими нерезидентами і сума таких процентів оподатковується за ставкою 5 відсотків. За ставкою 20 відсотків оподатковується сума відсотків, що сплачуються нерезидентам, у випадку, якщо такий нерезидент зареєстрований в </w:t>
      </w:r>
      <w:proofErr w:type="spellStart"/>
      <w:r w:rsidRPr="001212D7">
        <w:rPr>
          <w:rFonts w:eastAsia="Calibri"/>
          <w:sz w:val="28"/>
          <w:szCs w:val="28"/>
          <w:lang w:val="uk-UA" w:eastAsia="en-US"/>
        </w:rPr>
        <w:t>низькоподатковій</w:t>
      </w:r>
      <w:proofErr w:type="spellEnd"/>
      <w:r w:rsidRPr="001212D7">
        <w:rPr>
          <w:rFonts w:eastAsia="Calibri"/>
          <w:sz w:val="28"/>
          <w:szCs w:val="28"/>
          <w:lang w:val="uk-UA" w:eastAsia="en-US"/>
        </w:rPr>
        <w:t xml:space="preserve"> юрисдикції та у випадку сплати процентів нерезиденту, якщо сума залучених від нього кредитів (позик) перевищує власний капітал більше ніж в 3,5 рази (для фінансових установ та компаній, що провадять винятково лізингову діяльність, – більш ніж у 10 разів). </w:t>
      </w:r>
    </w:p>
    <w:p w:rsidR="00887BB0" w:rsidRPr="001212D7" w:rsidRDefault="00CA3E48" w:rsidP="00CA3E48">
      <w:pPr>
        <w:pStyle w:val="a3"/>
        <w:spacing w:before="120"/>
        <w:ind w:right="-2" w:firstLine="709"/>
        <w:jc w:val="both"/>
        <w:rPr>
          <w:rFonts w:eastAsia="Calibri"/>
          <w:sz w:val="28"/>
          <w:szCs w:val="28"/>
          <w:lang w:val="uk-UA" w:eastAsia="en-US"/>
        </w:rPr>
      </w:pPr>
      <w:r w:rsidRPr="001212D7">
        <w:rPr>
          <w:rFonts w:eastAsia="Calibri"/>
          <w:sz w:val="28"/>
          <w:szCs w:val="28"/>
          <w:lang w:val="uk-UA" w:eastAsia="en-US"/>
        </w:rPr>
        <w:t>Крім цього</w:t>
      </w:r>
      <w:r w:rsidR="00156E52">
        <w:rPr>
          <w:rFonts w:eastAsia="Calibri"/>
          <w:sz w:val="28"/>
          <w:szCs w:val="28"/>
          <w:lang w:val="en-US" w:eastAsia="en-US"/>
        </w:rPr>
        <w:t>?</w:t>
      </w:r>
      <w:r w:rsidRPr="001212D7">
        <w:rPr>
          <w:rFonts w:eastAsia="Calibri"/>
          <w:sz w:val="28"/>
          <w:szCs w:val="28"/>
          <w:lang w:val="uk-UA" w:eastAsia="en-US"/>
        </w:rPr>
        <w:t xml:space="preserve"> законопроектом передбачаються перехідні положення для банків, які матимуть право залишатись платниками податку на прибуток до 2020 року включно. Також передбачається, що сума дивідендів, що виплачується за 2013-2017 роки, не оподатковується податком на виведений капітал у межах обсягу оподатковуваного прибутку, з якого раніше був сплачений податок на прибуток.</w:t>
      </w:r>
    </w:p>
    <w:p w:rsidR="00887BB0" w:rsidRPr="001212D7" w:rsidRDefault="00887BB0" w:rsidP="00887BB0">
      <w:pPr>
        <w:pStyle w:val="a3"/>
        <w:spacing w:before="120"/>
        <w:ind w:right="-2" w:firstLine="709"/>
        <w:jc w:val="both"/>
        <w:rPr>
          <w:rFonts w:eastAsia="Calibri"/>
          <w:sz w:val="28"/>
          <w:szCs w:val="28"/>
          <w:lang w:val="uk-UA" w:eastAsia="en-US"/>
        </w:rPr>
      </w:pPr>
      <w:r w:rsidRPr="001212D7">
        <w:rPr>
          <w:rFonts w:eastAsia="Calibri"/>
          <w:sz w:val="28"/>
          <w:szCs w:val="28"/>
          <w:lang w:val="uk-UA" w:eastAsia="en-US"/>
        </w:rPr>
        <w:lastRenderedPageBreak/>
        <w:t xml:space="preserve">Для банків у законопроекті передбачаються перехідні положення: банки  матимуть право залишатись платниками податку на прибуток до 2020 року включно. </w:t>
      </w:r>
    </w:p>
    <w:p w:rsidR="001212D7" w:rsidRDefault="008D7102" w:rsidP="0004000E">
      <w:pPr>
        <w:pStyle w:val="a3"/>
        <w:spacing w:before="120" w:beforeAutospacing="0" w:after="0" w:afterAutospacing="0"/>
        <w:ind w:right="-2" w:firstLine="709"/>
        <w:jc w:val="both"/>
        <w:rPr>
          <w:bCs/>
          <w:sz w:val="28"/>
          <w:szCs w:val="28"/>
          <w:lang w:val="uk-UA"/>
        </w:rPr>
      </w:pPr>
      <w:r w:rsidRPr="001212D7">
        <w:rPr>
          <w:bCs/>
          <w:sz w:val="28"/>
          <w:szCs w:val="28"/>
          <w:lang w:val="uk-UA"/>
        </w:rPr>
        <w:t xml:space="preserve">Прийняття законопроекту </w:t>
      </w:r>
      <w:r w:rsidR="009E257F" w:rsidRPr="001212D7">
        <w:rPr>
          <w:bCs/>
          <w:sz w:val="28"/>
          <w:szCs w:val="28"/>
          <w:lang w:val="uk-UA"/>
        </w:rPr>
        <w:t>дасть змогу</w:t>
      </w:r>
      <w:r w:rsidR="00E42FEA" w:rsidRPr="001212D7">
        <w:rPr>
          <w:bCs/>
          <w:sz w:val="28"/>
          <w:szCs w:val="28"/>
          <w:lang w:val="uk-UA"/>
        </w:rPr>
        <w:t>:</w:t>
      </w:r>
    </w:p>
    <w:p w:rsidR="00E42FEA" w:rsidRPr="001212D7" w:rsidRDefault="008D7102" w:rsidP="0004000E">
      <w:pPr>
        <w:pStyle w:val="a3"/>
        <w:spacing w:before="120" w:beforeAutospacing="0" w:after="0" w:afterAutospacing="0"/>
        <w:ind w:right="-2" w:firstLine="709"/>
        <w:jc w:val="both"/>
        <w:rPr>
          <w:rFonts w:eastAsia="Calibri"/>
          <w:b/>
          <w:sz w:val="28"/>
          <w:szCs w:val="28"/>
          <w:lang w:val="uk-UA"/>
        </w:rPr>
      </w:pPr>
      <w:r w:rsidRPr="001212D7">
        <w:rPr>
          <w:bCs/>
          <w:sz w:val="28"/>
          <w:szCs w:val="28"/>
          <w:lang w:val="uk-UA"/>
        </w:rPr>
        <w:t xml:space="preserve">встановити </w:t>
      </w:r>
      <w:r w:rsidR="00156E52">
        <w:rPr>
          <w:bCs/>
          <w:sz w:val="28"/>
          <w:szCs w:val="28"/>
          <w:lang w:val="en-US"/>
        </w:rPr>
        <w:t xml:space="preserve">         </w:t>
      </w:r>
      <w:r w:rsidRPr="001212D7">
        <w:rPr>
          <w:bCs/>
          <w:sz w:val="28"/>
          <w:szCs w:val="28"/>
          <w:lang w:val="uk-UA"/>
        </w:rPr>
        <w:t>правила</w:t>
      </w:r>
      <w:r w:rsidR="00156E52">
        <w:rPr>
          <w:bCs/>
          <w:sz w:val="28"/>
          <w:szCs w:val="28"/>
          <w:lang w:val="en-US"/>
        </w:rPr>
        <w:t xml:space="preserve">       </w:t>
      </w:r>
      <w:r w:rsidRPr="001212D7">
        <w:rPr>
          <w:bCs/>
          <w:sz w:val="28"/>
          <w:szCs w:val="28"/>
          <w:lang w:val="uk-UA"/>
        </w:rPr>
        <w:t>оподаткування</w:t>
      </w:r>
      <w:r w:rsidR="00DB29E6" w:rsidRPr="001212D7">
        <w:rPr>
          <w:bCs/>
          <w:sz w:val="28"/>
          <w:szCs w:val="28"/>
          <w:lang w:val="uk-UA"/>
        </w:rPr>
        <w:t xml:space="preserve"> </w:t>
      </w:r>
      <w:r w:rsidR="00156E52">
        <w:rPr>
          <w:bCs/>
          <w:sz w:val="28"/>
          <w:szCs w:val="28"/>
          <w:lang w:val="en-US"/>
        </w:rPr>
        <w:t xml:space="preserve">       </w:t>
      </w:r>
      <w:r w:rsidR="00DB29E6" w:rsidRPr="001212D7">
        <w:rPr>
          <w:bCs/>
          <w:sz w:val="28"/>
          <w:szCs w:val="28"/>
          <w:lang w:val="uk-UA"/>
        </w:rPr>
        <w:t xml:space="preserve">для </w:t>
      </w:r>
      <w:r w:rsidR="00156E52">
        <w:rPr>
          <w:bCs/>
          <w:sz w:val="28"/>
          <w:szCs w:val="28"/>
          <w:lang w:val="en-US"/>
        </w:rPr>
        <w:t xml:space="preserve">         </w:t>
      </w:r>
      <w:r w:rsidR="005F5ED8" w:rsidRPr="001212D7">
        <w:rPr>
          <w:rFonts w:eastAsia="Calibri"/>
          <w:sz w:val="28"/>
          <w:szCs w:val="28"/>
          <w:lang w:val="uk-UA"/>
        </w:rPr>
        <w:t>суб’єктів господарювання</w:t>
      </w:r>
      <w:r w:rsidR="00156E52">
        <w:rPr>
          <w:rFonts w:eastAsia="Calibri"/>
          <w:sz w:val="28"/>
          <w:szCs w:val="28"/>
          <w:lang w:val="en-US"/>
        </w:rPr>
        <w:t> </w:t>
      </w:r>
      <w:r w:rsidR="005F5ED8" w:rsidRPr="001212D7">
        <w:rPr>
          <w:rFonts w:eastAsia="Calibri"/>
          <w:sz w:val="28"/>
          <w:szCs w:val="28"/>
          <w:lang w:val="uk-UA"/>
        </w:rPr>
        <w:t>–</w:t>
      </w:r>
      <w:r w:rsidR="00156E52">
        <w:rPr>
          <w:rFonts w:eastAsia="Calibri"/>
          <w:sz w:val="28"/>
          <w:szCs w:val="28"/>
          <w:lang w:val="en-US"/>
        </w:rPr>
        <w:t> </w:t>
      </w:r>
      <w:r w:rsidR="005F5ED8" w:rsidRPr="001212D7">
        <w:rPr>
          <w:rFonts w:eastAsia="Calibri"/>
          <w:sz w:val="28"/>
          <w:szCs w:val="28"/>
          <w:lang w:val="uk-UA"/>
        </w:rPr>
        <w:t>юридичних осіб, які провадять господарську діяльність як на території України, так і за її межами</w:t>
      </w:r>
      <w:r w:rsidR="002A418B" w:rsidRPr="001212D7">
        <w:rPr>
          <w:rFonts w:eastAsia="Calibri"/>
          <w:sz w:val="28"/>
          <w:szCs w:val="28"/>
          <w:lang w:val="uk-UA"/>
        </w:rPr>
        <w:t>,</w:t>
      </w:r>
      <w:r w:rsidR="005F5ED8" w:rsidRPr="001212D7">
        <w:rPr>
          <w:rFonts w:eastAsia="Calibri"/>
          <w:sz w:val="28"/>
          <w:szCs w:val="28"/>
          <w:lang w:val="uk-UA"/>
        </w:rPr>
        <w:t xml:space="preserve"> </w:t>
      </w:r>
      <w:r w:rsidR="002E3396" w:rsidRPr="001212D7">
        <w:rPr>
          <w:rFonts w:eastAsia="Calibri"/>
          <w:sz w:val="28"/>
          <w:szCs w:val="28"/>
          <w:lang w:val="uk-UA"/>
        </w:rPr>
        <w:t xml:space="preserve">та </w:t>
      </w:r>
      <w:r w:rsidR="00E42FEA" w:rsidRPr="001212D7">
        <w:rPr>
          <w:rFonts w:eastAsia="Calibri"/>
          <w:sz w:val="28"/>
          <w:szCs w:val="28"/>
          <w:lang w:val="uk-UA"/>
        </w:rPr>
        <w:t>здійснюють операції з виведення капіталу;</w:t>
      </w:r>
    </w:p>
    <w:p w:rsidR="002E3396" w:rsidRDefault="00CE4F73" w:rsidP="0004000E">
      <w:pPr>
        <w:pStyle w:val="a8"/>
        <w:spacing w:before="60" w:after="0"/>
        <w:ind w:left="0" w:right="-2" w:firstLine="709"/>
        <w:jc w:val="both"/>
        <w:rPr>
          <w:bCs/>
          <w:sz w:val="28"/>
          <w:szCs w:val="28"/>
        </w:rPr>
      </w:pPr>
      <w:r w:rsidRPr="001212D7">
        <w:rPr>
          <w:bCs/>
          <w:sz w:val="28"/>
          <w:szCs w:val="28"/>
        </w:rPr>
        <w:t xml:space="preserve">створити умови для </w:t>
      </w:r>
      <w:r w:rsidR="002E3396" w:rsidRPr="001212D7">
        <w:rPr>
          <w:bCs/>
          <w:sz w:val="28"/>
          <w:szCs w:val="28"/>
        </w:rPr>
        <w:t>запобіг</w:t>
      </w:r>
      <w:r w:rsidRPr="001212D7">
        <w:rPr>
          <w:bCs/>
          <w:sz w:val="28"/>
          <w:szCs w:val="28"/>
        </w:rPr>
        <w:t xml:space="preserve">ання </w:t>
      </w:r>
      <w:r w:rsidR="008D7102" w:rsidRPr="001212D7">
        <w:rPr>
          <w:bCs/>
          <w:sz w:val="28"/>
          <w:szCs w:val="28"/>
        </w:rPr>
        <w:t>відт</w:t>
      </w:r>
      <w:r w:rsidR="002E3396" w:rsidRPr="001212D7">
        <w:rPr>
          <w:bCs/>
          <w:sz w:val="28"/>
          <w:szCs w:val="28"/>
        </w:rPr>
        <w:t>о</w:t>
      </w:r>
      <w:r w:rsidR="008D7102" w:rsidRPr="001212D7">
        <w:rPr>
          <w:bCs/>
          <w:sz w:val="28"/>
          <w:szCs w:val="28"/>
        </w:rPr>
        <w:t>к</w:t>
      </w:r>
      <w:r w:rsidR="002E3396" w:rsidRPr="001212D7">
        <w:rPr>
          <w:bCs/>
          <w:sz w:val="28"/>
          <w:szCs w:val="28"/>
        </w:rPr>
        <w:t>у</w:t>
      </w:r>
      <w:r w:rsidR="008D7102" w:rsidRPr="001212D7">
        <w:rPr>
          <w:bCs/>
          <w:sz w:val="28"/>
          <w:szCs w:val="28"/>
        </w:rPr>
        <w:t xml:space="preserve"> капіталу за кордон, що </w:t>
      </w:r>
      <w:r w:rsidRPr="001212D7">
        <w:rPr>
          <w:bCs/>
          <w:sz w:val="28"/>
          <w:szCs w:val="28"/>
        </w:rPr>
        <w:t>сприятиме</w:t>
      </w:r>
      <w:r w:rsidR="002E3396" w:rsidRPr="001212D7">
        <w:rPr>
          <w:bCs/>
          <w:sz w:val="28"/>
          <w:szCs w:val="28"/>
        </w:rPr>
        <w:t xml:space="preserve"> </w:t>
      </w:r>
      <w:r w:rsidR="008D7102" w:rsidRPr="001212D7">
        <w:rPr>
          <w:bCs/>
          <w:sz w:val="28"/>
          <w:szCs w:val="28"/>
        </w:rPr>
        <w:t>оздоровленн</w:t>
      </w:r>
      <w:r w:rsidRPr="001212D7">
        <w:rPr>
          <w:bCs/>
          <w:sz w:val="28"/>
          <w:szCs w:val="28"/>
        </w:rPr>
        <w:t>ю</w:t>
      </w:r>
      <w:r w:rsidR="008D7102" w:rsidRPr="001212D7">
        <w:rPr>
          <w:bCs/>
          <w:sz w:val="28"/>
          <w:szCs w:val="28"/>
        </w:rPr>
        <w:t xml:space="preserve"> економіки в цілому </w:t>
      </w:r>
      <w:r w:rsidR="00781B20" w:rsidRPr="001212D7">
        <w:rPr>
          <w:bCs/>
          <w:sz w:val="28"/>
          <w:szCs w:val="28"/>
        </w:rPr>
        <w:t>та створенн</w:t>
      </w:r>
      <w:r w:rsidRPr="001212D7">
        <w:rPr>
          <w:bCs/>
          <w:sz w:val="28"/>
          <w:szCs w:val="28"/>
        </w:rPr>
        <w:t>ю</w:t>
      </w:r>
      <w:r w:rsidR="008D7102" w:rsidRPr="001212D7">
        <w:rPr>
          <w:bCs/>
          <w:sz w:val="28"/>
          <w:szCs w:val="28"/>
        </w:rPr>
        <w:t xml:space="preserve"> сприятлив</w:t>
      </w:r>
      <w:r w:rsidR="00781B20" w:rsidRPr="001212D7">
        <w:rPr>
          <w:bCs/>
          <w:sz w:val="28"/>
          <w:szCs w:val="28"/>
        </w:rPr>
        <w:t>ого</w:t>
      </w:r>
      <w:r w:rsidR="008D7102" w:rsidRPr="001212D7">
        <w:rPr>
          <w:bCs/>
          <w:sz w:val="28"/>
          <w:szCs w:val="28"/>
        </w:rPr>
        <w:t xml:space="preserve"> інвестиційн</w:t>
      </w:r>
      <w:r w:rsidR="00781B20" w:rsidRPr="001212D7">
        <w:rPr>
          <w:bCs/>
          <w:sz w:val="28"/>
          <w:szCs w:val="28"/>
        </w:rPr>
        <w:t>ого</w:t>
      </w:r>
      <w:r w:rsidR="002E3396" w:rsidRPr="001212D7">
        <w:rPr>
          <w:bCs/>
          <w:sz w:val="28"/>
          <w:szCs w:val="28"/>
        </w:rPr>
        <w:t xml:space="preserve"> </w:t>
      </w:r>
      <w:r w:rsidR="008D7102" w:rsidRPr="001212D7">
        <w:rPr>
          <w:bCs/>
          <w:sz w:val="28"/>
          <w:szCs w:val="28"/>
        </w:rPr>
        <w:t>клімат</w:t>
      </w:r>
      <w:r w:rsidR="00781B20" w:rsidRPr="001212D7">
        <w:rPr>
          <w:bCs/>
          <w:sz w:val="28"/>
          <w:szCs w:val="28"/>
        </w:rPr>
        <w:t>у</w:t>
      </w:r>
      <w:r w:rsidR="002E3396" w:rsidRPr="001212D7">
        <w:rPr>
          <w:bCs/>
          <w:sz w:val="28"/>
          <w:szCs w:val="28"/>
        </w:rPr>
        <w:t xml:space="preserve"> в державі</w:t>
      </w:r>
      <w:r w:rsidR="00781B20" w:rsidRPr="001212D7">
        <w:rPr>
          <w:bCs/>
          <w:sz w:val="28"/>
          <w:szCs w:val="28"/>
        </w:rPr>
        <w:t>.</w:t>
      </w:r>
    </w:p>
    <w:p w:rsidR="0008410B" w:rsidRPr="00156E52" w:rsidRDefault="0008410B" w:rsidP="0008410B">
      <w:pPr>
        <w:pStyle w:val="3"/>
        <w:widowControl w:val="0"/>
        <w:spacing w:before="60"/>
        <w:ind w:right="-2"/>
        <w:jc w:val="both"/>
        <w:rPr>
          <w:b w:val="0"/>
          <w:sz w:val="28"/>
          <w:szCs w:val="28"/>
          <w:lang w:val="uk-UA"/>
        </w:rPr>
      </w:pPr>
      <w:r>
        <w:rPr>
          <w:sz w:val="28"/>
          <w:szCs w:val="28"/>
          <w:lang w:val="uk-UA"/>
        </w:rPr>
        <w:tab/>
      </w:r>
      <w:r w:rsidRPr="0008410B">
        <w:rPr>
          <w:b w:val="0"/>
          <w:sz w:val="28"/>
          <w:szCs w:val="28"/>
          <w:lang w:val="uk-UA"/>
        </w:rPr>
        <w:t xml:space="preserve"> </w:t>
      </w:r>
      <w:r w:rsidRPr="00156E52">
        <w:rPr>
          <w:b w:val="0"/>
          <w:sz w:val="28"/>
          <w:szCs w:val="28"/>
          <w:lang w:val="uk-UA"/>
        </w:rPr>
        <w:t>Прикінцеві положення проекту Закону України  «Про внесення змін до Податкового кодексу України щодо податку на виведений капітал» передбачають, що Кабінет Міністрів України у тримісячний строк з дня набрання чинності цим Законом має:</w:t>
      </w:r>
    </w:p>
    <w:p w:rsidR="0008410B" w:rsidRPr="00156E52" w:rsidRDefault="0008410B" w:rsidP="0008410B">
      <w:pPr>
        <w:pStyle w:val="3"/>
        <w:widowControl w:val="0"/>
        <w:spacing w:before="60"/>
        <w:ind w:right="-2" w:firstLine="708"/>
        <w:jc w:val="both"/>
        <w:rPr>
          <w:b w:val="0"/>
          <w:sz w:val="28"/>
          <w:szCs w:val="28"/>
          <w:lang w:val="uk-UA"/>
        </w:rPr>
      </w:pPr>
      <w:r w:rsidRPr="00156E52">
        <w:rPr>
          <w:b w:val="0"/>
          <w:sz w:val="28"/>
          <w:szCs w:val="28"/>
          <w:lang w:val="uk-UA"/>
        </w:rPr>
        <w:t>прийняти нормативно-правові акти, необхідні для реалізації цього Закону;</w:t>
      </w:r>
    </w:p>
    <w:p w:rsidR="0008410B" w:rsidRPr="00156E52" w:rsidRDefault="0008410B" w:rsidP="0008410B">
      <w:pPr>
        <w:pStyle w:val="3"/>
        <w:widowControl w:val="0"/>
        <w:spacing w:before="60"/>
        <w:ind w:right="-2" w:firstLine="708"/>
        <w:jc w:val="both"/>
        <w:rPr>
          <w:b w:val="0"/>
          <w:sz w:val="28"/>
          <w:szCs w:val="28"/>
          <w:lang w:val="uk-UA"/>
        </w:rPr>
      </w:pPr>
      <w:r w:rsidRPr="00156E52">
        <w:rPr>
          <w:b w:val="0"/>
          <w:sz w:val="28"/>
          <w:szCs w:val="28"/>
          <w:lang w:val="uk-UA"/>
        </w:rPr>
        <w:t>привести свої нормативно-правові акти у відповідність із цим Законом;</w:t>
      </w:r>
    </w:p>
    <w:p w:rsidR="00781B20" w:rsidRPr="0008410B" w:rsidRDefault="0008410B" w:rsidP="0008410B">
      <w:pPr>
        <w:pStyle w:val="3"/>
        <w:widowControl w:val="0"/>
        <w:spacing w:before="60" w:beforeAutospacing="0" w:after="0" w:afterAutospacing="0"/>
        <w:ind w:right="-2" w:firstLine="708"/>
        <w:jc w:val="both"/>
        <w:rPr>
          <w:b w:val="0"/>
          <w:sz w:val="28"/>
          <w:szCs w:val="28"/>
          <w:lang w:val="uk-UA"/>
        </w:rPr>
      </w:pPr>
      <w:r w:rsidRPr="00156E52">
        <w:rPr>
          <w:b w:val="0"/>
          <w:sz w:val="28"/>
          <w:szCs w:val="28"/>
          <w:lang w:val="uk-UA"/>
        </w:rPr>
        <w:t>забезпечити перегляд та приведення центральними органами виконавчої влади їх нормативно-правових актів у відповідність із цим Законом.</w:t>
      </w:r>
    </w:p>
    <w:p w:rsidR="0008410B" w:rsidRDefault="0008410B" w:rsidP="0008410B">
      <w:pPr>
        <w:pStyle w:val="3"/>
        <w:widowControl w:val="0"/>
        <w:spacing w:before="60" w:beforeAutospacing="0" w:after="0" w:afterAutospacing="0"/>
        <w:ind w:right="-2"/>
        <w:rPr>
          <w:sz w:val="28"/>
          <w:szCs w:val="28"/>
          <w:lang w:val="uk-UA"/>
        </w:rPr>
      </w:pPr>
    </w:p>
    <w:p w:rsidR="001212D7" w:rsidRPr="001212D7" w:rsidRDefault="001212D7" w:rsidP="0004000E">
      <w:pPr>
        <w:pStyle w:val="3"/>
        <w:widowControl w:val="0"/>
        <w:spacing w:before="60" w:beforeAutospacing="0" w:after="0" w:afterAutospacing="0"/>
        <w:ind w:right="-2"/>
        <w:jc w:val="center"/>
        <w:rPr>
          <w:sz w:val="28"/>
          <w:szCs w:val="28"/>
          <w:lang w:val="uk-UA"/>
        </w:rPr>
      </w:pPr>
    </w:p>
    <w:p w:rsidR="00015322" w:rsidRPr="001212D7" w:rsidRDefault="00015322" w:rsidP="0004000E">
      <w:pPr>
        <w:pStyle w:val="3"/>
        <w:widowControl w:val="0"/>
        <w:spacing w:before="0" w:beforeAutospacing="0" w:after="0" w:afterAutospacing="0"/>
        <w:ind w:right="-2"/>
        <w:jc w:val="center"/>
        <w:rPr>
          <w:sz w:val="28"/>
          <w:szCs w:val="28"/>
          <w:lang w:val="uk-UA"/>
        </w:rPr>
      </w:pPr>
      <w:r w:rsidRPr="001212D7">
        <w:rPr>
          <w:sz w:val="28"/>
          <w:szCs w:val="28"/>
          <w:lang w:val="uk-UA"/>
        </w:rPr>
        <w:t xml:space="preserve">VI. Оцінка виконання вимог регуляторного </w:t>
      </w:r>
      <w:proofErr w:type="spellStart"/>
      <w:r w:rsidRPr="001212D7">
        <w:rPr>
          <w:sz w:val="28"/>
          <w:szCs w:val="28"/>
          <w:lang w:val="uk-UA"/>
        </w:rPr>
        <w:t>акта</w:t>
      </w:r>
      <w:proofErr w:type="spellEnd"/>
      <w:r w:rsidRPr="001212D7">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8598B" w:rsidRPr="001212D7" w:rsidRDefault="0098598B" w:rsidP="0004000E">
      <w:pPr>
        <w:pStyle w:val="3"/>
        <w:widowControl w:val="0"/>
        <w:spacing w:before="0" w:beforeAutospacing="0" w:after="0" w:afterAutospacing="0"/>
        <w:ind w:right="-2"/>
        <w:jc w:val="center"/>
        <w:rPr>
          <w:sz w:val="28"/>
          <w:szCs w:val="28"/>
          <w:lang w:val="uk-UA"/>
        </w:rPr>
      </w:pPr>
    </w:p>
    <w:p w:rsidR="00D55B9C" w:rsidRPr="00E643AE" w:rsidRDefault="00D55B9C" w:rsidP="00D55B9C">
      <w:pPr>
        <w:pStyle w:val="a3"/>
        <w:widowControl w:val="0"/>
        <w:ind w:right="-2" w:firstLine="708"/>
        <w:jc w:val="both"/>
        <w:rPr>
          <w:sz w:val="28"/>
          <w:szCs w:val="28"/>
          <w:lang w:val="uk-UA"/>
        </w:rPr>
      </w:pPr>
      <w:r w:rsidRPr="00E643AE">
        <w:rPr>
          <w:sz w:val="28"/>
          <w:szCs w:val="28"/>
          <w:lang w:val="uk-UA"/>
        </w:rPr>
        <w:t xml:space="preserve">Розрахунок витрат на запровадження державного регулювання регуляторного </w:t>
      </w:r>
      <w:proofErr w:type="spellStart"/>
      <w:r w:rsidRPr="00E643AE">
        <w:rPr>
          <w:sz w:val="28"/>
          <w:szCs w:val="28"/>
          <w:lang w:val="uk-UA"/>
        </w:rPr>
        <w:t>акта</w:t>
      </w:r>
      <w:proofErr w:type="spellEnd"/>
      <w:r w:rsidRPr="00E643AE">
        <w:rPr>
          <w:sz w:val="28"/>
          <w:szCs w:val="28"/>
          <w:lang w:val="uk-UA"/>
        </w:rPr>
        <w:t xml:space="preserve"> для контролюючих органів складає 8 470 361,62 гр</w:t>
      </w:r>
      <w:r w:rsidR="00156E52">
        <w:rPr>
          <w:sz w:val="28"/>
          <w:szCs w:val="28"/>
          <w:lang w:val="uk-UA"/>
        </w:rPr>
        <w:t>н.</w:t>
      </w:r>
      <w:r w:rsidRPr="00E643AE">
        <w:rPr>
          <w:sz w:val="28"/>
          <w:szCs w:val="28"/>
          <w:lang w:val="uk-UA"/>
        </w:rPr>
        <w:t xml:space="preserve"> за рік. Для суб’єктів господарювання </w:t>
      </w:r>
      <w:r w:rsidRPr="00156E52">
        <w:rPr>
          <w:sz w:val="28"/>
          <w:szCs w:val="28"/>
          <w:lang w:val="uk-UA"/>
        </w:rPr>
        <w:t xml:space="preserve">вигоди </w:t>
      </w:r>
      <w:r w:rsidR="00F06B91" w:rsidRPr="00156E52">
        <w:rPr>
          <w:sz w:val="28"/>
          <w:szCs w:val="28"/>
          <w:lang w:val="uk-UA"/>
        </w:rPr>
        <w:t xml:space="preserve">запровадження державного регулювання регуляторного </w:t>
      </w:r>
      <w:proofErr w:type="spellStart"/>
      <w:r w:rsidR="00F06B91" w:rsidRPr="00156E52">
        <w:rPr>
          <w:sz w:val="28"/>
          <w:szCs w:val="28"/>
          <w:lang w:val="uk-UA"/>
        </w:rPr>
        <w:t>акта</w:t>
      </w:r>
      <w:proofErr w:type="spellEnd"/>
      <w:r w:rsidR="00F06B91" w:rsidRPr="00E643AE">
        <w:rPr>
          <w:b/>
          <w:sz w:val="28"/>
          <w:szCs w:val="28"/>
          <w:lang w:val="uk-UA"/>
        </w:rPr>
        <w:t xml:space="preserve"> </w:t>
      </w:r>
      <w:r w:rsidRPr="00E643AE">
        <w:rPr>
          <w:sz w:val="28"/>
          <w:szCs w:val="28"/>
          <w:lang w:val="uk-UA"/>
        </w:rPr>
        <w:t xml:space="preserve">складуть </w:t>
      </w:r>
      <w:r w:rsidR="00F06B91" w:rsidRPr="00E643AE">
        <w:rPr>
          <w:sz w:val="28"/>
          <w:szCs w:val="28"/>
          <w:lang w:val="uk-UA"/>
        </w:rPr>
        <w:t>307 486 853,4 гривні.</w:t>
      </w:r>
    </w:p>
    <w:p w:rsidR="004D1BDE" w:rsidRPr="001212D7" w:rsidRDefault="004D1BDE" w:rsidP="0004000E">
      <w:pPr>
        <w:spacing w:before="120" w:after="120"/>
        <w:ind w:right="-2" w:firstLine="720"/>
        <w:jc w:val="both"/>
        <w:rPr>
          <w:sz w:val="28"/>
          <w:szCs w:val="28"/>
          <w:lang w:val="uk-UA"/>
        </w:rPr>
      </w:pPr>
      <w:r w:rsidRPr="001212D7">
        <w:rPr>
          <w:sz w:val="28"/>
          <w:szCs w:val="28"/>
          <w:lang w:val="uk-UA"/>
        </w:rPr>
        <w:t xml:space="preserve">У зв’язку з тим, що питома </w:t>
      </w:r>
      <w:r w:rsidR="000C4F55" w:rsidRPr="001212D7">
        <w:rPr>
          <w:sz w:val="28"/>
          <w:szCs w:val="28"/>
          <w:lang w:val="uk-UA"/>
        </w:rPr>
        <w:t xml:space="preserve">вага </w:t>
      </w:r>
      <w:r w:rsidRPr="001212D7">
        <w:rPr>
          <w:sz w:val="28"/>
          <w:szCs w:val="28"/>
          <w:lang w:val="uk-UA"/>
        </w:rPr>
        <w:t xml:space="preserve">суб’єктів малого підприємництва (малих та мікропідприємств) у загальній кількості суб’єктів господарювання, на яких поширюється </w:t>
      </w:r>
      <w:r w:rsidR="000C4F55" w:rsidRPr="001212D7">
        <w:rPr>
          <w:sz w:val="28"/>
          <w:szCs w:val="28"/>
          <w:lang w:val="uk-UA"/>
        </w:rPr>
        <w:t xml:space="preserve">державне </w:t>
      </w:r>
      <w:r w:rsidRPr="001212D7">
        <w:rPr>
          <w:sz w:val="28"/>
          <w:szCs w:val="28"/>
          <w:lang w:val="uk-UA"/>
        </w:rPr>
        <w:t>регулювання, не перевищує 10 відсотків, розрахунок витрат на запровадження державного регулювання для суб’єктів малого підприємництва не проводився.</w:t>
      </w:r>
    </w:p>
    <w:p w:rsidR="00015322" w:rsidRDefault="00015322" w:rsidP="0004000E">
      <w:pPr>
        <w:pStyle w:val="3"/>
        <w:spacing w:before="0" w:beforeAutospacing="0" w:after="0" w:afterAutospacing="0"/>
        <w:ind w:right="-2" w:firstLine="720"/>
        <w:jc w:val="both"/>
        <w:rPr>
          <w:b w:val="0"/>
          <w:sz w:val="24"/>
          <w:szCs w:val="24"/>
          <w:lang w:val="uk-UA"/>
        </w:rPr>
      </w:pPr>
    </w:p>
    <w:p w:rsidR="00156E52" w:rsidRDefault="00156E52" w:rsidP="0004000E">
      <w:pPr>
        <w:pStyle w:val="3"/>
        <w:spacing w:before="0" w:beforeAutospacing="0" w:after="0" w:afterAutospacing="0"/>
        <w:ind w:right="-2" w:firstLine="720"/>
        <w:jc w:val="both"/>
        <w:rPr>
          <w:b w:val="0"/>
          <w:sz w:val="24"/>
          <w:szCs w:val="24"/>
          <w:lang w:val="uk-UA"/>
        </w:rPr>
      </w:pPr>
    </w:p>
    <w:p w:rsidR="00156E52" w:rsidRPr="001212D7" w:rsidRDefault="00156E52" w:rsidP="0004000E">
      <w:pPr>
        <w:pStyle w:val="3"/>
        <w:spacing w:before="0" w:beforeAutospacing="0" w:after="0" w:afterAutospacing="0"/>
        <w:ind w:right="-2" w:firstLine="720"/>
        <w:jc w:val="both"/>
        <w:rPr>
          <w:b w:val="0"/>
          <w:sz w:val="24"/>
          <w:szCs w:val="24"/>
          <w:lang w:val="uk-UA"/>
        </w:rPr>
      </w:pPr>
    </w:p>
    <w:p w:rsidR="00015322" w:rsidRPr="001212D7" w:rsidRDefault="00015322" w:rsidP="0004000E">
      <w:pPr>
        <w:pStyle w:val="3"/>
        <w:widowControl w:val="0"/>
        <w:spacing w:before="60" w:beforeAutospacing="0" w:after="0" w:afterAutospacing="0"/>
        <w:ind w:right="-2"/>
        <w:jc w:val="center"/>
        <w:rPr>
          <w:sz w:val="28"/>
          <w:szCs w:val="28"/>
          <w:lang w:val="uk-UA"/>
        </w:rPr>
      </w:pPr>
      <w:r w:rsidRPr="001212D7">
        <w:rPr>
          <w:sz w:val="28"/>
          <w:szCs w:val="28"/>
          <w:lang w:val="uk-UA"/>
        </w:rPr>
        <w:lastRenderedPageBreak/>
        <w:t xml:space="preserve">VII. Обґрунтування запропонованого строку дії регуляторного </w:t>
      </w:r>
      <w:proofErr w:type="spellStart"/>
      <w:r w:rsidRPr="001212D7">
        <w:rPr>
          <w:sz w:val="28"/>
          <w:szCs w:val="28"/>
          <w:lang w:val="uk-UA"/>
        </w:rPr>
        <w:t>акта</w:t>
      </w:r>
      <w:proofErr w:type="spellEnd"/>
    </w:p>
    <w:p w:rsidR="0098598B" w:rsidRPr="001212D7" w:rsidRDefault="0098598B" w:rsidP="0004000E">
      <w:pPr>
        <w:pStyle w:val="3"/>
        <w:widowControl w:val="0"/>
        <w:spacing w:before="60" w:beforeAutospacing="0" w:after="0" w:afterAutospacing="0"/>
        <w:ind w:right="-2"/>
        <w:jc w:val="center"/>
        <w:rPr>
          <w:sz w:val="28"/>
          <w:szCs w:val="28"/>
          <w:lang w:val="uk-UA"/>
        </w:rPr>
      </w:pPr>
    </w:p>
    <w:p w:rsidR="00024AA1" w:rsidRPr="001212D7" w:rsidRDefault="00024AA1" w:rsidP="0004000E">
      <w:pPr>
        <w:pStyle w:val="a3"/>
        <w:widowControl w:val="0"/>
        <w:spacing w:before="60" w:beforeAutospacing="0" w:after="0" w:afterAutospacing="0"/>
        <w:ind w:right="-2" w:firstLine="720"/>
        <w:jc w:val="both"/>
        <w:rPr>
          <w:sz w:val="28"/>
          <w:szCs w:val="28"/>
          <w:lang w:val="uk-UA"/>
        </w:rPr>
      </w:pPr>
      <w:r w:rsidRPr="001212D7">
        <w:rPr>
          <w:sz w:val="28"/>
          <w:szCs w:val="28"/>
          <w:lang w:val="uk-UA"/>
        </w:rPr>
        <w:t xml:space="preserve">Термін дії </w:t>
      </w:r>
      <w:r w:rsidR="009E257F" w:rsidRPr="001212D7">
        <w:rPr>
          <w:sz w:val="28"/>
          <w:szCs w:val="28"/>
          <w:lang w:val="uk-UA"/>
        </w:rPr>
        <w:t xml:space="preserve">регуляторного </w:t>
      </w:r>
      <w:proofErr w:type="spellStart"/>
      <w:r w:rsidR="009E257F" w:rsidRPr="001212D7">
        <w:rPr>
          <w:sz w:val="28"/>
          <w:szCs w:val="28"/>
          <w:lang w:val="uk-UA"/>
        </w:rPr>
        <w:t>акта</w:t>
      </w:r>
      <w:proofErr w:type="spellEnd"/>
      <w:r w:rsidR="009E257F" w:rsidRPr="001212D7">
        <w:rPr>
          <w:sz w:val="28"/>
          <w:szCs w:val="28"/>
          <w:lang w:val="uk-UA"/>
        </w:rPr>
        <w:t xml:space="preserve"> </w:t>
      </w:r>
      <w:r w:rsidRPr="001212D7">
        <w:rPr>
          <w:sz w:val="28"/>
          <w:szCs w:val="28"/>
          <w:lang w:val="uk-UA"/>
        </w:rPr>
        <w:t xml:space="preserve">необмежений, якщо інший не буде визначено </w:t>
      </w:r>
      <w:r w:rsidR="00156E52">
        <w:rPr>
          <w:sz w:val="28"/>
          <w:szCs w:val="28"/>
          <w:lang w:val="uk-UA"/>
        </w:rPr>
        <w:t>Податковим к</w:t>
      </w:r>
      <w:r w:rsidRPr="001212D7">
        <w:rPr>
          <w:sz w:val="28"/>
          <w:szCs w:val="28"/>
          <w:lang w:val="uk-UA"/>
        </w:rPr>
        <w:t>одексом</w:t>
      </w:r>
      <w:r w:rsidR="00156E52">
        <w:rPr>
          <w:sz w:val="28"/>
          <w:szCs w:val="28"/>
          <w:lang w:val="uk-UA"/>
        </w:rPr>
        <w:t xml:space="preserve"> України</w:t>
      </w:r>
      <w:r w:rsidRPr="001212D7">
        <w:rPr>
          <w:sz w:val="28"/>
          <w:szCs w:val="28"/>
          <w:lang w:val="uk-UA"/>
        </w:rPr>
        <w:t>.</w:t>
      </w:r>
    </w:p>
    <w:p w:rsidR="00015322" w:rsidRPr="001212D7" w:rsidRDefault="00920B14" w:rsidP="0004000E">
      <w:pPr>
        <w:spacing w:before="120" w:after="120"/>
        <w:ind w:right="-2" w:firstLine="709"/>
        <w:jc w:val="both"/>
        <w:rPr>
          <w:rFonts w:eastAsia="Calibri"/>
          <w:sz w:val="28"/>
          <w:szCs w:val="28"/>
          <w:lang w:val="uk-UA" w:eastAsia="en-US"/>
        </w:rPr>
      </w:pPr>
      <w:r w:rsidRPr="001212D7">
        <w:rPr>
          <w:sz w:val="28"/>
          <w:szCs w:val="28"/>
          <w:lang w:val="uk-UA"/>
        </w:rPr>
        <w:t>Передбачається, що п</w:t>
      </w:r>
      <w:r w:rsidR="002C4706" w:rsidRPr="001212D7">
        <w:rPr>
          <w:sz w:val="28"/>
          <w:szCs w:val="28"/>
          <w:lang w:val="uk-UA"/>
        </w:rPr>
        <w:t>рийнятий законопроект</w:t>
      </w:r>
      <w:r w:rsidR="002C4706" w:rsidRPr="001212D7">
        <w:rPr>
          <w:rFonts w:eastAsia="Calibri"/>
          <w:sz w:val="28"/>
          <w:szCs w:val="28"/>
        </w:rPr>
        <w:t xml:space="preserve"> </w:t>
      </w:r>
      <w:r w:rsidR="002C4706" w:rsidRPr="001212D7">
        <w:rPr>
          <w:rFonts w:eastAsia="Calibri"/>
          <w:sz w:val="28"/>
          <w:szCs w:val="28"/>
          <w:lang w:val="uk-UA"/>
        </w:rPr>
        <w:t>наб</w:t>
      </w:r>
      <w:r w:rsidR="00024AA1" w:rsidRPr="001212D7">
        <w:rPr>
          <w:rFonts w:eastAsia="Calibri"/>
          <w:sz w:val="28"/>
          <w:szCs w:val="28"/>
          <w:lang w:val="uk-UA"/>
        </w:rPr>
        <w:t>е</w:t>
      </w:r>
      <w:r w:rsidR="002C4706" w:rsidRPr="001212D7">
        <w:rPr>
          <w:rFonts w:eastAsia="Calibri"/>
          <w:sz w:val="28"/>
          <w:szCs w:val="28"/>
          <w:lang w:val="uk-UA"/>
        </w:rPr>
        <w:t>р</w:t>
      </w:r>
      <w:r w:rsidR="00024AA1" w:rsidRPr="001212D7">
        <w:rPr>
          <w:rFonts w:eastAsia="Calibri"/>
          <w:sz w:val="28"/>
          <w:szCs w:val="28"/>
          <w:lang w:val="uk-UA"/>
        </w:rPr>
        <w:t>е</w:t>
      </w:r>
      <w:r w:rsidR="002C4706" w:rsidRPr="001212D7">
        <w:rPr>
          <w:rFonts w:eastAsia="Calibri"/>
          <w:sz w:val="28"/>
          <w:szCs w:val="28"/>
          <w:lang w:val="uk-UA"/>
        </w:rPr>
        <w:t xml:space="preserve"> чинності з </w:t>
      </w:r>
      <w:r w:rsidR="00B25F1C" w:rsidRPr="001212D7">
        <w:rPr>
          <w:rFonts w:eastAsia="Calibri"/>
          <w:sz w:val="28"/>
          <w:szCs w:val="28"/>
          <w:lang w:val="uk-UA"/>
        </w:rPr>
        <w:t>0</w:t>
      </w:r>
      <w:r w:rsidR="002C4706" w:rsidRPr="001212D7">
        <w:rPr>
          <w:rFonts w:eastAsia="Calibri"/>
          <w:sz w:val="28"/>
          <w:szCs w:val="28"/>
          <w:lang w:val="uk-UA"/>
        </w:rPr>
        <w:t>1 січня 2018 року, за винятком пункту 25, який наб</w:t>
      </w:r>
      <w:r w:rsidR="00024AA1" w:rsidRPr="001212D7">
        <w:rPr>
          <w:rFonts w:eastAsia="Calibri"/>
          <w:sz w:val="28"/>
          <w:szCs w:val="28"/>
          <w:lang w:val="uk-UA"/>
        </w:rPr>
        <w:t>е</w:t>
      </w:r>
      <w:r w:rsidR="002C4706" w:rsidRPr="001212D7">
        <w:rPr>
          <w:rFonts w:eastAsia="Calibri"/>
          <w:sz w:val="28"/>
          <w:szCs w:val="28"/>
          <w:lang w:val="uk-UA"/>
        </w:rPr>
        <w:t>р</w:t>
      </w:r>
      <w:r w:rsidR="00024AA1" w:rsidRPr="001212D7">
        <w:rPr>
          <w:rFonts w:eastAsia="Calibri"/>
          <w:sz w:val="28"/>
          <w:szCs w:val="28"/>
          <w:lang w:val="uk-UA"/>
        </w:rPr>
        <w:t>е</w:t>
      </w:r>
      <w:r w:rsidR="00B25F1C" w:rsidRPr="001212D7">
        <w:rPr>
          <w:rFonts w:eastAsia="Calibri"/>
          <w:sz w:val="28"/>
          <w:szCs w:val="28"/>
          <w:lang w:val="uk-UA"/>
        </w:rPr>
        <w:t xml:space="preserve"> чинності з </w:t>
      </w:r>
      <w:r w:rsidR="002C4706" w:rsidRPr="001212D7">
        <w:rPr>
          <w:rFonts w:eastAsia="Calibri"/>
          <w:sz w:val="28"/>
          <w:szCs w:val="28"/>
          <w:lang w:val="uk-UA"/>
        </w:rPr>
        <w:t>дня, наступного за днем його оприлюднення.</w:t>
      </w:r>
      <w:r w:rsidR="00024AA1" w:rsidRPr="001212D7">
        <w:rPr>
          <w:rFonts w:eastAsia="Calibri"/>
          <w:sz w:val="28"/>
          <w:szCs w:val="28"/>
          <w:lang w:val="uk-UA"/>
        </w:rPr>
        <w:t xml:space="preserve"> У пункті </w:t>
      </w:r>
      <w:r w:rsidR="009E49EE" w:rsidRPr="001212D7">
        <w:rPr>
          <w:rFonts w:eastAsia="Calibri"/>
          <w:sz w:val="28"/>
          <w:szCs w:val="28"/>
          <w:lang w:val="uk-UA"/>
        </w:rPr>
        <w:t xml:space="preserve">25 </w:t>
      </w:r>
      <w:r w:rsidR="002C4706" w:rsidRPr="001212D7">
        <w:rPr>
          <w:rFonts w:eastAsia="Calibri"/>
          <w:sz w:val="28"/>
          <w:szCs w:val="28"/>
          <w:lang w:val="uk-UA" w:eastAsia="en-US"/>
        </w:rPr>
        <w:t xml:space="preserve">передбачаються перехідні положення для банків, які матимуть право залишатись платниками податку на прибуток до 2020 року включно. </w:t>
      </w:r>
    </w:p>
    <w:p w:rsidR="00B25F1C" w:rsidRPr="001212D7" w:rsidRDefault="00B25F1C" w:rsidP="0004000E">
      <w:pPr>
        <w:ind w:right="-2" w:firstLine="709"/>
        <w:jc w:val="both"/>
        <w:rPr>
          <w:rFonts w:eastAsia="Calibri"/>
          <w:sz w:val="28"/>
          <w:szCs w:val="28"/>
          <w:lang w:val="uk-UA" w:eastAsia="en-US"/>
        </w:rPr>
      </w:pPr>
    </w:p>
    <w:p w:rsidR="00015322" w:rsidRPr="001212D7" w:rsidRDefault="00015322" w:rsidP="0004000E">
      <w:pPr>
        <w:pStyle w:val="3"/>
        <w:widowControl w:val="0"/>
        <w:spacing w:before="0" w:beforeAutospacing="0" w:after="0" w:afterAutospacing="0"/>
        <w:ind w:right="-2"/>
        <w:jc w:val="center"/>
        <w:rPr>
          <w:sz w:val="28"/>
          <w:szCs w:val="28"/>
          <w:lang w:val="uk-UA"/>
        </w:rPr>
      </w:pPr>
      <w:r w:rsidRPr="001212D7">
        <w:rPr>
          <w:sz w:val="28"/>
          <w:szCs w:val="28"/>
          <w:lang w:val="uk-UA"/>
        </w:rPr>
        <w:t xml:space="preserve">VIII. Визначення показників результативності дії регуляторного </w:t>
      </w:r>
      <w:proofErr w:type="spellStart"/>
      <w:r w:rsidRPr="001212D7">
        <w:rPr>
          <w:sz w:val="28"/>
          <w:szCs w:val="28"/>
          <w:lang w:val="uk-UA"/>
        </w:rPr>
        <w:t>акта</w:t>
      </w:r>
      <w:proofErr w:type="spellEnd"/>
    </w:p>
    <w:p w:rsidR="0098598B" w:rsidRPr="001212D7" w:rsidRDefault="0098598B" w:rsidP="0004000E">
      <w:pPr>
        <w:ind w:right="-2" w:firstLine="720"/>
        <w:jc w:val="both"/>
        <w:rPr>
          <w:sz w:val="20"/>
          <w:szCs w:val="20"/>
          <w:lang w:val="uk-UA"/>
        </w:rPr>
      </w:pPr>
    </w:p>
    <w:p w:rsidR="00300681" w:rsidRPr="00B575BA" w:rsidRDefault="00300681" w:rsidP="0004000E">
      <w:pPr>
        <w:spacing w:before="120"/>
        <w:ind w:right="-2" w:firstLine="720"/>
        <w:jc w:val="both"/>
        <w:rPr>
          <w:sz w:val="28"/>
          <w:szCs w:val="28"/>
          <w:shd w:val="clear" w:color="auto" w:fill="FFFFFF"/>
          <w:lang w:val="uk-UA"/>
        </w:rPr>
      </w:pPr>
      <w:r w:rsidRPr="00B575BA">
        <w:rPr>
          <w:sz w:val="28"/>
          <w:szCs w:val="28"/>
          <w:shd w:val="clear" w:color="auto" w:fill="FFFFFF"/>
          <w:lang w:val="uk-UA"/>
        </w:rPr>
        <w:t xml:space="preserve">Основними показниками, які характеризують результативність дії регуляторного </w:t>
      </w:r>
      <w:proofErr w:type="spellStart"/>
      <w:r w:rsidRPr="00B575BA">
        <w:rPr>
          <w:sz w:val="28"/>
          <w:szCs w:val="28"/>
          <w:shd w:val="clear" w:color="auto" w:fill="FFFFFF"/>
          <w:lang w:val="uk-UA"/>
        </w:rPr>
        <w:t>акта</w:t>
      </w:r>
      <w:proofErr w:type="spellEnd"/>
      <w:r w:rsidRPr="00B575BA">
        <w:rPr>
          <w:sz w:val="28"/>
          <w:szCs w:val="28"/>
          <w:shd w:val="clear" w:color="auto" w:fill="FFFFFF"/>
          <w:lang w:val="uk-UA"/>
        </w:rPr>
        <w:t>, є:</w:t>
      </w:r>
    </w:p>
    <w:p w:rsidR="007F50C3" w:rsidRPr="00B575BA" w:rsidRDefault="00300681" w:rsidP="00300681">
      <w:pPr>
        <w:spacing w:before="120"/>
        <w:ind w:right="-2" w:firstLine="720"/>
        <w:jc w:val="both"/>
        <w:rPr>
          <w:sz w:val="28"/>
          <w:szCs w:val="28"/>
          <w:lang w:val="uk-UA"/>
        </w:rPr>
      </w:pPr>
      <w:r w:rsidRPr="00B575BA">
        <w:rPr>
          <w:sz w:val="28"/>
          <w:szCs w:val="28"/>
          <w:shd w:val="clear" w:color="auto" w:fill="FFFFFF"/>
          <w:lang w:val="uk-UA"/>
        </w:rPr>
        <w:t xml:space="preserve">сума бюджетних надходжень </w:t>
      </w:r>
      <w:r w:rsidRPr="00B575BA">
        <w:rPr>
          <w:sz w:val="28"/>
          <w:szCs w:val="28"/>
          <w:lang w:val="uk-UA"/>
        </w:rPr>
        <w:t>від оподаткування операцій, які пов’язані зі сплатою податку на виведений капітал</w:t>
      </w:r>
      <w:r w:rsidR="0008410B" w:rsidRPr="00B575BA">
        <w:rPr>
          <w:sz w:val="28"/>
          <w:szCs w:val="28"/>
          <w:lang w:val="uk-UA"/>
        </w:rPr>
        <w:t>: в початковий період його запровадження прогнозується зменшення надходжень до бюджету від цього податку порівняно з податком на прибуток підприємств</w:t>
      </w:r>
      <w:r w:rsidR="007F50C3" w:rsidRPr="00B575BA">
        <w:rPr>
          <w:sz w:val="28"/>
          <w:szCs w:val="28"/>
          <w:lang w:val="uk-UA"/>
        </w:rPr>
        <w:t>. Так,</w:t>
      </w:r>
      <w:r w:rsidR="007F50C3" w:rsidRPr="00B575BA">
        <w:t xml:space="preserve"> </w:t>
      </w:r>
      <w:r w:rsidR="007F50C3" w:rsidRPr="00B575BA">
        <w:rPr>
          <w:sz w:val="28"/>
          <w:szCs w:val="28"/>
          <w:lang w:val="uk-UA"/>
        </w:rPr>
        <w:t>прогнозні надходження з цього податку у 2018 році – 32,5 млрд. грн</w:t>
      </w:r>
      <w:r w:rsidR="00156E52" w:rsidRPr="00B575BA">
        <w:rPr>
          <w:sz w:val="28"/>
          <w:szCs w:val="28"/>
          <w:lang w:val="uk-UA"/>
        </w:rPr>
        <w:t>.</w:t>
      </w:r>
      <w:r w:rsidR="007F50C3" w:rsidRPr="00B575BA">
        <w:rPr>
          <w:sz w:val="28"/>
          <w:szCs w:val="28"/>
          <w:lang w:val="uk-UA"/>
        </w:rPr>
        <w:t>, що  на 47,6</w:t>
      </w:r>
      <w:r w:rsidR="00156E52" w:rsidRPr="00B575BA">
        <w:rPr>
          <w:sz w:val="28"/>
          <w:szCs w:val="28"/>
          <w:lang w:val="uk-UA"/>
        </w:rPr>
        <w:t> </w:t>
      </w:r>
      <w:r w:rsidR="007F50C3" w:rsidRPr="00B575BA">
        <w:rPr>
          <w:sz w:val="28"/>
          <w:szCs w:val="28"/>
          <w:lang w:val="uk-UA"/>
        </w:rPr>
        <w:t>млрд.</w:t>
      </w:r>
      <w:r w:rsidR="00156E52" w:rsidRPr="00B575BA">
        <w:rPr>
          <w:sz w:val="28"/>
          <w:szCs w:val="28"/>
          <w:lang w:val="uk-UA"/>
        </w:rPr>
        <w:t> </w:t>
      </w:r>
      <w:r w:rsidR="007F50C3" w:rsidRPr="00B575BA">
        <w:rPr>
          <w:sz w:val="28"/>
          <w:szCs w:val="28"/>
          <w:lang w:val="uk-UA"/>
        </w:rPr>
        <w:t>грн</w:t>
      </w:r>
      <w:r w:rsidR="00156E52" w:rsidRPr="00B575BA">
        <w:rPr>
          <w:sz w:val="28"/>
          <w:szCs w:val="28"/>
          <w:lang w:val="uk-UA"/>
        </w:rPr>
        <w:t>.</w:t>
      </w:r>
      <w:r w:rsidR="007F50C3" w:rsidRPr="00B575BA">
        <w:rPr>
          <w:sz w:val="28"/>
          <w:szCs w:val="28"/>
          <w:lang w:val="uk-UA"/>
        </w:rPr>
        <w:t xml:space="preserve"> менше прогнозної суми податку на прибуток підприємств</w:t>
      </w:r>
      <w:r w:rsidR="00156E52" w:rsidRPr="00B575BA">
        <w:rPr>
          <w:sz w:val="28"/>
          <w:szCs w:val="28"/>
          <w:lang w:val="uk-UA"/>
        </w:rPr>
        <w:t>;</w:t>
      </w:r>
      <w:r w:rsidR="007F50C3" w:rsidRPr="00B575BA">
        <w:rPr>
          <w:sz w:val="28"/>
          <w:szCs w:val="28"/>
          <w:lang w:val="uk-UA"/>
        </w:rPr>
        <w:t xml:space="preserve"> </w:t>
      </w:r>
    </w:p>
    <w:p w:rsidR="00300681" w:rsidRPr="00B575BA" w:rsidRDefault="00300681" w:rsidP="00300681">
      <w:pPr>
        <w:spacing w:before="120"/>
        <w:ind w:right="-2" w:firstLine="720"/>
        <w:jc w:val="both"/>
        <w:rPr>
          <w:sz w:val="28"/>
          <w:szCs w:val="28"/>
          <w:lang w:val="uk-UA"/>
        </w:rPr>
      </w:pPr>
      <w:r w:rsidRPr="00B575BA">
        <w:rPr>
          <w:rFonts w:eastAsia="Calibri"/>
          <w:sz w:val="28"/>
          <w:szCs w:val="28"/>
          <w:lang w:val="uk-UA"/>
        </w:rPr>
        <w:t xml:space="preserve">кількість </w:t>
      </w:r>
      <w:r w:rsidRPr="00B575BA">
        <w:rPr>
          <w:sz w:val="28"/>
          <w:szCs w:val="28"/>
          <w:lang w:val="uk-UA"/>
        </w:rPr>
        <w:t>платників податку, які декларують об’єкти оподаткування з податку на виведений капітал</w:t>
      </w:r>
      <w:r w:rsidR="0008410B" w:rsidRPr="00B575BA">
        <w:rPr>
          <w:sz w:val="28"/>
          <w:szCs w:val="28"/>
          <w:lang w:val="uk-UA"/>
        </w:rPr>
        <w:t>: дія законопроекту поширюється на суб’єктів господарювання (3324), які провадять господарську діяльність як на території України, так і за її межами</w:t>
      </w:r>
      <w:r w:rsidR="001B7F94" w:rsidRPr="00B575BA">
        <w:rPr>
          <w:sz w:val="28"/>
          <w:szCs w:val="28"/>
          <w:lang w:val="uk-UA"/>
        </w:rPr>
        <w:t>;</w:t>
      </w:r>
    </w:p>
    <w:p w:rsidR="001B7F94" w:rsidRPr="00B575BA" w:rsidRDefault="001B7F94" w:rsidP="00300681">
      <w:pPr>
        <w:spacing w:before="120"/>
        <w:ind w:right="-2" w:firstLine="720"/>
        <w:jc w:val="both"/>
        <w:rPr>
          <w:sz w:val="28"/>
          <w:szCs w:val="28"/>
          <w:lang w:val="uk-UA"/>
        </w:rPr>
      </w:pPr>
      <w:r w:rsidRPr="00B575BA">
        <w:rPr>
          <w:sz w:val="28"/>
          <w:szCs w:val="28"/>
          <w:lang w:val="uk-UA"/>
        </w:rPr>
        <w:t xml:space="preserve">витрати </w:t>
      </w:r>
      <w:proofErr w:type="spellStart"/>
      <w:r w:rsidRPr="00B575BA">
        <w:rPr>
          <w:sz w:val="28"/>
          <w:szCs w:val="28"/>
          <w:lang w:val="uk-UA"/>
        </w:rPr>
        <w:t>суб</w:t>
      </w:r>
      <w:proofErr w:type="spellEnd"/>
      <w:r w:rsidRPr="00B575BA">
        <w:rPr>
          <w:sz w:val="28"/>
          <w:szCs w:val="28"/>
          <w:lang w:val="en-US"/>
        </w:rPr>
        <w:t>’</w:t>
      </w:r>
      <w:proofErr w:type="spellStart"/>
      <w:r w:rsidRPr="00B575BA">
        <w:rPr>
          <w:sz w:val="28"/>
          <w:szCs w:val="28"/>
          <w:lang w:val="uk-UA"/>
        </w:rPr>
        <w:t>єкт</w:t>
      </w:r>
      <w:r w:rsidR="00B76B63" w:rsidRPr="00B575BA">
        <w:rPr>
          <w:sz w:val="28"/>
          <w:szCs w:val="28"/>
          <w:lang w:val="uk-UA"/>
        </w:rPr>
        <w:t>ів</w:t>
      </w:r>
      <w:proofErr w:type="spellEnd"/>
      <w:r w:rsidRPr="00B575BA">
        <w:rPr>
          <w:sz w:val="28"/>
          <w:szCs w:val="28"/>
          <w:lang w:val="uk-UA"/>
        </w:rPr>
        <w:t xml:space="preserve"> господарювання, </w:t>
      </w:r>
      <w:proofErr w:type="spellStart"/>
      <w:r w:rsidRPr="00B575BA">
        <w:rPr>
          <w:sz w:val="28"/>
          <w:szCs w:val="28"/>
          <w:lang w:val="uk-UA"/>
        </w:rPr>
        <w:t>пов</w:t>
      </w:r>
      <w:proofErr w:type="spellEnd"/>
      <w:r w:rsidRPr="00B575BA">
        <w:rPr>
          <w:sz w:val="28"/>
          <w:szCs w:val="28"/>
          <w:lang w:val="en-US"/>
        </w:rPr>
        <w:t>’</w:t>
      </w:r>
      <w:proofErr w:type="spellStart"/>
      <w:r w:rsidRPr="00B575BA">
        <w:rPr>
          <w:sz w:val="28"/>
          <w:szCs w:val="28"/>
          <w:lang w:val="uk-UA"/>
        </w:rPr>
        <w:t>язаним</w:t>
      </w:r>
      <w:proofErr w:type="spellEnd"/>
      <w:r w:rsidRPr="00B575BA">
        <w:rPr>
          <w:sz w:val="28"/>
          <w:szCs w:val="28"/>
          <w:lang w:val="uk-UA"/>
        </w:rPr>
        <w:t xml:space="preserve"> з виконання вимог </w:t>
      </w:r>
      <w:proofErr w:type="spellStart"/>
      <w:r w:rsidRPr="00B575BA">
        <w:rPr>
          <w:sz w:val="28"/>
          <w:szCs w:val="28"/>
          <w:lang w:val="uk-UA"/>
        </w:rPr>
        <w:t>акта</w:t>
      </w:r>
      <w:proofErr w:type="spellEnd"/>
      <w:r w:rsidRPr="00B575BA">
        <w:rPr>
          <w:sz w:val="28"/>
          <w:szCs w:val="28"/>
          <w:lang w:val="uk-UA"/>
        </w:rPr>
        <w:t>:</w:t>
      </w:r>
      <w:r w:rsidRPr="00B575BA">
        <w:t xml:space="preserve"> </w:t>
      </w:r>
      <w:r w:rsidRPr="00B575BA">
        <w:rPr>
          <w:sz w:val="28"/>
          <w:szCs w:val="28"/>
          <w:lang w:val="uk-UA"/>
        </w:rPr>
        <w:t>для суб’єктів господарювання  сума вигід (економії) складатиме 307 486 853,4 гривні;</w:t>
      </w:r>
    </w:p>
    <w:p w:rsidR="001B7F94" w:rsidRPr="00B575BA" w:rsidRDefault="001B7F94" w:rsidP="00300681">
      <w:pPr>
        <w:spacing w:before="120"/>
        <w:ind w:right="-2" w:firstLine="720"/>
        <w:jc w:val="both"/>
        <w:rPr>
          <w:sz w:val="28"/>
          <w:szCs w:val="28"/>
          <w:lang w:val="uk-UA"/>
        </w:rPr>
      </w:pPr>
      <w:r w:rsidRPr="00B575BA">
        <w:rPr>
          <w:sz w:val="28"/>
          <w:szCs w:val="28"/>
          <w:lang w:val="uk-UA"/>
        </w:rPr>
        <w:t>рівень поінформованості: поінформованість платників податку щодо основних по</w:t>
      </w:r>
      <w:r w:rsidR="00B76B63" w:rsidRPr="00B575BA">
        <w:rPr>
          <w:sz w:val="28"/>
          <w:szCs w:val="28"/>
          <w:lang w:val="uk-UA"/>
        </w:rPr>
        <w:t>л</w:t>
      </w:r>
      <w:r w:rsidRPr="00B575BA">
        <w:rPr>
          <w:sz w:val="28"/>
          <w:szCs w:val="28"/>
          <w:lang w:val="uk-UA"/>
        </w:rPr>
        <w:t xml:space="preserve">ожень регуляторного </w:t>
      </w:r>
      <w:proofErr w:type="spellStart"/>
      <w:r w:rsidRPr="00B575BA">
        <w:rPr>
          <w:sz w:val="28"/>
          <w:szCs w:val="28"/>
          <w:lang w:val="uk-UA"/>
        </w:rPr>
        <w:t>акт</w:t>
      </w:r>
      <w:r w:rsidR="00156E52" w:rsidRPr="00B575BA">
        <w:rPr>
          <w:sz w:val="28"/>
          <w:szCs w:val="28"/>
          <w:lang w:val="uk-UA"/>
        </w:rPr>
        <w:t>а</w:t>
      </w:r>
      <w:proofErr w:type="spellEnd"/>
      <w:r w:rsidRPr="00B575BA">
        <w:rPr>
          <w:sz w:val="28"/>
          <w:szCs w:val="28"/>
          <w:lang w:val="uk-UA"/>
        </w:rPr>
        <w:t xml:space="preserve"> є високою. Законопроект розміщено для громадського обговорення на офіційному сайті Міністерства фінансів України.</w:t>
      </w:r>
    </w:p>
    <w:p w:rsidR="001B7F94" w:rsidRPr="00B575BA" w:rsidRDefault="001B7F94" w:rsidP="00300681">
      <w:pPr>
        <w:spacing w:before="120"/>
        <w:ind w:right="-2" w:firstLine="720"/>
        <w:jc w:val="both"/>
        <w:rPr>
          <w:sz w:val="28"/>
          <w:szCs w:val="28"/>
          <w:shd w:val="clear" w:color="auto" w:fill="FFFFFF"/>
          <w:lang w:val="uk-UA"/>
        </w:rPr>
      </w:pPr>
    </w:p>
    <w:p w:rsidR="00692686" w:rsidRPr="00E643AE" w:rsidRDefault="00430DB8" w:rsidP="0004000E">
      <w:pPr>
        <w:spacing w:before="120"/>
        <w:ind w:right="-2" w:firstLine="720"/>
        <w:jc w:val="both"/>
        <w:rPr>
          <w:sz w:val="28"/>
          <w:szCs w:val="28"/>
          <w:lang w:val="uk-UA"/>
        </w:rPr>
      </w:pPr>
      <w:r w:rsidRPr="00B575BA">
        <w:rPr>
          <w:sz w:val="28"/>
          <w:szCs w:val="28"/>
          <w:lang w:val="uk-UA"/>
        </w:rPr>
        <w:t>Додатковими показниками, які характеризують</w:t>
      </w:r>
      <w:r w:rsidRPr="00E643AE">
        <w:rPr>
          <w:sz w:val="28"/>
          <w:szCs w:val="28"/>
          <w:lang w:val="uk-UA"/>
        </w:rPr>
        <w:t xml:space="preserve"> результативність дії регуляторного </w:t>
      </w:r>
      <w:proofErr w:type="spellStart"/>
      <w:r w:rsidRPr="00E643AE">
        <w:rPr>
          <w:sz w:val="28"/>
          <w:szCs w:val="28"/>
          <w:lang w:val="uk-UA"/>
        </w:rPr>
        <w:t>акта</w:t>
      </w:r>
      <w:proofErr w:type="spellEnd"/>
      <w:r w:rsidR="00716A64" w:rsidRPr="00E643AE">
        <w:rPr>
          <w:sz w:val="28"/>
          <w:szCs w:val="28"/>
          <w:lang w:val="uk-UA"/>
        </w:rPr>
        <w:t>,</w:t>
      </w:r>
      <w:r w:rsidRPr="00E643AE">
        <w:rPr>
          <w:sz w:val="28"/>
          <w:szCs w:val="28"/>
          <w:lang w:val="uk-UA"/>
        </w:rPr>
        <w:t xml:space="preserve"> є</w:t>
      </w:r>
      <w:r w:rsidR="00692686" w:rsidRPr="00E643AE">
        <w:rPr>
          <w:sz w:val="28"/>
          <w:szCs w:val="28"/>
          <w:lang w:val="uk-UA"/>
        </w:rPr>
        <w:t>:</w:t>
      </w:r>
    </w:p>
    <w:p w:rsidR="00D05E85" w:rsidRPr="00E643AE" w:rsidRDefault="00300681" w:rsidP="0004000E">
      <w:pPr>
        <w:spacing w:before="120"/>
        <w:ind w:right="-2" w:firstLine="720"/>
        <w:jc w:val="both"/>
        <w:rPr>
          <w:rFonts w:eastAsia="Calibri"/>
          <w:sz w:val="28"/>
          <w:szCs w:val="28"/>
          <w:lang w:val="uk-UA"/>
        </w:rPr>
      </w:pPr>
      <w:r w:rsidRPr="00E643AE">
        <w:rPr>
          <w:rFonts w:eastAsia="Calibri"/>
          <w:sz w:val="28"/>
          <w:szCs w:val="28"/>
          <w:lang w:val="uk-UA"/>
        </w:rPr>
        <w:t>час на адміністрування податку на міжнародною оцінкою;</w:t>
      </w:r>
    </w:p>
    <w:p w:rsidR="00300681" w:rsidRPr="00E643AE" w:rsidRDefault="00300681" w:rsidP="00300681">
      <w:pPr>
        <w:spacing w:before="120"/>
        <w:ind w:right="-2" w:firstLine="720"/>
        <w:jc w:val="both"/>
        <w:rPr>
          <w:rFonts w:eastAsia="Calibri"/>
          <w:sz w:val="28"/>
          <w:szCs w:val="28"/>
          <w:lang w:val="uk-UA"/>
        </w:rPr>
      </w:pPr>
      <w:r w:rsidRPr="00E643AE">
        <w:rPr>
          <w:rFonts w:eastAsia="Calibri"/>
          <w:sz w:val="28"/>
          <w:szCs w:val="28"/>
          <w:lang w:val="uk-UA"/>
        </w:rPr>
        <w:t>динаміка зміни кількості юридичних осіб</w:t>
      </w:r>
      <w:r w:rsidR="00156E52">
        <w:rPr>
          <w:rFonts w:eastAsia="Calibri"/>
          <w:sz w:val="28"/>
          <w:szCs w:val="28"/>
          <w:lang w:val="uk-UA"/>
        </w:rPr>
        <w:t xml:space="preserve"> </w:t>
      </w:r>
      <w:r w:rsidR="00156E52" w:rsidRPr="00156E52">
        <w:rPr>
          <w:rFonts w:eastAsia="Calibri"/>
          <w:sz w:val="28"/>
          <w:szCs w:val="28"/>
          <w:lang w:val="uk-UA"/>
        </w:rPr>
        <w:t>–</w:t>
      </w:r>
      <w:r w:rsidR="00156E52">
        <w:rPr>
          <w:rFonts w:eastAsia="Calibri"/>
          <w:sz w:val="28"/>
          <w:szCs w:val="28"/>
          <w:lang w:val="uk-UA"/>
        </w:rPr>
        <w:t xml:space="preserve"> </w:t>
      </w:r>
      <w:r w:rsidRPr="00E643AE">
        <w:rPr>
          <w:rFonts w:eastAsia="Calibri"/>
          <w:sz w:val="28"/>
          <w:szCs w:val="28"/>
          <w:lang w:val="uk-UA"/>
        </w:rPr>
        <w:t>платник</w:t>
      </w:r>
      <w:r w:rsidR="00156E52">
        <w:rPr>
          <w:rFonts w:eastAsia="Calibri"/>
          <w:sz w:val="28"/>
          <w:szCs w:val="28"/>
          <w:lang w:val="uk-UA"/>
        </w:rPr>
        <w:t>ів</w:t>
      </w:r>
      <w:r w:rsidRPr="00E643AE">
        <w:rPr>
          <w:rFonts w:eastAsia="Calibri"/>
          <w:sz w:val="28"/>
          <w:szCs w:val="28"/>
          <w:lang w:val="uk-UA"/>
        </w:rPr>
        <w:t xml:space="preserve"> єдиного податку;</w:t>
      </w:r>
    </w:p>
    <w:p w:rsidR="00300681" w:rsidRPr="00E643AE" w:rsidRDefault="00EC0930" w:rsidP="00300681">
      <w:pPr>
        <w:spacing w:before="120"/>
        <w:ind w:right="-2" w:firstLine="720"/>
        <w:jc w:val="both"/>
        <w:rPr>
          <w:sz w:val="28"/>
          <w:szCs w:val="28"/>
          <w:lang w:val="uk-UA"/>
        </w:rPr>
      </w:pPr>
      <w:r w:rsidRPr="00E643AE">
        <w:rPr>
          <w:rFonts w:eastAsia="Calibri"/>
          <w:sz w:val="28"/>
          <w:szCs w:val="28"/>
          <w:lang w:val="uk-UA"/>
        </w:rPr>
        <w:t xml:space="preserve">динаміка бюджетних надходжень з </w:t>
      </w:r>
      <w:r w:rsidRPr="00E643AE">
        <w:rPr>
          <w:sz w:val="28"/>
          <w:szCs w:val="28"/>
          <w:lang w:val="uk-UA"/>
        </w:rPr>
        <w:t>податку на виведений капітал;</w:t>
      </w:r>
    </w:p>
    <w:p w:rsidR="00EC0930" w:rsidRPr="00E643AE" w:rsidRDefault="00EC0930" w:rsidP="00300681">
      <w:pPr>
        <w:spacing w:before="120"/>
        <w:ind w:right="-2" w:firstLine="720"/>
        <w:jc w:val="both"/>
        <w:rPr>
          <w:rFonts w:eastAsia="Calibri"/>
          <w:sz w:val="28"/>
          <w:szCs w:val="28"/>
          <w:lang w:val="uk-UA"/>
        </w:rPr>
      </w:pPr>
      <w:r w:rsidRPr="00E643AE">
        <w:rPr>
          <w:sz w:val="28"/>
          <w:szCs w:val="28"/>
          <w:lang w:val="uk-UA"/>
        </w:rPr>
        <w:t>динаміка В</w:t>
      </w:r>
      <w:r w:rsidR="00FE590F" w:rsidRPr="00E643AE">
        <w:rPr>
          <w:sz w:val="28"/>
          <w:szCs w:val="28"/>
          <w:lang w:val="uk-UA"/>
        </w:rPr>
        <w:t>В</w:t>
      </w:r>
      <w:r w:rsidRPr="00E643AE">
        <w:rPr>
          <w:sz w:val="28"/>
          <w:szCs w:val="28"/>
          <w:lang w:val="uk-UA"/>
        </w:rPr>
        <w:t>П.</w:t>
      </w:r>
    </w:p>
    <w:p w:rsidR="00332F3C" w:rsidRDefault="00332F3C" w:rsidP="0004000E">
      <w:pPr>
        <w:pStyle w:val="3"/>
        <w:widowControl w:val="0"/>
        <w:spacing w:before="60" w:beforeAutospacing="0" w:after="0" w:afterAutospacing="0"/>
        <w:ind w:right="-2"/>
        <w:rPr>
          <w:rFonts w:eastAsia="Calibri"/>
          <w:b w:val="0"/>
          <w:bCs w:val="0"/>
          <w:sz w:val="28"/>
          <w:szCs w:val="28"/>
          <w:lang w:val="uk-UA"/>
        </w:rPr>
      </w:pPr>
    </w:p>
    <w:p w:rsidR="00156E52" w:rsidRPr="00E643AE" w:rsidRDefault="00156E52" w:rsidP="0004000E">
      <w:pPr>
        <w:pStyle w:val="3"/>
        <w:widowControl w:val="0"/>
        <w:spacing w:before="60" w:beforeAutospacing="0" w:after="0" w:afterAutospacing="0"/>
        <w:ind w:right="-2"/>
        <w:rPr>
          <w:rFonts w:eastAsia="Calibri"/>
          <w:b w:val="0"/>
          <w:bCs w:val="0"/>
          <w:sz w:val="28"/>
          <w:szCs w:val="28"/>
          <w:lang w:val="uk-UA"/>
        </w:rPr>
      </w:pPr>
    </w:p>
    <w:p w:rsidR="00015322" w:rsidRPr="001212D7" w:rsidRDefault="00015322" w:rsidP="0004000E">
      <w:pPr>
        <w:pStyle w:val="3"/>
        <w:widowControl w:val="0"/>
        <w:spacing w:before="60" w:beforeAutospacing="0" w:after="0" w:afterAutospacing="0"/>
        <w:ind w:right="-2"/>
        <w:jc w:val="center"/>
        <w:rPr>
          <w:sz w:val="28"/>
          <w:szCs w:val="28"/>
          <w:lang w:val="uk-UA"/>
        </w:rPr>
      </w:pPr>
      <w:r w:rsidRPr="001212D7">
        <w:rPr>
          <w:sz w:val="28"/>
          <w:szCs w:val="28"/>
          <w:lang w:val="uk-UA"/>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1212D7">
        <w:rPr>
          <w:sz w:val="28"/>
          <w:szCs w:val="28"/>
          <w:lang w:val="uk-UA"/>
        </w:rPr>
        <w:t>акта</w:t>
      </w:r>
      <w:proofErr w:type="spellEnd"/>
    </w:p>
    <w:p w:rsidR="00871628" w:rsidRPr="00E643AE" w:rsidRDefault="00871628" w:rsidP="00871628">
      <w:pPr>
        <w:pStyle w:val="3"/>
        <w:ind w:right="-2" w:firstLine="709"/>
        <w:jc w:val="both"/>
        <w:rPr>
          <w:b w:val="0"/>
          <w:bCs w:val="0"/>
          <w:sz w:val="28"/>
          <w:szCs w:val="28"/>
          <w:lang w:val="uk-UA"/>
        </w:rPr>
      </w:pPr>
      <w:r w:rsidRPr="00E643AE">
        <w:rPr>
          <w:b w:val="0"/>
          <w:bCs w:val="0"/>
          <w:sz w:val="28"/>
          <w:szCs w:val="28"/>
          <w:lang w:val="uk-UA"/>
        </w:rPr>
        <w:t xml:space="preserve">Базове відстеження результативності регуляторного </w:t>
      </w:r>
      <w:proofErr w:type="spellStart"/>
      <w:r w:rsidRPr="00E643AE">
        <w:rPr>
          <w:b w:val="0"/>
          <w:bCs w:val="0"/>
          <w:sz w:val="28"/>
          <w:szCs w:val="28"/>
          <w:lang w:val="uk-UA"/>
        </w:rPr>
        <w:t>акта</w:t>
      </w:r>
      <w:proofErr w:type="spellEnd"/>
      <w:r w:rsidRPr="00E643AE">
        <w:rPr>
          <w:b w:val="0"/>
          <w:bCs w:val="0"/>
          <w:sz w:val="28"/>
          <w:szCs w:val="28"/>
          <w:lang w:val="uk-UA"/>
        </w:rPr>
        <w:t xml:space="preserve"> буде проводитись статистичним методом у визначений законодавством термін шляхом проведення моніторингу на підставі аналізу інформаційних систем Державної фіскальної служби</w:t>
      </w:r>
      <w:r w:rsidR="00B76B63">
        <w:rPr>
          <w:b w:val="0"/>
          <w:bCs w:val="0"/>
          <w:sz w:val="28"/>
          <w:szCs w:val="28"/>
          <w:lang w:val="uk-UA"/>
        </w:rPr>
        <w:t xml:space="preserve"> України</w:t>
      </w:r>
      <w:r w:rsidRPr="00E643AE">
        <w:rPr>
          <w:b w:val="0"/>
          <w:bCs w:val="0"/>
          <w:sz w:val="28"/>
          <w:szCs w:val="28"/>
          <w:lang w:val="uk-UA"/>
        </w:rPr>
        <w:t xml:space="preserve"> та інформації з відкритих джерел через рік після набрання чинності регуляторного </w:t>
      </w:r>
      <w:proofErr w:type="spellStart"/>
      <w:r w:rsidRPr="00E643AE">
        <w:rPr>
          <w:b w:val="0"/>
          <w:bCs w:val="0"/>
          <w:sz w:val="28"/>
          <w:szCs w:val="28"/>
          <w:lang w:val="uk-UA"/>
        </w:rPr>
        <w:t>акт</w:t>
      </w:r>
      <w:r w:rsidR="00156E52">
        <w:rPr>
          <w:b w:val="0"/>
          <w:bCs w:val="0"/>
          <w:sz w:val="28"/>
          <w:szCs w:val="28"/>
          <w:lang w:val="uk-UA"/>
        </w:rPr>
        <w:t>а</w:t>
      </w:r>
      <w:proofErr w:type="spellEnd"/>
      <w:r w:rsidRPr="00E643AE">
        <w:rPr>
          <w:b w:val="0"/>
          <w:bCs w:val="0"/>
          <w:sz w:val="28"/>
          <w:szCs w:val="28"/>
          <w:lang w:val="uk-UA"/>
        </w:rPr>
        <w:t>.</w:t>
      </w:r>
    </w:p>
    <w:p w:rsidR="00871628" w:rsidRPr="00E643AE" w:rsidRDefault="00871628" w:rsidP="00871628">
      <w:pPr>
        <w:pStyle w:val="3"/>
        <w:spacing w:before="0" w:beforeAutospacing="0"/>
        <w:ind w:right="-2" w:firstLine="709"/>
        <w:jc w:val="both"/>
        <w:rPr>
          <w:b w:val="0"/>
          <w:bCs w:val="0"/>
          <w:sz w:val="28"/>
          <w:szCs w:val="28"/>
          <w:lang w:val="uk-UA"/>
        </w:rPr>
      </w:pPr>
      <w:r w:rsidRPr="00E643AE">
        <w:rPr>
          <w:b w:val="0"/>
          <w:bCs w:val="0"/>
          <w:sz w:val="28"/>
          <w:szCs w:val="28"/>
          <w:lang w:val="uk-UA"/>
        </w:rPr>
        <w:t xml:space="preserve">Повторне відстеження результативності регуляторного </w:t>
      </w:r>
      <w:proofErr w:type="spellStart"/>
      <w:r w:rsidRPr="00E643AE">
        <w:rPr>
          <w:b w:val="0"/>
          <w:bCs w:val="0"/>
          <w:sz w:val="28"/>
          <w:szCs w:val="28"/>
          <w:lang w:val="uk-UA"/>
        </w:rPr>
        <w:t>акта</w:t>
      </w:r>
      <w:proofErr w:type="spellEnd"/>
      <w:r w:rsidRPr="00E643AE">
        <w:rPr>
          <w:b w:val="0"/>
          <w:bCs w:val="0"/>
          <w:sz w:val="28"/>
          <w:szCs w:val="28"/>
          <w:lang w:val="uk-UA"/>
        </w:rPr>
        <w:t xml:space="preserve"> буде здійснено через два роки з дня набрання ним чинності. </w:t>
      </w:r>
    </w:p>
    <w:p w:rsidR="001B7F94" w:rsidRDefault="00871628" w:rsidP="0004000E">
      <w:pPr>
        <w:pStyle w:val="3"/>
        <w:spacing w:before="0" w:beforeAutospacing="0"/>
        <w:ind w:right="-2" w:firstLine="709"/>
        <w:jc w:val="both"/>
        <w:rPr>
          <w:b w:val="0"/>
          <w:bCs w:val="0"/>
          <w:sz w:val="28"/>
          <w:szCs w:val="28"/>
          <w:lang w:val="uk-UA"/>
        </w:rPr>
      </w:pPr>
      <w:r w:rsidRPr="00E643AE">
        <w:rPr>
          <w:b w:val="0"/>
          <w:bCs w:val="0"/>
          <w:sz w:val="28"/>
          <w:szCs w:val="28"/>
          <w:lang w:val="uk-UA"/>
        </w:rPr>
        <w:t>Виконавець заходів відстеження: Міністерство фінансів України та Державна регуляторна служба України.</w:t>
      </w:r>
      <w:r w:rsidR="001B7F94">
        <w:rPr>
          <w:b w:val="0"/>
          <w:bCs w:val="0"/>
          <w:sz w:val="28"/>
          <w:szCs w:val="28"/>
          <w:lang w:val="uk-UA"/>
        </w:rPr>
        <w:t xml:space="preserve"> </w:t>
      </w:r>
    </w:p>
    <w:p w:rsidR="00871628" w:rsidRPr="001B7F94" w:rsidRDefault="00156E52" w:rsidP="001B7F94">
      <w:pPr>
        <w:pStyle w:val="3"/>
        <w:ind w:right="-2" w:firstLine="709"/>
        <w:jc w:val="both"/>
        <w:rPr>
          <w:b w:val="0"/>
          <w:bCs w:val="0"/>
          <w:sz w:val="28"/>
          <w:szCs w:val="28"/>
          <w:lang w:val="uk-UA"/>
        </w:rPr>
      </w:pPr>
      <w:r>
        <w:rPr>
          <w:b w:val="0"/>
          <w:bCs w:val="0"/>
          <w:sz w:val="28"/>
          <w:szCs w:val="28"/>
          <w:lang w:val="uk-UA"/>
        </w:rPr>
        <w:t>У</w:t>
      </w:r>
      <w:r w:rsidR="001B7F94">
        <w:rPr>
          <w:b w:val="0"/>
          <w:bCs w:val="0"/>
          <w:sz w:val="28"/>
          <w:szCs w:val="28"/>
          <w:lang w:val="uk-UA"/>
        </w:rPr>
        <w:t xml:space="preserve"> разі надходження пропозицій щодо вирішення проблемних питань, </w:t>
      </w:r>
      <w:proofErr w:type="spellStart"/>
      <w:r w:rsidR="001B7F94">
        <w:rPr>
          <w:b w:val="0"/>
          <w:bCs w:val="0"/>
          <w:sz w:val="28"/>
          <w:szCs w:val="28"/>
          <w:lang w:val="uk-UA"/>
        </w:rPr>
        <w:t>пов</w:t>
      </w:r>
      <w:proofErr w:type="spellEnd"/>
      <w:r w:rsidR="001B7F94">
        <w:rPr>
          <w:b w:val="0"/>
          <w:bCs w:val="0"/>
          <w:sz w:val="28"/>
          <w:szCs w:val="28"/>
          <w:lang w:val="en-US"/>
        </w:rPr>
        <w:t>’</w:t>
      </w:r>
      <w:proofErr w:type="spellStart"/>
      <w:r w:rsidR="001B7F94">
        <w:rPr>
          <w:b w:val="0"/>
          <w:bCs w:val="0"/>
          <w:sz w:val="28"/>
          <w:szCs w:val="28"/>
          <w:lang w:val="uk-UA"/>
        </w:rPr>
        <w:t>язаних</w:t>
      </w:r>
      <w:proofErr w:type="spellEnd"/>
      <w:r w:rsidR="001B7F94">
        <w:rPr>
          <w:b w:val="0"/>
          <w:bCs w:val="0"/>
          <w:sz w:val="28"/>
          <w:szCs w:val="28"/>
          <w:lang w:val="uk-UA"/>
        </w:rPr>
        <w:t xml:space="preserve"> з дією </w:t>
      </w:r>
      <w:r w:rsidR="001B7F94" w:rsidRPr="001B7F94">
        <w:rPr>
          <w:b w:val="0"/>
          <w:bCs w:val="0"/>
          <w:sz w:val="28"/>
          <w:szCs w:val="28"/>
          <w:lang w:val="uk-UA"/>
        </w:rPr>
        <w:t>Закону України «Про внесення змін до Податкового кодексу України щодо податку на виведений капітал»</w:t>
      </w:r>
      <w:r w:rsidR="001B7F94">
        <w:rPr>
          <w:b w:val="0"/>
          <w:bCs w:val="0"/>
          <w:sz w:val="28"/>
          <w:szCs w:val="28"/>
          <w:lang w:val="uk-UA"/>
        </w:rPr>
        <w:t>, вони будуть розглянуті та опрацьовані в установленому порядку.</w:t>
      </w:r>
    </w:p>
    <w:p w:rsidR="001B7F94" w:rsidRPr="00E643AE" w:rsidRDefault="001B7F94" w:rsidP="0004000E">
      <w:pPr>
        <w:pStyle w:val="3"/>
        <w:spacing w:before="0" w:beforeAutospacing="0"/>
        <w:ind w:right="-2" w:firstLine="709"/>
        <w:jc w:val="both"/>
        <w:rPr>
          <w:b w:val="0"/>
          <w:bCs w:val="0"/>
          <w:sz w:val="28"/>
          <w:szCs w:val="28"/>
          <w:lang w:val="uk-UA"/>
        </w:rPr>
      </w:pPr>
    </w:p>
    <w:p w:rsidR="0025230A" w:rsidRPr="001212D7" w:rsidRDefault="0025230A" w:rsidP="0004000E">
      <w:pPr>
        <w:widowControl w:val="0"/>
        <w:spacing w:before="360"/>
        <w:ind w:right="-2"/>
        <w:jc w:val="both"/>
        <w:rPr>
          <w:b/>
          <w:sz w:val="28"/>
          <w:szCs w:val="28"/>
          <w:lang w:val="uk-UA"/>
        </w:rPr>
      </w:pPr>
    </w:p>
    <w:p w:rsidR="00015322" w:rsidRPr="001212D7" w:rsidRDefault="00156E52" w:rsidP="0004000E">
      <w:pPr>
        <w:widowControl w:val="0"/>
        <w:spacing w:before="360"/>
        <w:ind w:right="-2"/>
        <w:jc w:val="both"/>
        <w:rPr>
          <w:sz w:val="28"/>
          <w:szCs w:val="28"/>
          <w:lang w:val="uk-UA"/>
        </w:rPr>
      </w:pPr>
      <w:r w:rsidRPr="00156E52">
        <w:rPr>
          <w:b/>
          <w:sz w:val="28"/>
          <w:szCs w:val="28"/>
          <w:lang w:val="uk-UA"/>
        </w:rPr>
        <w:t xml:space="preserve">В. о. </w:t>
      </w:r>
      <w:r w:rsidR="00DB16B9" w:rsidRPr="00156E52">
        <w:rPr>
          <w:b/>
          <w:sz w:val="28"/>
          <w:szCs w:val="28"/>
          <w:lang w:val="uk-UA"/>
        </w:rPr>
        <w:t>Міністр</w:t>
      </w:r>
      <w:r>
        <w:rPr>
          <w:b/>
          <w:sz w:val="28"/>
          <w:szCs w:val="28"/>
          <w:lang w:val="uk-UA"/>
        </w:rPr>
        <w:t>а</w:t>
      </w:r>
      <w:r w:rsidR="00DB16B9" w:rsidRPr="00156E52">
        <w:rPr>
          <w:b/>
          <w:sz w:val="28"/>
          <w:szCs w:val="28"/>
          <w:lang w:val="uk-UA"/>
        </w:rPr>
        <w:t xml:space="preserve"> фінансів України</w:t>
      </w:r>
      <w:r w:rsidR="00DB16B9" w:rsidRPr="00156E52">
        <w:rPr>
          <w:b/>
          <w:sz w:val="28"/>
          <w:szCs w:val="28"/>
          <w:lang w:val="uk-UA"/>
        </w:rPr>
        <w:tab/>
      </w:r>
      <w:r w:rsidR="00DB16B9" w:rsidRPr="00156E52">
        <w:rPr>
          <w:b/>
          <w:sz w:val="28"/>
          <w:szCs w:val="28"/>
          <w:lang w:val="uk-UA"/>
        </w:rPr>
        <w:tab/>
      </w:r>
      <w:r w:rsidR="00DB16B9" w:rsidRPr="00156E52">
        <w:rPr>
          <w:b/>
          <w:sz w:val="28"/>
          <w:szCs w:val="28"/>
          <w:lang w:val="uk-UA"/>
        </w:rPr>
        <w:tab/>
      </w:r>
      <w:r w:rsidR="00DB16B9" w:rsidRPr="00156E52">
        <w:rPr>
          <w:b/>
          <w:sz w:val="28"/>
          <w:szCs w:val="28"/>
          <w:lang w:val="uk-UA"/>
        </w:rPr>
        <w:tab/>
      </w:r>
      <w:r w:rsidR="00DB16B9" w:rsidRPr="00156E52">
        <w:rPr>
          <w:b/>
          <w:sz w:val="28"/>
          <w:szCs w:val="28"/>
          <w:lang w:val="uk-UA"/>
        </w:rPr>
        <w:tab/>
      </w:r>
      <w:r w:rsidR="00903FFF" w:rsidRPr="00156E52">
        <w:rPr>
          <w:b/>
          <w:sz w:val="28"/>
          <w:szCs w:val="28"/>
          <w:lang w:val="uk-UA"/>
        </w:rPr>
        <w:t xml:space="preserve">     </w:t>
      </w:r>
      <w:r w:rsidRPr="00156E52">
        <w:rPr>
          <w:b/>
          <w:sz w:val="28"/>
          <w:szCs w:val="28"/>
          <w:lang w:val="uk-UA"/>
        </w:rPr>
        <w:t>С</w:t>
      </w:r>
      <w:r w:rsidR="0090143C" w:rsidRPr="00156E52">
        <w:rPr>
          <w:b/>
          <w:sz w:val="28"/>
          <w:szCs w:val="28"/>
          <w:lang w:val="uk-UA"/>
        </w:rPr>
        <w:t xml:space="preserve">. </w:t>
      </w:r>
      <w:r w:rsidRPr="00156E52">
        <w:rPr>
          <w:b/>
          <w:sz w:val="28"/>
          <w:szCs w:val="28"/>
          <w:lang w:val="uk-UA"/>
        </w:rPr>
        <w:t>МАРЧЕНКО</w:t>
      </w:r>
    </w:p>
    <w:p w:rsidR="006F4F7D" w:rsidRPr="001212D7" w:rsidRDefault="006F4F7D" w:rsidP="0004000E">
      <w:pPr>
        <w:ind w:right="-2"/>
        <w:rPr>
          <w:lang w:val="uk-UA"/>
        </w:rPr>
      </w:pPr>
    </w:p>
    <w:sectPr w:rsidR="006F4F7D" w:rsidRPr="001212D7" w:rsidSect="009A2DE8">
      <w:headerReference w:type="even" r:id="rId9"/>
      <w:headerReference w:type="default" r:id="rId10"/>
      <w:pgSz w:w="11906" w:h="16838"/>
      <w:pgMar w:top="1135"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53" w:rsidRDefault="00985853" w:rsidP="00410B89">
      <w:r>
        <w:separator/>
      </w:r>
    </w:p>
  </w:endnote>
  <w:endnote w:type="continuationSeparator" w:id="0">
    <w:p w:rsidR="00985853" w:rsidRDefault="00985853" w:rsidP="0041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53" w:rsidRDefault="00985853" w:rsidP="00410B89">
      <w:r>
        <w:separator/>
      </w:r>
    </w:p>
  </w:footnote>
  <w:footnote w:type="continuationSeparator" w:id="0">
    <w:p w:rsidR="00985853" w:rsidRDefault="00985853" w:rsidP="00410B89">
      <w:r>
        <w:continuationSeparator/>
      </w:r>
    </w:p>
  </w:footnote>
  <w:footnote w:id="1">
    <w:p w:rsidR="00020D3B" w:rsidRPr="00020D3B" w:rsidRDefault="00020D3B" w:rsidP="00020D3B">
      <w:pPr>
        <w:pStyle w:val="ac"/>
        <w:jc w:val="both"/>
        <w:rPr>
          <w:rFonts w:ascii="Times New Roman" w:hAnsi="Times New Roman"/>
          <w:lang w:val="uk-UA"/>
        </w:rPr>
      </w:pPr>
      <w:r w:rsidRPr="00020D3B">
        <w:rPr>
          <w:rStyle w:val="ae"/>
          <w:rFonts w:ascii="Times New Roman" w:hAnsi="Times New Roman"/>
          <w:lang w:val="uk-UA"/>
        </w:rPr>
        <w:footnoteRef/>
      </w:r>
      <w:r w:rsidRPr="00020D3B">
        <w:rPr>
          <w:rFonts w:ascii="Times New Roman" w:hAnsi="Times New Roman"/>
          <w:lang w:val="uk-UA"/>
        </w:rPr>
        <w:t xml:space="preserve"> За даними </w:t>
      </w:r>
      <w:proofErr w:type="spellStart"/>
      <w:r w:rsidRPr="00020D3B">
        <w:rPr>
          <w:rFonts w:ascii="Times New Roman" w:hAnsi="Times New Roman"/>
          <w:lang w:val="uk-UA"/>
        </w:rPr>
        <w:t>Мінекономрозвитку</w:t>
      </w:r>
      <w:proofErr w:type="spellEnd"/>
      <w:r w:rsidRPr="00020D3B">
        <w:rPr>
          <w:rFonts w:ascii="Times New Roman" w:hAnsi="Times New Roman"/>
          <w:lang w:val="uk-UA"/>
        </w:rPr>
        <w:t xml:space="preserve"> (лист від</w:t>
      </w:r>
      <w:r>
        <w:rPr>
          <w:rFonts w:ascii="Times New Roman" w:hAnsi="Times New Roman"/>
          <w:lang w:val="uk-UA"/>
        </w:rPr>
        <w:t xml:space="preserve"> 19.07.2017 № 3021-03/24743-03)</w:t>
      </w:r>
      <w:r w:rsidRPr="00020D3B">
        <w:rPr>
          <w:rFonts w:ascii="Times New Roman" w:hAnsi="Times New Roman"/>
          <w:lang w:val="uk-UA"/>
        </w:rPr>
        <w:t xml:space="preserve"> ступінь зносу основних фондів за підсумком 2015 року становила 60,1%.</w:t>
      </w:r>
    </w:p>
  </w:footnote>
  <w:footnote w:id="2">
    <w:p w:rsidR="00642E0D" w:rsidRPr="00E643AE" w:rsidRDefault="00642E0D" w:rsidP="00642E0D">
      <w:pPr>
        <w:pStyle w:val="ac"/>
        <w:jc w:val="both"/>
        <w:rPr>
          <w:lang w:val="uk-UA"/>
        </w:rPr>
      </w:pPr>
      <w:r w:rsidRPr="00E643AE">
        <w:rPr>
          <w:rFonts w:ascii="Times New Roman" w:hAnsi="Times New Roman"/>
          <w:vertAlign w:val="superscript"/>
          <w:lang w:val="uk-UA"/>
        </w:rPr>
        <w:footnoteRef/>
      </w:r>
      <w:r w:rsidR="00C40E68" w:rsidRPr="00E643AE">
        <w:rPr>
          <w:rFonts w:ascii="Times New Roman" w:hAnsi="Times New Roman"/>
          <w:lang w:val="uk-UA"/>
        </w:rPr>
        <w:t> </w:t>
      </w:r>
      <w:r w:rsidRPr="00E643AE">
        <w:rPr>
          <w:rFonts w:ascii="Times New Roman" w:hAnsi="Times New Roman"/>
          <w:lang w:val="uk-UA"/>
        </w:rPr>
        <w:t xml:space="preserve">На сьогодні Естонія займає 12 рядок в рейтингу </w:t>
      </w:r>
      <w:proofErr w:type="spellStart"/>
      <w:r w:rsidRPr="00E643AE">
        <w:rPr>
          <w:rFonts w:ascii="Times New Roman" w:hAnsi="Times New Roman"/>
          <w:lang w:val="uk-UA"/>
        </w:rPr>
        <w:t>Doing</w:t>
      </w:r>
      <w:proofErr w:type="spellEnd"/>
      <w:r w:rsidRPr="00E643AE">
        <w:rPr>
          <w:rFonts w:ascii="Times New Roman" w:hAnsi="Times New Roman"/>
          <w:lang w:val="uk-UA"/>
        </w:rPr>
        <w:t xml:space="preserve"> </w:t>
      </w:r>
      <w:proofErr w:type="spellStart"/>
      <w:r w:rsidRPr="00E643AE">
        <w:rPr>
          <w:rFonts w:ascii="Times New Roman" w:hAnsi="Times New Roman"/>
          <w:lang w:val="uk-UA"/>
        </w:rPr>
        <w:t>Business</w:t>
      </w:r>
      <w:proofErr w:type="spellEnd"/>
      <w:r w:rsidRPr="00E643AE">
        <w:rPr>
          <w:rFonts w:ascii="Times New Roman" w:hAnsi="Times New Roman"/>
          <w:lang w:val="uk-UA"/>
        </w:rPr>
        <w:t xml:space="preserve"> (http://www.doingbusiness.org/data/exploreeconomies/estonia)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99" w:rsidRDefault="0095775A" w:rsidP="002E3396">
    <w:pPr>
      <w:pStyle w:val="a5"/>
      <w:framePr w:wrap="around" w:vAnchor="text" w:hAnchor="margin" w:xAlign="center" w:y="1"/>
      <w:rPr>
        <w:rStyle w:val="a7"/>
      </w:rPr>
    </w:pPr>
    <w:r>
      <w:rPr>
        <w:rStyle w:val="a7"/>
      </w:rPr>
      <w:fldChar w:fldCharType="begin"/>
    </w:r>
    <w:r w:rsidR="00AB2099">
      <w:rPr>
        <w:rStyle w:val="a7"/>
      </w:rPr>
      <w:instrText xml:space="preserve">PAGE  </w:instrText>
    </w:r>
    <w:r>
      <w:rPr>
        <w:rStyle w:val="a7"/>
      </w:rPr>
      <w:fldChar w:fldCharType="end"/>
    </w:r>
  </w:p>
  <w:p w:rsidR="00AB2099" w:rsidRDefault="00AB20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99" w:rsidRPr="0092799C" w:rsidRDefault="0095775A" w:rsidP="002E3396">
    <w:pPr>
      <w:pStyle w:val="a5"/>
      <w:framePr w:wrap="around" w:vAnchor="text" w:hAnchor="margin" w:xAlign="center" w:y="1"/>
      <w:jc w:val="center"/>
      <w:rPr>
        <w:rStyle w:val="a7"/>
        <w:lang w:val="uk-UA"/>
      </w:rPr>
    </w:pPr>
    <w:r>
      <w:rPr>
        <w:rStyle w:val="a7"/>
      </w:rPr>
      <w:fldChar w:fldCharType="begin"/>
    </w:r>
    <w:r w:rsidR="00AB2099">
      <w:rPr>
        <w:rStyle w:val="a7"/>
      </w:rPr>
      <w:instrText xml:space="preserve">PAGE  </w:instrText>
    </w:r>
    <w:r>
      <w:rPr>
        <w:rStyle w:val="a7"/>
      </w:rPr>
      <w:fldChar w:fldCharType="separate"/>
    </w:r>
    <w:r w:rsidR="005F7436">
      <w:rPr>
        <w:rStyle w:val="a7"/>
        <w:noProof/>
      </w:rPr>
      <w:t>13</w:t>
    </w:r>
    <w:r>
      <w:rPr>
        <w:rStyle w:val="a7"/>
      </w:rPr>
      <w:fldChar w:fldCharType="end"/>
    </w:r>
  </w:p>
  <w:p w:rsidR="00AB2099" w:rsidRDefault="00AB2099" w:rsidP="002E339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D1F"/>
    <w:multiLevelType w:val="hybridMultilevel"/>
    <w:tmpl w:val="31B2FAF6"/>
    <w:lvl w:ilvl="0" w:tplc="734EFD26">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F641C76"/>
    <w:multiLevelType w:val="hybridMultilevel"/>
    <w:tmpl w:val="C60435BA"/>
    <w:lvl w:ilvl="0" w:tplc="1322821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nsid w:val="0F67243B"/>
    <w:multiLevelType w:val="hybridMultilevel"/>
    <w:tmpl w:val="6C927B4E"/>
    <w:lvl w:ilvl="0" w:tplc="71A2F876">
      <w:start w:val="1"/>
      <w:numFmt w:val="decimal"/>
      <w:lvlText w:val="%1)"/>
      <w:lvlJc w:val="left"/>
      <w:pPr>
        <w:ind w:left="916" w:hanging="615"/>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
    <w:nsid w:val="10110582"/>
    <w:multiLevelType w:val="hybridMultilevel"/>
    <w:tmpl w:val="6A22FC5A"/>
    <w:lvl w:ilvl="0" w:tplc="B96AB38A">
      <w:start w:val="1"/>
      <w:numFmt w:val="decimal"/>
      <w:lvlText w:val="%1."/>
      <w:lvlJc w:val="left"/>
      <w:pPr>
        <w:ind w:left="675" w:hanging="63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4">
    <w:nsid w:val="10AC4B3D"/>
    <w:multiLevelType w:val="hybridMultilevel"/>
    <w:tmpl w:val="ADFE8600"/>
    <w:lvl w:ilvl="0" w:tplc="3E02246C">
      <w:start w:val="1"/>
      <w:numFmt w:val="decimal"/>
      <w:lvlText w:val="%1)"/>
      <w:lvlJc w:val="left"/>
      <w:pPr>
        <w:ind w:left="1048" w:hanging="825"/>
      </w:pPr>
      <w:rPr>
        <w:rFonts w:eastAsia="Times New Roman"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abstractNum w:abstractNumId="5">
    <w:nsid w:val="13E84F6E"/>
    <w:multiLevelType w:val="hybridMultilevel"/>
    <w:tmpl w:val="CF9E884A"/>
    <w:lvl w:ilvl="0" w:tplc="91D2B42E">
      <w:start w:val="1"/>
      <w:numFmt w:val="decimal"/>
      <w:lvlText w:val="%1."/>
      <w:lvlJc w:val="left"/>
      <w:pPr>
        <w:ind w:left="420" w:hanging="360"/>
      </w:pPr>
      <w:rPr>
        <w:rFonts w:eastAsia="Times New Roman" w:hint="default"/>
        <w:sz w:val="22"/>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nsid w:val="14AF3D6F"/>
    <w:multiLevelType w:val="hybridMultilevel"/>
    <w:tmpl w:val="3CDC434E"/>
    <w:lvl w:ilvl="0" w:tplc="BD4E09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A05D80"/>
    <w:multiLevelType w:val="hybridMultilevel"/>
    <w:tmpl w:val="702A9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92970E3"/>
    <w:multiLevelType w:val="hybridMultilevel"/>
    <w:tmpl w:val="78C0FE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806C91"/>
    <w:multiLevelType w:val="hybridMultilevel"/>
    <w:tmpl w:val="FA4A93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D243EC"/>
    <w:multiLevelType w:val="hybridMultilevel"/>
    <w:tmpl w:val="C60435BA"/>
    <w:lvl w:ilvl="0" w:tplc="1322821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nsid w:val="1E573173"/>
    <w:multiLevelType w:val="hybridMultilevel"/>
    <w:tmpl w:val="DC4CCD14"/>
    <w:lvl w:ilvl="0" w:tplc="64D225F6">
      <w:start w:val="2"/>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2">
    <w:nsid w:val="245B69CD"/>
    <w:multiLevelType w:val="hybridMultilevel"/>
    <w:tmpl w:val="6C927B4E"/>
    <w:lvl w:ilvl="0" w:tplc="71A2F876">
      <w:start w:val="1"/>
      <w:numFmt w:val="decimal"/>
      <w:lvlText w:val="%1)"/>
      <w:lvlJc w:val="left"/>
      <w:pPr>
        <w:ind w:left="916" w:hanging="615"/>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3">
    <w:nsid w:val="29E45180"/>
    <w:multiLevelType w:val="hybridMultilevel"/>
    <w:tmpl w:val="E5F472C0"/>
    <w:lvl w:ilvl="0" w:tplc="0CC2EE8A">
      <w:start w:val="1"/>
      <w:numFmt w:val="decimal"/>
      <w:lvlText w:val="%1)"/>
      <w:lvlJc w:val="left"/>
      <w:pPr>
        <w:ind w:left="360" w:hanging="360"/>
      </w:pPr>
      <w:rPr>
        <w:rFonts w:ascii="Times New Roman" w:eastAsia="Times New Roman" w:hAnsi="Times New Roman" w:cs="Times New Roman"/>
        <w:strike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B0432F"/>
    <w:multiLevelType w:val="hybridMultilevel"/>
    <w:tmpl w:val="9E28FA54"/>
    <w:lvl w:ilvl="0" w:tplc="B560C6D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8DA0D61"/>
    <w:multiLevelType w:val="hybridMultilevel"/>
    <w:tmpl w:val="0276E138"/>
    <w:lvl w:ilvl="0" w:tplc="8BF2634E">
      <w:start w:val="1"/>
      <w:numFmt w:val="decimal"/>
      <w:lvlText w:val="%1)"/>
      <w:lvlJc w:val="left"/>
      <w:pPr>
        <w:ind w:left="455" w:hanging="360"/>
      </w:pPr>
      <w:rPr>
        <w:rFonts w:eastAsia="Times New Roman" w:hint="default"/>
      </w:rPr>
    </w:lvl>
    <w:lvl w:ilvl="1" w:tplc="04220019" w:tentative="1">
      <w:start w:val="1"/>
      <w:numFmt w:val="lowerLetter"/>
      <w:lvlText w:val="%2."/>
      <w:lvlJc w:val="left"/>
      <w:pPr>
        <w:ind w:left="1175" w:hanging="360"/>
      </w:pPr>
    </w:lvl>
    <w:lvl w:ilvl="2" w:tplc="0422001B" w:tentative="1">
      <w:start w:val="1"/>
      <w:numFmt w:val="lowerRoman"/>
      <w:lvlText w:val="%3."/>
      <w:lvlJc w:val="right"/>
      <w:pPr>
        <w:ind w:left="1895" w:hanging="180"/>
      </w:pPr>
    </w:lvl>
    <w:lvl w:ilvl="3" w:tplc="0422000F" w:tentative="1">
      <w:start w:val="1"/>
      <w:numFmt w:val="decimal"/>
      <w:lvlText w:val="%4."/>
      <w:lvlJc w:val="left"/>
      <w:pPr>
        <w:ind w:left="2615" w:hanging="360"/>
      </w:pPr>
    </w:lvl>
    <w:lvl w:ilvl="4" w:tplc="04220019" w:tentative="1">
      <w:start w:val="1"/>
      <w:numFmt w:val="lowerLetter"/>
      <w:lvlText w:val="%5."/>
      <w:lvlJc w:val="left"/>
      <w:pPr>
        <w:ind w:left="3335" w:hanging="360"/>
      </w:pPr>
    </w:lvl>
    <w:lvl w:ilvl="5" w:tplc="0422001B" w:tentative="1">
      <w:start w:val="1"/>
      <w:numFmt w:val="lowerRoman"/>
      <w:lvlText w:val="%6."/>
      <w:lvlJc w:val="right"/>
      <w:pPr>
        <w:ind w:left="4055" w:hanging="180"/>
      </w:pPr>
    </w:lvl>
    <w:lvl w:ilvl="6" w:tplc="0422000F" w:tentative="1">
      <w:start w:val="1"/>
      <w:numFmt w:val="decimal"/>
      <w:lvlText w:val="%7."/>
      <w:lvlJc w:val="left"/>
      <w:pPr>
        <w:ind w:left="4775" w:hanging="360"/>
      </w:pPr>
    </w:lvl>
    <w:lvl w:ilvl="7" w:tplc="04220019" w:tentative="1">
      <w:start w:val="1"/>
      <w:numFmt w:val="lowerLetter"/>
      <w:lvlText w:val="%8."/>
      <w:lvlJc w:val="left"/>
      <w:pPr>
        <w:ind w:left="5495" w:hanging="360"/>
      </w:pPr>
    </w:lvl>
    <w:lvl w:ilvl="8" w:tplc="0422001B" w:tentative="1">
      <w:start w:val="1"/>
      <w:numFmt w:val="lowerRoman"/>
      <w:lvlText w:val="%9."/>
      <w:lvlJc w:val="right"/>
      <w:pPr>
        <w:ind w:left="6215" w:hanging="180"/>
      </w:pPr>
    </w:lvl>
  </w:abstractNum>
  <w:abstractNum w:abstractNumId="16">
    <w:nsid w:val="49A44E07"/>
    <w:multiLevelType w:val="hybridMultilevel"/>
    <w:tmpl w:val="DC4CCD14"/>
    <w:lvl w:ilvl="0" w:tplc="64D225F6">
      <w:start w:val="2"/>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7">
    <w:nsid w:val="49E10A19"/>
    <w:multiLevelType w:val="hybridMultilevel"/>
    <w:tmpl w:val="A82AD666"/>
    <w:lvl w:ilvl="0" w:tplc="94F29BD8">
      <w:start w:val="1"/>
      <w:numFmt w:val="decimal"/>
      <w:lvlText w:val="%1)"/>
      <w:lvlJc w:val="left"/>
      <w:pPr>
        <w:ind w:left="420" w:hanging="360"/>
      </w:pPr>
      <w:rPr>
        <w:rFonts w:ascii="Times New Roman" w:eastAsia="Times New Roman" w:hAnsi="Times New Roman" w:cs="Times New Roman"/>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8">
    <w:nsid w:val="4E8F01C3"/>
    <w:multiLevelType w:val="hybridMultilevel"/>
    <w:tmpl w:val="A6A6DB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F472312"/>
    <w:multiLevelType w:val="hybridMultilevel"/>
    <w:tmpl w:val="DC4CCD14"/>
    <w:lvl w:ilvl="0" w:tplc="64D225F6">
      <w:start w:val="2"/>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0">
    <w:nsid w:val="4FAC3203"/>
    <w:multiLevelType w:val="hybridMultilevel"/>
    <w:tmpl w:val="ADFE8600"/>
    <w:lvl w:ilvl="0" w:tplc="3E02246C">
      <w:start w:val="1"/>
      <w:numFmt w:val="decimal"/>
      <w:lvlText w:val="%1)"/>
      <w:lvlJc w:val="left"/>
      <w:pPr>
        <w:ind w:left="1048" w:hanging="825"/>
      </w:pPr>
      <w:rPr>
        <w:rFonts w:eastAsia="Times New Roman"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abstractNum w:abstractNumId="21">
    <w:nsid w:val="52734CE2"/>
    <w:multiLevelType w:val="hybridMultilevel"/>
    <w:tmpl w:val="29305A76"/>
    <w:lvl w:ilvl="0" w:tplc="9F564FD6">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2">
    <w:nsid w:val="549A5BAA"/>
    <w:multiLevelType w:val="hybridMultilevel"/>
    <w:tmpl w:val="3DDED1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DC1824"/>
    <w:multiLevelType w:val="hybridMultilevel"/>
    <w:tmpl w:val="1DCC7B18"/>
    <w:lvl w:ilvl="0" w:tplc="0CC2EE8A">
      <w:start w:val="1"/>
      <w:numFmt w:val="decimal"/>
      <w:lvlText w:val="%1)"/>
      <w:lvlJc w:val="left"/>
      <w:pPr>
        <w:ind w:left="360" w:hanging="360"/>
      </w:pPr>
      <w:rPr>
        <w:rFonts w:ascii="Times New Roman" w:eastAsia="Times New Roman" w:hAnsi="Times New Roman" w:cs="Times New Roman"/>
        <w:strike w:val="0"/>
        <w:sz w:val="22"/>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4">
    <w:nsid w:val="5BB16081"/>
    <w:multiLevelType w:val="hybridMultilevel"/>
    <w:tmpl w:val="3DDED1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1B15C2"/>
    <w:multiLevelType w:val="hybridMultilevel"/>
    <w:tmpl w:val="2B1AFAB4"/>
    <w:lvl w:ilvl="0" w:tplc="1322821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6">
    <w:nsid w:val="60A909D0"/>
    <w:multiLevelType w:val="hybridMultilevel"/>
    <w:tmpl w:val="822415B8"/>
    <w:lvl w:ilvl="0" w:tplc="510CC7A4">
      <w:start w:val="1"/>
      <w:numFmt w:val="decimal"/>
      <w:lvlText w:val="%1)"/>
      <w:lvlJc w:val="left"/>
      <w:pPr>
        <w:ind w:left="1295" w:hanging="1200"/>
      </w:pPr>
      <w:rPr>
        <w:rFonts w:eastAsia="Times New Roman" w:hint="default"/>
      </w:rPr>
    </w:lvl>
    <w:lvl w:ilvl="1" w:tplc="04220019" w:tentative="1">
      <w:start w:val="1"/>
      <w:numFmt w:val="lowerLetter"/>
      <w:lvlText w:val="%2."/>
      <w:lvlJc w:val="left"/>
      <w:pPr>
        <w:ind w:left="1175" w:hanging="360"/>
      </w:pPr>
    </w:lvl>
    <w:lvl w:ilvl="2" w:tplc="0422001B" w:tentative="1">
      <w:start w:val="1"/>
      <w:numFmt w:val="lowerRoman"/>
      <w:lvlText w:val="%3."/>
      <w:lvlJc w:val="right"/>
      <w:pPr>
        <w:ind w:left="1895" w:hanging="180"/>
      </w:pPr>
    </w:lvl>
    <w:lvl w:ilvl="3" w:tplc="0422000F" w:tentative="1">
      <w:start w:val="1"/>
      <w:numFmt w:val="decimal"/>
      <w:lvlText w:val="%4."/>
      <w:lvlJc w:val="left"/>
      <w:pPr>
        <w:ind w:left="2615" w:hanging="360"/>
      </w:pPr>
    </w:lvl>
    <w:lvl w:ilvl="4" w:tplc="04220019" w:tentative="1">
      <w:start w:val="1"/>
      <w:numFmt w:val="lowerLetter"/>
      <w:lvlText w:val="%5."/>
      <w:lvlJc w:val="left"/>
      <w:pPr>
        <w:ind w:left="3335" w:hanging="360"/>
      </w:pPr>
    </w:lvl>
    <w:lvl w:ilvl="5" w:tplc="0422001B" w:tentative="1">
      <w:start w:val="1"/>
      <w:numFmt w:val="lowerRoman"/>
      <w:lvlText w:val="%6."/>
      <w:lvlJc w:val="right"/>
      <w:pPr>
        <w:ind w:left="4055" w:hanging="180"/>
      </w:pPr>
    </w:lvl>
    <w:lvl w:ilvl="6" w:tplc="0422000F" w:tentative="1">
      <w:start w:val="1"/>
      <w:numFmt w:val="decimal"/>
      <w:lvlText w:val="%7."/>
      <w:lvlJc w:val="left"/>
      <w:pPr>
        <w:ind w:left="4775" w:hanging="360"/>
      </w:pPr>
    </w:lvl>
    <w:lvl w:ilvl="7" w:tplc="04220019" w:tentative="1">
      <w:start w:val="1"/>
      <w:numFmt w:val="lowerLetter"/>
      <w:lvlText w:val="%8."/>
      <w:lvlJc w:val="left"/>
      <w:pPr>
        <w:ind w:left="5495" w:hanging="360"/>
      </w:pPr>
    </w:lvl>
    <w:lvl w:ilvl="8" w:tplc="0422001B" w:tentative="1">
      <w:start w:val="1"/>
      <w:numFmt w:val="lowerRoman"/>
      <w:lvlText w:val="%9."/>
      <w:lvlJc w:val="right"/>
      <w:pPr>
        <w:ind w:left="6215" w:hanging="180"/>
      </w:pPr>
    </w:lvl>
  </w:abstractNum>
  <w:abstractNum w:abstractNumId="27">
    <w:nsid w:val="638F3C9F"/>
    <w:multiLevelType w:val="hybridMultilevel"/>
    <w:tmpl w:val="32A8E086"/>
    <w:lvl w:ilvl="0" w:tplc="91F4E1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67723BFE"/>
    <w:multiLevelType w:val="hybridMultilevel"/>
    <w:tmpl w:val="6C927B4E"/>
    <w:lvl w:ilvl="0" w:tplc="71A2F876">
      <w:start w:val="1"/>
      <w:numFmt w:val="decimal"/>
      <w:lvlText w:val="%1)"/>
      <w:lvlJc w:val="left"/>
      <w:pPr>
        <w:ind w:left="916" w:hanging="615"/>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9">
    <w:nsid w:val="6E3829D4"/>
    <w:multiLevelType w:val="hybridMultilevel"/>
    <w:tmpl w:val="B9DEF72C"/>
    <w:lvl w:ilvl="0" w:tplc="485EABC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0">
    <w:nsid w:val="6F167391"/>
    <w:multiLevelType w:val="hybridMultilevel"/>
    <w:tmpl w:val="A82AD666"/>
    <w:lvl w:ilvl="0" w:tplc="94F29BD8">
      <w:start w:val="1"/>
      <w:numFmt w:val="decimal"/>
      <w:lvlText w:val="%1)"/>
      <w:lvlJc w:val="left"/>
      <w:pPr>
        <w:ind w:left="420" w:hanging="360"/>
      </w:pPr>
      <w:rPr>
        <w:rFonts w:ascii="Times New Roman" w:eastAsia="Times New Roman" w:hAnsi="Times New Roman" w:cs="Times New Roman"/>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1">
    <w:nsid w:val="70BA5C9A"/>
    <w:multiLevelType w:val="hybridMultilevel"/>
    <w:tmpl w:val="3DDED1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2211C9C"/>
    <w:multiLevelType w:val="hybridMultilevel"/>
    <w:tmpl w:val="6CAEEF06"/>
    <w:lvl w:ilvl="0" w:tplc="5E52E4A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3">
    <w:nsid w:val="7E20623C"/>
    <w:multiLevelType w:val="hybridMultilevel"/>
    <w:tmpl w:val="2B1AFAB4"/>
    <w:lvl w:ilvl="0" w:tplc="1322821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num w:numId="1">
    <w:abstractNumId w:val="2"/>
  </w:num>
  <w:num w:numId="2">
    <w:abstractNumId w:val="0"/>
  </w:num>
  <w:num w:numId="3">
    <w:abstractNumId w:val="7"/>
  </w:num>
  <w:num w:numId="4">
    <w:abstractNumId w:val="4"/>
  </w:num>
  <w:num w:numId="5">
    <w:abstractNumId w:val="20"/>
  </w:num>
  <w:num w:numId="6">
    <w:abstractNumId w:val="12"/>
  </w:num>
  <w:num w:numId="7">
    <w:abstractNumId w:val="28"/>
  </w:num>
  <w:num w:numId="8">
    <w:abstractNumId w:val="16"/>
  </w:num>
  <w:num w:numId="9">
    <w:abstractNumId w:val="9"/>
  </w:num>
  <w:num w:numId="10">
    <w:abstractNumId w:val="11"/>
  </w:num>
  <w:num w:numId="11">
    <w:abstractNumId w:val="26"/>
  </w:num>
  <w:num w:numId="12">
    <w:abstractNumId w:val="15"/>
  </w:num>
  <w:num w:numId="13">
    <w:abstractNumId w:val="19"/>
  </w:num>
  <w:num w:numId="14">
    <w:abstractNumId w:val="27"/>
  </w:num>
  <w:num w:numId="15">
    <w:abstractNumId w:val="6"/>
  </w:num>
  <w:num w:numId="16">
    <w:abstractNumId w:val="5"/>
  </w:num>
  <w:num w:numId="17">
    <w:abstractNumId w:val="23"/>
  </w:num>
  <w:num w:numId="18">
    <w:abstractNumId w:val="21"/>
  </w:num>
  <w:num w:numId="19">
    <w:abstractNumId w:val="33"/>
  </w:num>
  <w:num w:numId="20">
    <w:abstractNumId w:val="3"/>
  </w:num>
  <w:num w:numId="21">
    <w:abstractNumId w:val="25"/>
  </w:num>
  <w:num w:numId="22">
    <w:abstractNumId w:val="1"/>
  </w:num>
  <w:num w:numId="23">
    <w:abstractNumId w:val="10"/>
  </w:num>
  <w:num w:numId="24">
    <w:abstractNumId w:val="8"/>
  </w:num>
  <w:num w:numId="25">
    <w:abstractNumId w:val="30"/>
  </w:num>
  <w:num w:numId="26">
    <w:abstractNumId w:val="22"/>
  </w:num>
  <w:num w:numId="27">
    <w:abstractNumId w:val="29"/>
  </w:num>
  <w:num w:numId="28">
    <w:abstractNumId w:val="24"/>
  </w:num>
  <w:num w:numId="29">
    <w:abstractNumId w:val="14"/>
  </w:num>
  <w:num w:numId="30">
    <w:abstractNumId w:val="18"/>
  </w:num>
  <w:num w:numId="31">
    <w:abstractNumId w:val="31"/>
  </w:num>
  <w:num w:numId="32">
    <w:abstractNumId w:val="17"/>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22"/>
    <w:rsid w:val="0000103C"/>
    <w:rsid w:val="00004DF7"/>
    <w:rsid w:val="00011480"/>
    <w:rsid w:val="00015322"/>
    <w:rsid w:val="00020963"/>
    <w:rsid w:val="00020D3B"/>
    <w:rsid w:val="00024AA1"/>
    <w:rsid w:val="00026EA6"/>
    <w:rsid w:val="000302B7"/>
    <w:rsid w:val="000316B5"/>
    <w:rsid w:val="00034141"/>
    <w:rsid w:val="00036F37"/>
    <w:rsid w:val="0004000E"/>
    <w:rsid w:val="00042291"/>
    <w:rsid w:val="00050C41"/>
    <w:rsid w:val="00052043"/>
    <w:rsid w:val="00055C33"/>
    <w:rsid w:val="000574CC"/>
    <w:rsid w:val="00070686"/>
    <w:rsid w:val="0007556E"/>
    <w:rsid w:val="000837E9"/>
    <w:rsid w:val="0008410B"/>
    <w:rsid w:val="000978DB"/>
    <w:rsid w:val="000A0AFA"/>
    <w:rsid w:val="000B7D87"/>
    <w:rsid w:val="000C4F55"/>
    <w:rsid w:val="000D4EA0"/>
    <w:rsid w:val="000D74CB"/>
    <w:rsid w:val="000E479F"/>
    <w:rsid w:val="000F0A47"/>
    <w:rsid w:val="000F33EB"/>
    <w:rsid w:val="000F3A93"/>
    <w:rsid w:val="000F5B5C"/>
    <w:rsid w:val="000F65BD"/>
    <w:rsid w:val="0010176C"/>
    <w:rsid w:val="001041AD"/>
    <w:rsid w:val="001167CB"/>
    <w:rsid w:val="001212D7"/>
    <w:rsid w:val="00135BD5"/>
    <w:rsid w:val="0014405F"/>
    <w:rsid w:val="00144315"/>
    <w:rsid w:val="00146D6C"/>
    <w:rsid w:val="0015385F"/>
    <w:rsid w:val="00156174"/>
    <w:rsid w:val="00156E52"/>
    <w:rsid w:val="00157695"/>
    <w:rsid w:val="001752C0"/>
    <w:rsid w:val="00175BE7"/>
    <w:rsid w:val="00182684"/>
    <w:rsid w:val="001834BE"/>
    <w:rsid w:val="00185A2B"/>
    <w:rsid w:val="00190089"/>
    <w:rsid w:val="00193C6D"/>
    <w:rsid w:val="00195167"/>
    <w:rsid w:val="001A03E2"/>
    <w:rsid w:val="001B1006"/>
    <w:rsid w:val="001B608C"/>
    <w:rsid w:val="001B762B"/>
    <w:rsid w:val="001B76D1"/>
    <w:rsid w:val="001B7F94"/>
    <w:rsid w:val="001C0300"/>
    <w:rsid w:val="001C685A"/>
    <w:rsid w:val="001D2232"/>
    <w:rsid w:val="001D2EE9"/>
    <w:rsid w:val="001D33C7"/>
    <w:rsid w:val="001F2820"/>
    <w:rsid w:val="001F46EB"/>
    <w:rsid w:val="002051EA"/>
    <w:rsid w:val="00207B8F"/>
    <w:rsid w:val="002163E4"/>
    <w:rsid w:val="002165E3"/>
    <w:rsid w:val="0022004E"/>
    <w:rsid w:val="002300A9"/>
    <w:rsid w:val="002324D4"/>
    <w:rsid w:val="0024087E"/>
    <w:rsid w:val="00243E43"/>
    <w:rsid w:val="00246C2F"/>
    <w:rsid w:val="0025230A"/>
    <w:rsid w:val="00257555"/>
    <w:rsid w:val="00270FDC"/>
    <w:rsid w:val="00271202"/>
    <w:rsid w:val="002735D4"/>
    <w:rsid w:val="002759AA"/>
    <w:rsid w:val="002973A0"/>
    <w:rsid w:val="002974B1"/>
    <w:rsid w:val="002A038B"/>
    <w:rsid w:val="002A2B22"/>
    <w:rsid w:val="002A418B"/>
    <w:rsid w:val="002B460B"/>
    <w:rsid w:val="002C4706"/>
    <w:rsid w:val="002C55E4"/>
    <w:rsid w:val="002E3396"/>
    <w:rsid w:val="002E36E9"/>
    <w:rsid w:val="002F0FFC"/>
    <w:rsid w:val="002F1E65"/>
    <w:rsid w:val="002F2109"/>
    <w:rsid w:val="002F3A30"/>
    <w:rsid w:val="00300681"/>
    <w:rsid w:val="00302D78"/>
    <w:rsid w:val="003043FF"/>
    <w:rsid w:val="003057F1"/>
    <w:rsid w:val="00322293"/>
    <w:rsid w:val="00323B72"/>
    <w:rsid w:val="00324028"/>
    <w:rsid w:val="0032520A"/>
    <w:rsid w:val="00331E5C"/>
    <w:rsid w:val="00332F3C"/>
    <w:rsid w:val="00334042"/>
    <w:rsid w:val="00335391"/>
    <w:rsid w:val="00335B81"/>
    <w:rsid w:val="00335F71"/>
    <w:rsid w:val="00346C0D"/>
    <w:rsid w:val="00351B95"/>
    <w:rsid w:val="00353222"/>
    <w:rsid w:val="00356747"/>
    <w:rsid w:val="0036016F"/>
    <w:rsid w:val="00360188"/>
    <w:rsid w:val="00364A35"/>
    <w:rsid w:val="00366544"/>
    <w:rsid w:val="003701E8"/>
    <w:rsid w:val="003734C9"/>
    <w:rsid w:val="00383655"/>
    <w:rsid w:val="0038709D"/>
    <w:rsid w:val="00395441"/>
    <w:rsid w:val="00395B8D"/>
    <w:rsid w:val="003B1B89"/>
    <w:rsid w:val="003C314C"/>
    <w:rsid w:val="003D2D00"/>
    <w:rsid w:val="003D473A"/>
    <w:rsid w:val="003D671D"/>
    <w:rsid w:val="003E09A5"/>
    <w:rsid w:val="003E1DD3"/>
    <w:rsid w:val="003E21A9"/>
    <w:rsid w:val="003F216E"/>
    <w:rsid w:val="003F2DD5"/>
    <w:rsid w:val="003F4B9E"/>
    <w:rsid w:val="003F4E44"/>
    <w:rsid w:val="00401CAC"/>
    <w:rsid w:val="004044A3"/>
    <w:rsid w:val="00407F5C"/>
    <w:rsid w:val="00410B89"/>
    <w:rsid w:val="004133CD"/>
    <w:rsid w:val="0042154D"/>
    <w:rsid w:val="0042352F"/>
    <w:rsid w:val="00430DB8"/>
    <w:rsid w:val="00434F2C"/>
    <w:rsid w:val="004455B8"/>
    <w:rsid w:val="00445C5A"/>
    <w:rsid w:val="00450E70"/>
    <w:rsid w:val="00452607"/>
    <w:rsid w:val="004531B8"/>
    <w:rsid w:val="00453393"/>
    <w:rsid w:val="004542F5"/>
    <w:rsid w:val="00460B5D"/>
    <w:rsid w:val="0046172E"/>
    <w:rsid w:val="00463A16"/>
    <w:rsid w:val="0047163F"/>
    <w:rsid w:val="00485653"/>
    <w:rsid w:val="004924D9"/>
    <w:rsid w:val="004B4A88"/>
    <w:rsid w:val="004C03A4"/>
    <w:rsid w:val="004C0E56"/>
    <w:rsid w:val="004C2403"/>
    <w:rsid w:val="004C2594"/>
    <w:rsid w:val="004C6083"/>
    <w:rsid w:val="004D1678"/>
    <w:rsid w:val="004D1BDE"/>
    <w:rsid w:val="004D2CF3"/>
    <w:rsid w:val="004D38CA"/>
    <w:rsid w:val="004D3DE4"/>
    <w:rsid w:val="004F0DB3"/>
    <w:rsid w:val="004F0EFD"/>
    <w:rsid w:val="004F2FCC"/>
    <w:rsid w:val="0050657B"/>
    <w:rsid w:val="00506CAC"/>
    <w:rsid w:val="00510FBC"/>
    <w:rsid w:val="005131B1"/>
    <w:rsid w:val="005131F8"/>
    <w:rsid w:val="00515F2E"/>
    <w:rsid w:val="00520637"/>
    <w:rsid w:val="0052356E"/>
    <w:rsid w:val="00530AF7"/>
    <w:rsid w:val="00531017"/>
    <w:rsid w:val="00531910"/>
    <w:rsid w:val="00532277"/>
    <w:rsid w:val="00534BB0"/>
    <w:rsid w:val="00535863"/>
    <w:rsid w:val="005417DE"/>
    <w:rsid w:val="00542202"/>
    <w:rsid w:val="00544D06"/>
    <w:rsid w:val="00545E7E"/>
    <w:rsid w:val="005471D5"/>
    <w:rsid w:val="005473AC"/>
    <w:rsid w:val="00547B53"/>
    <w:rsid w:val="005530DA"/>
    <w:rsid w:val="00553F10"/>
    <w:rsid w:val="005560E5"/>
    <w:rsid w:val="00562061"/>
    <w:rsid w:val="00571AC2"/>
    <w:rsid w:val="0058170D"/>
    <w:rsid w:val="0058643E"/>
    <w:rsid w:val="005868F5"/>
    <w:rsid w:val="00587687"/>
    <w:rsid w:val="00596C45"/>
    <w:rsid w:val="005A565F"/>
    <w:rsid w:val="005A65A6"/>
    <w:rsid w:val="005A7ACB"/>
    <w:rsid w:val="005B0771"/>
    <w:rsid w:val="005B27D3"/>
    <w:rsid w:val="005B5932"/>
    <w:rsid w:val="005B6B2C"/>
    <w:rsid w:val="005B7C0B"/>
    <w:rsid w:val="005D1019"/>
    <w:rsid w:val="005E3069"/>
    <w:rsid w:val="005E5727"/>
    <w:rsid w:val="005E7975"/>
    <w:rsid w:val="005F2E76"/>
    <w:rsid w:val="005F5ED8"/>
    <w:rsid w:val="005F7436"/>
    <w:rsid w:val="00607395"/>
    <w:rsid w:val="00613404"/>
    <w:rsid w:val="006137CC"/>
    <w:rsid w:val="00626C61"/>
    <w:rsid w:val="006319E4"/>
    <w:rsid w:val="00631A26"/>
    <w:rsid w:val="006329B2"/>
    <w:rsid w:val="006346A3"/>
    <w:rsid w:val="0063789A"/>
    <w:rsid w:val="00642E0D"/>
    <w:rsid w:val="006524DA"/>
    <w:rsid w:val="00653A0A"/>
    <w:rsid w:val="006548CA"/>
    <w:rsid w:val="00674B9B"/>
    <w:rsid w:val="00680702"/>
    <w:rsid w:val="00691262"/>
    <w:rsid w:val="00692686"/>
    <w:rsid w:val="00692792"/>
    <w:rsid w:val="006A0B43"/>
    <w:rsid w:val="006B27A3"/>
    <w:rsid w:val="006C2CD6"/>
    <w:rsid w:val="006C498B"/>
    <w:rsid w:val="006C4E48"/>
    <w:rsid w:val="006C5267"/>
    <w:rsid w:val="006D1057"/>
    <w:rsid w:val="006D1709"/>
    <w:rsid w:val="006D24A6"/>
    <w:rsid w:val="006E03D0"/>
    <w:rsid w:val="006F4F7D"/>
    <w:rsid w:val="006F6ADD"/>
    <w:rsid w:val="00700E82"/>
    <w:rsid w:val="00702E35"/>
    <w:rsid w:val="00704089"/>
    <w:rsid w:val="007057EA"/>
    <w:rsid w:val="00710D3C"/>
    <w:rsid w:val="00716A64"/>
    <w:rsid w:val="00716BA4"/>
    <w:rsid w:val="007248ED"/>
    <w:rsid w:val="0073000F"/>
    <w:rsid w:val="007308AF"/>
    <w:rsid w:val="00734741"/>
    <w:rsid w:val="0073720E"/>
    <w:rsid w:val="00746F47"/>
    <w:rsid w:val="007508B2"/>
    <w:rsid w:val="00754326"/>
    <w:rsid w:val="00754FE2"/>
    <w:rsid w:val="00760A3C"/>
    <w:rsid w:val="00760B44"/>
    <w:rsid w:val="00764DA1"/>
    <w:rsid w:val="007756DE"/>
    <w:rsid w:val="00781B20"/>
    <w:rsid w:val="007869F0"/>
    <w:rsid w:val="00787B51"/>
    <w:rsid w:val="0079635D"/>
    <w:rsid w:val="007A06B1"/>
    <w:rsid w:val="007A0930"/>
    <w:rsid w:val="007A2557"/>
    <w:rsid w:val="007A56C0"/>
    <w:rsid w:val="007A6AC6"/>
    <w:rsid w:val="007A7454"/>
    <w:rsid w:val="007B0C59"/>
    <w:rsid w:val="007B4C41"/>
    <w:rsid w:val="007D405A"/>
    <w:rsid w:val="007D5988"/>
    <w:rsid w:val="007D7B26"/>
    <w:rsid w:val="007E01B3"/>
    <w:rsid w:val="007E3D2A"/>
    <w:rsid w:val="007E4F8C"/>
    <w:rsid w:val="007E5C17"/>
    <w:rsid w:val="007E7A0A"/>
    <w:rsid w:val="007F50C3"/>
    <w:rsid w:val="007F5B8E"/>
    <w:rsid w:val="008027F8"/>
    <w:rsid w:val="008065A2"/>
    <w:rsid w:val="00807330"/>
    <w:rsid w:val="00812D83"/>
    <w:rsid w:val="00815179"/>
    <w:rsid w:val="00816405"/>
    <w:rsid w:val="00821EB1"/>
    <w:rsid w:val="00822666"/>
    <w:rsid w:val="00830B7A"/>
    <w:rsid w:val="0083109B"/>
    <w:rsid w:val="008322F7"/>
    <w:rsid w:val="00836152"/>
    <w:rsid w:val="00841B6C"/>
    <w:rsid w:val="00844F6B"/>
    <w:rsid w:val="00846629"/>
    <w:rsid w:val="00847425"/>
    <w:rsid w:val="00851F7B"/>
    <w:rsid w:val="00866AEA"/>
    <w:rsid w:val="008674B7"/>
    <w:rsid w:val="00871628"/>
    <w:rsid w:val="00871B49"/>
    <w:rsid w:val="008760FE"/>
    <w:rsid w:val="00885647"/>
    <w:rsid w:val="00887BB0"/>
    <w:rsid w:val="0089021A"/>
    <w:rsid w:val="008935D3"/>
    <w:rsid w:val="008A2A6F"/>
    <w:rsid w:val="008B08E7"/>
    <w:rsid w:val="008B5F81"/>
    <w:rsid w:val="008C1EAD"/>
    <w:rsid w:val="008C63F6"/>
    <w:rsid w:val="008C6813"/>
    <w:rsid w:val="008D11B7"/>
    <w:rsid w:val="008D7102"/>
    <w:rsid w:val="008E1006"/>
    <w:rsid w:val="008E64E7"/>
    <w:rsid w:val="008F1644"/>
    <w:rsid w:val="00901405"/>
    <w:rsid w:val="0090143C"/>
    <w:rsid w:val="00903FFF"/>
    <w:rsid w:val="00905B6D"/>
    <w:rsid w:val="00906BA1"/>
    <w:rsid w:val="00907ACA"/>
    <w:rsid w:val="00913758"/>
    <w:rsid w:val="00915286"/>
    <w:rsid w:val="009201A6"/>
    <w:rsid w:val="009201BA"/>
    <w:rsid w:val="00920B14"/>
    <w:rsid w:val="009236F3"/>
    <w:rsid w:val="009305EE"/>
    <w:rsid w:val="00935546"/>
    <w:rsid w:val="00940F33"/>
    <w:rsid w:val="00945F80"/>
    <w:rsid w:val="009469B6"/>
    <w:rsid w:val="00950163"/>
    <w:rsid w:val="00951D04"/>
    <w:rsid w:val="009547F4"/>
    <w:rsid w:val="0095775A"/>
    <w:rsid w:val="0096025E"/>
    <w:rsid w:val="00960AE3"/>
    <w:rsid w:val="009611A7"/>
    <w:rsid w:val="009659AA"/>
    <w:rsid w:val="00967475"/>
    <w:rsid w:val="00982089"/>
    <w:rsid w:val="00985853"/>
    <w:rsid w:val="0098598B"/>
    <w:rsid w:val="009A0E0A"/>
    <w:rsid w:val="009A2DE8"/>
    <w:rsid w:val="009A4A6B"/>
    <w:rsid w:val="009A53E5"/>
    <w:rsid w:val="009A5417"/>
    <w:rsid w:val="009A732F"/>
    <w:rsid w:val="009B185F"/>
    <w:rsid w:val="009B639C"/>
    <w:rsid w:val="009C00CC"/>
    <w:rsid w:val="009C0A09"/>
    <w:rsid w:val="009C6A95"/>
    <w:rsid w:val="009C7882"/>
    <w:rsid w:val="009D6A61"/>
    <w:rsid w:val="009E0718"/>
    <w:rsid w:val="009E121D"/>
    <w:rsid w:val="009E257F"/>
    <w:rsid w:val="009E49EE"/>
    <w:rsid w:val="009E6D84"/>
    <w:rsid w:val="009F19E7"/>
    <w:rsid w:val="009F3709"/>
    <w:rsid w:val="00A01223"/>
    <w:rsid w:val="00A016A9"/>
    <w:rsid w:val="00A02A06"/>
    <w:rsid w:val="00A13034"/>
    <w:rsid w:val="00A1681D"/>
    <w:rsid w:val="00A210FD"/>
    <w:rsid w:val="00A2179C"/>
    <w:rsid w:val="00A26C30"/>
    <w:rsid w:val="00A34379"/>
    <w:rsid w:val="00A34457"/>
    <w:rsid w:val="00A3643C"/>
    <w:rsid w:val="00A40F25"/>
    <w:rsid w:val="00A45EFA"/>
    <w:rsid w:val="00A511E4"/>
    <w:rsid w:val="00A55DF9"/>
    <w:rsid w:val="00A62AA9"/>
    <w:rsid w:val="00A63069"/>
    <w:rsid w:val="00A64663"/>
    <w:rsid w:val="00A66D1C"/>
    <w:rsid w:val="00A675DD"/>
    <w:rsid w:val="00A70F23"/>
    <w:rsid w:val="00A751AB"/>
    <w:rsid w:val="00A77B75"/>
    <w:rsid w:val="00A82371"/>
    <w:rsid w:val="00A83B11"/>
    <w:rsid w:val="00A85903"/>
    <w:rsid w:val="00A86B30"/>
    <w:rsid w:val="00A87407"/>
    <w:rsid w:val="00AA63E7"/>
    <w:rsid w:val="00AA6EA2"/>
    <w:rsid w:val="00AB2099"/>
    <w:rsid w:val="00AB5163"/>
    <w:rsid w:val="00AB6163"/>
    <w:rsid w:val="00AC0E12"/>
    <w:rsid w:val="00AC6857"/>
    <w:rsid w:val="00AC6D2E"/>
    <w:rsid w:val="00AD1F7A"/>
    <w:rsid w:val="00AE7366"/>
    <w:rsid w:val="00AF6B97"/>
    <w:rsid w:val="00B00DE3"/>
    <w:rsid w:val="00B037EF"/>
    <w:rsid w:val="00B238B8"/>
    <w:rsid w:val="00B25F1C"/>
    <w:rsid w:val="00B27353"/>
    <w:rsid w:val="00B34806"/>
    <w:rsid w:val="00B408AC"/>
    <w:rsid w:val="00B444B9"/>
    <w:rsid w:val="00B52748"/>
    <w:rsid w:val="00B531BF"/>
    <w:rsid w:val="00B537EA"/>
    <w:rsid w:val="00B575BA"/>
    <w:rsid w:val="00B608CA"/>
    <w:rsid w:val="00B66E70"/>
    <w:rsid w:val="00B74289"/>
    <w:rsid w:val="00B76B63"/>
    <w:rsid w:val="00B800B4"/>
    <w:rsid w:val="00BA0409"/>
    <w:rsid w:val="00BA2B03"/>
    <w:rsid w:val="00BA4628"/>
    <w:rsid w:val="00BA5210"/>
    <w:rsid w:val="00BB386E"/>
    <w:rsid w:val="00BC10ED"/>
    <w:rsid w:val="00BC1497"/>
    <w:rsid w:val="00BD5CAD"/>
    <w:rsid w:val="00BD5FE0"/>
    <w:rsid w:val="00BE4ADA"/>
    <w:rsid w:val="00BF3144"/>
    <w:rsid w:val="00C01400"/>
    <w:rsid w:val="00C0313A"/>
    <w:rsid w:val="00C06B4E"/>
    <w:rsid w:val="00C205E8"/>
    <w:rsid w:val="00C21690"/>
    <w:rsid w:val="00C30C68"/>
    <w:rsid w:val="00C3398C"/>
    <w:rsid w:val="00C40E68"/>
    <w:rsid w:val="00C42F17"/>
    <w:rsid w:val="00C5207B"/>
    <w:rsid w:val="00C522CD"/>
    <w:rsid w:val="00C54342"/>
    <w:rsid w:val="00C569F7"/>
    <w:rsid w:val="00C63125"/>
    <w:rsid w:val="00C65F41"/>
    <w:rsid w:val="00C6727E"/>
    <w:rsid w:val="00C67630"/>
    <w:rsid w:val="00C720E3"/>
    <w:rsid w:val="00C84AD7"/>
    <w:rsid w:val="00C91194"/>
    <w:rsid w:val="00C92A8B"/>
    <w:rsid w:val="00C95298"/>
    <w:rsid w:val="00C95911"/>
    <w:rsid w:val="00C9691F"/>
    <w:rsid w:val="00CA187E"/>
    <w:rsid w:val="00CA3E48"/>
    <w:rsid w:val="00CA7480"/>
    <w:rsid w:val="00CB0C6D"/>
    <w:rsid w:val="00CB52A4"/>
    <w:rsid w:val="00CB5318"/>
    <w:rsid w:val="00CC0FBD"/>
    <w:rsid w:val="00CC5D90"/>
    <w:rsid w:val="00CD0D0A"/>
    <w:rsid w:val="00CD12CF"/>
    <w:rsid w:val="00CD6519"/>
    <w:rsid w:val="00CE469B"/>
    <w:rsid w:val="00CE4F73"/>
    <w:rsid w:val="00CE6F60"/>
    <w:rsid w:val="00CF3EFE"/>
    <w:rsid w:val="00CF7A8F"/>
    <w:rsid w:val="00D01877"/>
    <w:rsid w:val="00D018CB"/>
    <w:rsid w:val="00D03233"/>
    <w:rsid w:val="00D03318"/>
    <w:rsid w:val="00D054E5"/>
    <w:rsid w:val="00D05BE5"/>
    <w:rsid w:val="00D05E85"/>
    <w:rsid w:val="00D1127D"/>
    <w:rsid w:val="00D14407"/>
    <w:rsid w:val="00D150EB"/>
    <w:rsid w:val="00D15DA2"/>
    <w:rsid w:val="00D17B51"/>
    <w:rsid w:val="00D30204"/>
    <w:rsid w:val="00D33D16"/>
    <w:rsid w:val="00D41DDB"/>
    <w:rsid w:val="00D4222F"/>
    <w:rsid w:val="00D42ABC"/>
    <w:rsid w:val="00D54FBD"/>
    <w:rsid w:val="00D55380"/>
    <w:rsid w:val="00D55B9C"/>
    <w:rsid w:val="00D55F98"/>
    <w:rsid w:val="00D66EAA"/>
    <w:rsid w:val="00D73F31"/>
    <w:rsid w:val="00D7709A"/>
    <w:rsid w:val="00D84FC4"/>
    <w:rsid w:val="00D92985"/>
    <w:rsid w:val="00D963C4"/>
    <w:rsid w:val="00DA37EA"/>
    <w:rsid w:val="00DB016E"/>
    <w:rsid w:val="00DB16B9"/>
    <w:rsid w:val="00DB29E6"/>
    <w:rsid w:val="00DC6296"/>
    <w:rsid w:val="00DC7A7E"/>
    <w:rsid w:val="00DD0C97"/>
    <w:rsid w:val="00DD2E05"/>
    <w:rsid w:val="00DD5F19"/>
    <w:rsid w:val="00DD72FE"/>
    <w:rsid w:val="00DE1376"/>
    <w:rsid w:val="00DF236C"/>
    <w:rsid w:val="00DF6C64"/>
    <w:rsid w:val="00E14B6D"/>
    <w:rsid w:val="00E15E8C"/>
    <w:rsid w:val="00E17659"/>
    <w:rsid w:val="00E25AB5"/>
    <w:rsid w:val="00E42D4F"/>
    <w:rsid w:val="00E42FEA"/>
    <w:rsid w:val="00E46F5D"/>
    <w:rsid w:val="00E47A30"/>
    <w:rsid w:val="00E60D7E"/>
    <w:rsid w:val="00E643AE"/>
    <w:rsid w:val="00E64A3F"/>
    <w:rsid w:val="00E64EB4"/>
    <w:rsid w:val="00E73C73"/>
    <w:rsid w:val="00E8335D"/>
    <w:rsid w:val="00EA2A1F"/>
    <w:rsid w:val="00EA36FE"/>
    <w:rsid w:val="00EB216A"/>
    <w:rsid w:val="00EB46D5"/>
    <w:rsid w:val="00EB6802"/>
    <w:rsid w:val="00EB7E3F"/>
    <w:rsid w:val="00EC0930"/>
    <w:rsid w:val="00EC1D49"/>
    <w:rsid w:val="00ED627D"/>
    <w:rsid w:val="00EE1604"/>
    <w:rsid w:val="00EE1769"/>
    <w:rsid w:val="00EE349F"/>
    <w:rsid w:val="00EE467A"/>
    <w:rsid w:val="00EF13D5"/>
    <w:rsid w:val="00EF20EC"/>
    <w:rsid w:val="00EF215C"/>
    <w:rsid w:val="00EF2776"/>
    <w:rsid w:val="00EF36C6"/>
    <w:rsid w:val="00F020E3"/>
    <w:rsid w:val="00F060E2"/>
    <w:rsid w:val="00F06B91"/>
    <w:rsid w:val="00F0711C"/>
    <w:rsid w:val="00F15E54"/>
    <w:rsid w:val="00F20074"/>
    <w:rsid w:val="00F2117B"/>
    <w:rsid w:val="00F318FA"/>
    <w:rsid w:val="00F35A7E"/>
    <w:rsid w:val="00F434A6"/>
    <w:rsid w:val="00F447E9"/>
    <w:rsid w:val="00F44D41"/>
    <w:rsid w:val="00F5099B"/>
    <w:rsid w:val="00F626A5"/>
    <w:rsid w:val="00F64E26"/>
    <w:rsid w:val="00F658AC"/>
    <w:rsid w:val="00F71183"/>
    <w:rsid w:val="00F715D6"/>
    <w:rsid w:val="00F73EAC"/>
    <w:rsid w:val="00F74D9C"/>
    <w:rsid w:val="00F80398"/>
    <w:rsid w:val="00F813E6"/>
    <w:rsid w:val="00F86A16"/>
    <w:rsid w:val="00F92525"/>
    <w:rsid w:val="00F95DAF"/>
    <w:rsid w:val="00FB5A76"/>
    <w:rsid w:val="00FC14BE"/>
    <w:rsid w:val="00FD245D"/>
    <w:rsid w:val="00FD29BE"/>
    <w:rsid w:val="00FD716E"/>
    <w:rsid w:val="00FE590F"/>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22"/>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0153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15322"/>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rsid w:val="00015322"/>
    <w:pPr>
      <w:spacing w:before="100" w:beforeAutospacing="1" w:after="100" w:afterAutospacing="1"/>
    </w:p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015322"/>
    <w:rPr>
      <w:rFonts w:ascii="Times New Roman" w:eastAsia="Times New Roman" w:hAnsi="Times New Roman" w:cs="Times New Roman"/>
      <w:sz w:val="24"/>
      <w:szCs w:val="24"/>
      <w:lang w:val="ru-RU" w:eastAsia="ru-RU"/>
    </w:rPr>
  </w:style>
  <w:style w:type="paragraph" w:styleId="a5">
    <w:name w:val="header"/>
    <w:basedOn w:val="a"/>
    <w:link w:val="a6"/>
    <w:rsid w:val="00015322"/>
    <w:pPr>
      <w:tabs>
        <w:tab w:val="center" w:pos="4677"/>
        <w:tab w:val="right" w:pos="9355"/>
      </w:tabs>
    </w:pPr>
  </w:style>
  <w:style w:type="character" w:customStyle="1" w:styleId="a6">
    <w:name w:val="Верхній колонтитул Знак"/>
    <w:basedOn w:val="a0"/>
    <w:link w:val="a5"/>
    <w:rsid w:val="00015322"/>
    <w:rPr>
      <w:rFonts w:ascii="Times New Roman" w:eastAsia="Times New Roman" w:hAnsi="Times New Roman" w:cs="Times New Roman"/>
      <w:sz w:val="24"/>
      <w:szCs w:val="24"/>
      <w:lang w:val="ru-RU" w:eastAsia="ru-RU"/>
    </w:rPr>
  </w:style>
  <w:style w:type="character" w:styleId="a7">
    <w:name w:val="page number"/>
    <w:basedOn w:val="a0"/>
    <w:rsid w:val="00015322"/>
  </w:style>
  <w:style w:type="paragraph" w:styleId="HTML">
    <w:name w:val="HTML Preformatted"/>
    <w:basedOn w:val="a"/>
    <w:link w:val="HTML0"/>
    <w:rsid w:val="0001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rsid w:val="00015322"/>
    <w:rPr>
      <w:rFonts w:ascii="Courier New" w:eastAsia="Times New Roman" w:hAnsi="Courier New" w:cs="Courier New"/>
      <w:sz w:val="20"/>
      <w:szCs w:val="20"/>
      <w:lang w:eastAsia="uk-UA"/>
    </w:rPr>
  </w:style>
  <w:style w:type="paragraph" w:styleId="a8">
    <w:name w:val="Body Text Indent"/>
    <w:basedOn w:val="a"/>
    <w:link w:val="a9"/>
    <w:rsid w:val="00015322"/>
    <w:pPr>
      <w:spacing w:after="120"/>
      <w:ind w:left="283"/>
    </w:pPr>
    <w:rPr>
      <w:lang w:val="uk-UA"/>
    </w:rPr>
  </w:style>
  <w:style w:type="character" w:customStyle="1" w:styleId="a9">
    <w:name w:val="Основний текст з відступом Знак"/>
    <w:basedOn w:val="a0"/>
    <w:link w:val="a8"/>
    <w:rsid w:val="00015322"/>
    <w:rPr>
      <w:rFonts w:ascii="Times New Roman" w:eastAsia="Times New Roman" w:hAnsi="Times New Roman" w:cs="Times New Roman"/>
      <w:sz w:val="24"/>
      <w:szCs w:val="24"/>
      <w:lang w:eastAsia="ru-RU"/>
    </w:rPr>
  </w:style>
  <w:style w:type="paragraph" w:styleId="aa">
    <w:name w:val="List Paragraph"/>
    <w:basedOn w:val="a"/>
    <w:uiPriority w:val="34"/>
    <w:qFormat/>
    <w:rsid w:val="00821EB1"/>
    <w:pPr>
      <w:ind w:left="720"/>
      <w:contextualSpacing/>
    </w:pPr>
  </w:style>
  <w:style w:type="paragraph" w:styleId="2">
    <w:name w:val="Body Text 2"/>
    <w:basedOn w:val="a"/>
    <w:link w:val="20"/>
    <w:uiPriority w:val="99"/>
    <w:semiHidden/>
    <w:unhideWhenUsed/>
    <w:rsid w:val="008D7102"/>
    <w:pPr>
      <w:spacing w:after="120" w:line="480" w:lineRule="auto"/>
    </w:pPr>
  </w:style>
  <w:style w:type="character" w:customStyle="1" w:styleId="20">
    <w:name w:val="Основний текст 2 Знак"/>
    <w:basedOn w:val="a0"/>
    <w:link w:val="2"/>
    <w:uiPriority w:val="99"/>
    <w:semiHidden/>
    <w:rsid w:val="008D7102"/>
    <w:rPr>
      <w:rFonts w:ascii="Times New Roman" w:eastAsia="Times New Roman" w:hAnsi="Times New Roman" w:cs="Times New Roman"/>
      <w:sz w:val="24"/>
      <w:szCs w:val="24"/>
      <w:lang w:val="ru-RU" w:eastAsia="ru-RU"/>
    </w:rPr>
  </w:style>
  <w:style w:type="paragraph" w:customStyle="1" w:styleId="ab">
    <w:name w:val="Назва документа"/>
    <w:basedOn w:val="a"/>
    <w:next w:val="a"/>
    <w:uiPriority w:val="99"/>
    <w:rsid w:val="008D7102"/>
    <w:pPr>
      <w:keepNext/>
      <w:keepLines/>
      <w:spacing w:before="360" w:after="360"/>
      <w:jc w:val="center"/>
    </w:pPr>
    <w:rPr>
      <w:rFonts w:ascii="Antiqua" w:hAnsi="Antiqua"/>
      <w:b/>
      <w:sz w:val="26"/>
      <w:szCs w:val="20"/>
      <w:lang w:val="uk-UA"/>
    </w:rPr>
  </w:style>
  <w:style w:type="paragraph" w:styleId="ac">
    <w:name w:val="footnote text"/>
    <w:basedOn w:val="a"/>
    <w:link w:val="ad"/>
    <w:uiPriority w:val="99"/>
    <w:unhideWhenUsed/>
    <w:rsid w:val="00C720E3"/>
    <w:pPr>
      <w:spacing w:after="200" w:line="276" w:lineRule="auto"/>
    </w:pPr>
    <w:rPr>
      <w:rFonts w:ascii="Calibri" w:hAnsi="Calibri"/>
      <w:sz w:val="20"/>
      <w:szCs w:val="20"/>
    </w:rPr>
  </w:style>
  <w:style w:type="character" w:customStyle="1" w:styleId="ad">
    <w:name w:val="Текст виноски Знак"/>
    <w:basedOn w:val="a0"/>
    <w:link w:val="ac"/>
    <w:uiPriority w:val="99"/>
    <w:rsid w:val="00C720E3"/>
    <w:rPr>
      <w:rFonts w:ascii="Calibri" w:eastAsia="Times New Roman" w:hAnsi="Calibri" w:cs="Times New Roman"/>
      <w:sz w:val="20"/>
      <w:szCs w:val="20"/>
      <w:lang w:val="ru-RU" w:eastAsia="ru-RU"/>
    </w:rPr>
  </w:style>
  <w:style w:type="character" w:styleId="ae">
    <w:name w:val="footnote reference"/>
    <w:uiPriority w:val="99"/>
    <w:semiHidden/>
    <w:unhideWhenUsed/>
    <w:rsid w:val="00C720E3"/>
    <w:rPr>
      <w:vertAlign w:val="superscript"/>
    </w:rPr>
  </w:style>
  <w:style w:type="paragraph" w:styleId="21">
    <w:name w:val="Body Text Indent 2"/>
    <w:basedOn w:val="a"/>
    <w:link w:val="22"/>
    <w:rsid w:val="00C720E3"/>
    <w:pPr>
      <w:spacing w:after="120" w:line="480" w:lineRule="auto"/>
      <w:ind w:left="283"/>
    </w:pPr>
  </w:style>
  <w:style w:type="character" w:customStyle="1" w:styleId="22">
    <w:name w:val="Основний текст з відступом 2 Знак"/>
    <w:basedOn w:val="a0"/>
    <w:link w:val="21"/>
    <w:rsid w:val="00C720E3"/>
    <w:rPr>
      <w:rFonts w:ascii="Times New Roman" w:eastAsia="Times New Roman" w:hAnsi="Times New Roman" w:cs="Times New Roman"/>
      <w:sz w:val="24"/>
      <w:szCs w:val="24"/>
      <w:lang w:val="ru-RU" w:eastAsia="ru-RU"/>
    </w:rPr>
  </w:style>
  <w:style w:type="paragraph" w:styleId="af">
    <w:name w:val="Plain Text"/>
    <w:basedOn w:val="a"/>
    <w:link w:val="af0"/>
    <w:uiPriority w:val="99"/>
    <w:unhideWhenUsed/>
    <w:rsid w:val="006E03D0"/>
    <w:rPr>
      <w:rFonts w:ascii="Consolas" w:eastAsiaTheme="minorHAnsi" w:hAnsi="Consolas" w:cstheme="minorBidi"/>
      <w:sz w:val="21"/>
      <w:szCs w:val="21"/>
      <w:lang w:val="uk-UA" w:eastAsia="en-US"/>
    </w:rPr>
  </w:style>
  <w:style w:type="character" w:customStyle="1" w:styleId="af0">
    <w:name w:val="Текст Знак"/>
    <w:basedOn w:val="a0"/>
    <w:link w:val="af"/>
    <w:uiPriority w:val="99"/>
    <w:rsid w:val="006E03D0"/>
    <w:rPr>
      <w:rFonts w:ascii="Consolas" w:hAnsi="Consolas"/>
      <w:sz w:val="21"/>
      <w:szCs w:val="21"/>
    </w:rPr>
  </w:style>
  <w:style w:type="paragraph" w:styleId="af1">
    <w:name w:val="footer"/>
    <w:basedOn w:val="a"/>
    <w:link w:val="af2"/>
    <w:uiPriority w:val="99"/>
    <w:unhideWhenUsed/>
    <w:rsid w:val="00EB216A"/>
    <w:pPr>
      <w:tabs>
        <w:tab w:val="center" w:pos="4680"/>
        <w:tab w:val="right" w:pos="9360"/>
      </w:tabs>
    </w:pPr>
  </w:style>
  <w:style w:type="character" w:customStyle="1" w:styleId="af2">
    <w:name w:val="Нижній колонтитул Знак"/>
    <w:basedOn w:val="a0"/>
    <w:link w:val="af1"/>
    <w:uiPriority w:val="99"/>
    <w:rsid w:val="00EB216A"/>
    <w:rPr>
      <w:rFonts w:ascii="Times New Roman" w:eastAsia="Times New Roman" w:hAnsi="Times New Roman" w:cs="Times New Roman"/>
      <w:sz w:val="24"/>
      <w:szCs w:val="24"/>
      <w:lang w:val="ru-RU" w:eastAsia="ru-RU"/>
    </w:rPr>
  </w:style>
  <w:style w:type="character" w:styleId="af3">
    <w:name w:val="line number"/>
    <w:basedOn w:val="a0"/>
    <w:uiPriority w:val="99"/>
    <w:semiHidden/>
    <w:unhideWhenUsed/>
    <w:rsid w:val="00EB216A"/>
  </w:style>
  <w:style w:type="paragraph" w:styleId="af4">
    <w:name w:val="Balloon Text"/>
    <w:basedOn w:val="a"/>
    <w:link w:val="af5"/>
    <w:uiPriority w:val="99"/>
    <w:semiHidden/>
    <w:unhideWhenUsed/>
    <w:rsid w:val="005E3069"/>
    <w:rPr>
      <w:rFonts w:ascii="Tahoma" w:hAnsi="Tahoma" w:cs="Tahoma"/>
      <w:sz w:val="16"/>
      <w:szCs w:val="16"/>
    </w:rPr>
  </w:style>
  <w:style w:type="character" w:customStyle="1" w:styleId="af5">
    <w:name w:val="Текст у виносці Знак"/>
    <w:basedOn w:val="a0"/>
    <w:link w:val="af4"/>
    <w:uiPriority w:val="99"/>
    <w:semiHidden/>
    <w:rsid w:val="005E3069"/>
    <w:rPr>
      <w:rFonts w:ascii="Tahoma" w:eastAsia="Times New Roman" w:hAnsi="Tahoma" w:cs="Tahoma"/>
      <w:sz w:val="16"/>
      <w:szCs w:val="16"/>
      <w:lang w:val="ru-RU" w:eastAsia="ru-RU"/>
    </w:rPr>
  </w:style>
  <w:style w:type="character" w:styleId="af6">
    <w:name w:val="Hyperlink"/>
    <w:basedOn w:val="a0"/>
    <w:uiPriority w:val="99"/>
    <w:unhideWhenUsed/>
    <w:rsid w:val="00E60D7E"/>
    <w:rPr>
      <w:color w:val="0000FF" w:themeColor="hyperlink"/>
      <w:u w:val="single"/>
    </w:rPr>
  </w:style>
  <w:style w:type="paragraph" w:styleId="af7">
    <w:name w:val="Revision"/>
    <w:hidden/>
    <w:uiPriority w:val="99"/>
    <w:semiHidden/>
    <w:rsid w:val="00020D3B"/>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22"/>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0153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15322"/>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rsid w:val="00015322"/>
    <w:pPr>
      <w:spacing w:before="100" w:beforeAutospacing="1" w:after="100" w:afterAutospacing="1"/>
    </w:p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015322"/>
    <w:rPr>
      <w:rFonts w:ascii="Times New Roman" w:eastAsia="Times New Roman" w:hAnsi="Times New Roman" w:cs="Times New Roman"/>
      <w:sz w:val="24"/>
      <w:szCs w:val="24"/>
      <w:lang w:val="ru-RU" w:eastAsia="ru-RU"/>
    </w:rPr>
  </w:style>
  <w:style w:type="paragraph" w:styleId="a5">
    <w:name w:val="header"/>
    <w:basedOn w:val="a"/>
    <w:link w:val="a6"/>
    <w:rsid w:val="00015322"/>
    <w:pPr>
      <w:tabs>
        <w:tab w:val="center" w:pos="4677"/>
        <w:tab w:val="right" w:pos="9355"/>
      </w:tabs>
    </w:pPr>
  </w:style>
  <w:style w:type="character" w:customStyle="1" w:styleId="a6">
    <w:name w:val="Верхній колонтитул Знак"/>
    <w:basedOn w:val="a0"/>
    <w:link w:val="a5"/>
    <w:rsid w:val="00015322"/>
    <w:rPr>
      <w:rFonts w:ascii="Times New Roman" w:eastAsia="Times New Roman" w:hAnsi="Times New Roman" w:cs="Times New Roman"/>
      <w:sz w:val="24"/>
      <w:szCs w:val="24"/>
      <w:lang w:val="ru-RU" w:eastAsia="ru-RU"/>
    </w:rPr>
  </w:style>
  <w:style w:type="character" w:styleId="a7">
    <w:name w:val="page number"/>
    <w:basedOn w:val="a0"/>
    <w:rsid w:val="00015322"/>
  </w:style>
  <w:style w:type="paragraph" w:styleId="HTML">
    <w:name w:val="HTML Preformatted"/>
    <w:basedOn w:val="a"/>
    <w:link w:val="HTML0"/>
    <w:rsid w:val="0001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rsid w:val="00015322"/>
    <w:rPr>
      <w:rFonts w:ascii="Courier New" w:eastAsia="Times New Roman" w:hAnsi="Courier New" w:cs="Courier New"/>
      <w:sz w:val="20"/>
      <w:szCs w:val="20"/>
      <w:lang w:eastAsia="uk-UA"/>
    </w:rPr>
  </w:style>
  <w:style w:type="paragraph" w:styleId="a8">
    <w:name w:val="Body Text Indent"/>
    <w:basedOn w:val="a"/>
    <w:link w:val="a9"/>
    <w:rsid w:val="00015322"/>
    <w:pPr>
      <w:spacing w:after="120"/>
      <w:ind w:left="283"/>
    </w:pPr>
    <w:rPr>
      <w:lang w:val="uk-UA"/>
    </w:rPr>
  </w:style>
  <w:style w:type="character" w:customStyle="1" w:styleId="a9">
    <w:name w:val="Основний текст з відступом Знак"/>
    <w:basedOn w:val="a0"/>
    <w:link w:val="a8"/>
    <w:rsid w:val="00015322"/>
    <w:rPr>
      <w:rFonts w:ascii="Times New Roman" w:eastAsia="Times New Roman" w:hAnsi="Times New Roman" w:cs="Times New Roman"/>
      <w:sz w:val="24"/>
      <w:szCs w:val="24"/>
      <w:lang w:eastAsia="ru-RU"/>
    </w:rPr>
  </w:style>
  <w:style w:type="paragraph" w:styleId="aa">
    <w:name w:val="List Paragraph"/>
    <w:basedOn w:val="a"/>
    <w:uiPriority w:val="34"/>
    <w:qFormat/>
    <w:rsid w:val="00821EB1"/>
    <w:pPr>
      <w:ind w:left="720"/>
      <w:contextualSpacing/>
    </w:pPr>
  </w:style>
  <w:style w:type="paragraph" w:styleId="2">
    <w:name w:val="Body Text 2"/>
    <w:basedOn w:val="a"/>
    <w:link w:val="20"/>
    <w:uiPriority w:val="99"/>
    <w:semiHidden/>
    <w:unhideWhenUsed/>
    <w:rsid w:val="008D7102"/>
    <w:pPr>
      <w:spacing w:after="120" w:line="480" w:lineRule="auto"/>
    </w:pPr>
  </w:style>
  <w:style w:type="character" w:customStyle="1" w:styleId="20">
    <w:name w:val="Основний текст 2 Знак"/>
    <w:basedOn w:val="a0"/>
    <w:link w:val="2"/>
    <w:uiPriority w:val="99"/>
    <w:semiHidden/>
    <w:rsid w:val="008D7102"/>
    <w:rPr>
      <w:rFonts w:ascii="Times New Roman" w:eastAsia="Times New Roman" w:hAnsi="Times New Roman" w:cs="Times New Roman"/>
      <w:sz w:val="24"/>
      <w:szCs w:val="24"/>
      <w:lang w:val="ru-RU" w:eastAsia="ru-RU"/>
    </w:rPr>
  </w:style>
  <w:style w:type="paragraph" w:customStyle="1" w:styleId="ab">
    <w:name w:val="Назва документа"/>
    <w:basedOn w:val="a"/>
    <w:next w:val="a"/>
    <w:uiPriority w:val="99"/>
    <w:rsid w:val="008D7102"/>
    <w:pPr>
      <w:keepNext/>
      <w:keepLines/>
      <w:spacing w:before="360" w:after="360"/>
      <w:jc w:val="center"/>
    </w:pPr>
    <w:rPr>
      <w:rFonts w:ascii="Antiqua" w:hAnsi="Antiqua"/>
      <w:b/>
      <w:sz w:val="26"/>
      <w:szCs w:val="20"/>
      <w:lang w:val="uk-UA"/>
    </w:rPr>
  </w:style>
  <w:style w:type="paragraph" w:styleId="ac">
    <w:name w:val="footnote text"/>
    <w:basedOn w:val="a"/>
    <w:link w:val="ad"/>
    <w:uiPriority w:val="99"/>
    <w:unhideWhenUsed/>
    <w:rsid w:val="00C720E3"/>
    <w:pPr>
      <w:spacing w:after="200" w:line="276" w:lineRule="auto"/>
    </w:pPr>
    <w:rPr>
      <w:rFonts w:ascii="Calibri" w:hAnsi="Calibri"/>
      <w:sz w:val="20"/>
      <w:szCs w:val="20"/>
    </w:rPr>
  </w:style>
  <w:style w:type="character" w:customStyle="1" w:styleId="ad">
    <w:name w:val="Текст виноски Знак"/>
    <w:basedOn w:val="a0"/>
    <w:link w:val="ac"/>
    <w:uiPriority w:val="99"/>
    <w:rsid w:val="00C720E3"/>
    <w:rPr>
      <w:rFonts w:ascii="Calibri" w:eastAsia="Times New Roman" w:hAnsi="Calibri" w:cs="Times New Roman"/>
      <w:sz w:val="20"/>
      <w:szCs w:val="20"/>
      <w:lang w:val="ru-RU" w:eastAsia="ru-RU"/>
    </w:rPr>
  </w:style>
  <w:style w:type="character" w:styleId="ae">
    <w:name w:val="footnote reference"/>
    <w:uiPriority w:val="99"/>
    <w:semiHidden/>
    <w:unhideWhenUsed/>
    <w:rsid w:val="00C720E3"/>
    <w:rPr>
      <w:vertAlign w:val="superscript"/>
    </w:rPr>
  </w:style>
  <w:style w:type="paragraph" w:styleId="21">
    <w:name w:val="Body Text Indent 2"/>
    <w:basedOn w:val="a"/>
    <w:link w:val="22"/>
    <w:rsid w:val="00C720E3"/>
    <w:pPr>
      <w:spacing w:after="120" w:line="480" w:lineRule="auto"/>
      <w:ind w:left="283"/>
    </w:pPr>
  </w:style>
  <w:style w:type="character" w:customStyle="1" w:styleId="22">
    <w:name w:val="Основний текст з відступом 2 Знак"/>
    <w:basedOn w:val="a0"/>
    <w:link w:val="21"/>
    <w:rsid w:val="00C720E3"/>
    <w:rPr>
      <w:rFonts w:ascii="Times New Roman" w:eastAsia="Times New Roman" w:hAnsi="Times New Roman" w:cs="Times New Roman"/>
      <w:sz w:val="24"/>
      <w:szCs w:val="24"/>
      <w:lang w:val="ru-RU" w:eastAsia="ru-RU"/>
    </w:rPr>
  </w:style>
  <w:style w:type="paragraph" w:styleId="af">
    <w:name w:val="Plain Text"/>
    <w:basedOn w:val="a"/>
    <w:link w:val="af0"/>
    <w:uiPriority w:val="99"/>
    <w:unhideWhenUsed/>
    <w:rsid w:val="006E03D0"/>
    <w:rPr>
      <w:rFonts w:ascii="Consolas" w:eastAsiaTheme="minorHAnsi" w:hAnsi="Consolas" w:cstheme="minorBidi"/>
      <w:sz w:val="21"/>
      <w:szCs w:val="21"/>
      <w:lang w:val="uk-UA" w:eastAsia="en-US"/>
    </w:rPr>
  </w:style>
  <w:style w:type="character" w:customStyle="1" w:styleId="af0">
    <w:name w:val="Текст Знак"/>
    <w:basedOn w:val="a0"/>
    <w:link w:val="af"/>
    <w:uiPriority w:val="99"/>
    <w:rsid w:val="006E03D0"/>
    <w:rPr>
      <w:rFonts w:ascii="Consolas" w:hAnsi="Consolas"/>
      <w:sz w:val="21"/>
      <w:szCs w:val="21"/>
    </w:rPr>
  </w:style>
  <w:style w:type="paragraph" w:styleId="af1">
    <w:name w:val="footer"/>
    <w:basedOn w:val="a"/>
    <w:link w:val="af2"/>
    <w:uiPriority w:val="99"/>
    <w:unhideWhenUsed/>
    <w:rsid w:val="00EB216A"/>
    <w:pPr>
      <w:tabs>
        <w:tab w:val="center" w:pos="4680"/>
        <w:tab w:val="right" w:pos="9360"/>
      </w:tabs>
    </w:pPr>
  </w:style>
  <w:style w:type="character" w:customStyle="1" w:styleId="af2">
    <w:name w:val="Нижній колонтитул Знак"/>
    <w:basedOn w:val="a0"/>
    <w:link w:val="af1"/>
    <w:uiPriority w:val="99"/>
    <w:rsid w:val="00EB216A"/>
    <w:rPr>
      <w:rFonts w:ascii="Times New Roman" w:eastAsia="Times New Roman" w:hAnsi="Times New Roman" w:cs="Times New Roman"/>
      <w:sz w:val="24"/>
      <w:szCs w:val="24"/>
      <w:lang w:val="ru-RU" w:eastAsia="ru-RU"/>
    </w:rPr>
  </w:style>
  <w:style w:type="character" w:styleId="af3">
    <w:name w:val="line number"/>
    <w:basedOn w:val="a0"/>
    <w:uiPriority w:val="99"/>
    <w:semiHidden/>
    <w:unhideWhenUsed/>
    <w:rsid w:val="00EB216A"/>
  </w:style>
  <w:style w:type="paragraph" w:styleId="af4">
    <w:name w:val="Balloon Text"/>
    <w:basedOn w:val="a"/>
    <w:link w:val="af5"/>
    <w:uiPriority w:val="99"/>
    <w:semiHidden/>
    <w:unhideWhenUsed/>
    <w:rsid w:val="005E3069"/>
    <w:rPr>
      <w:rFonts w:ascii="Tahoma" w:hAnsi="Tahoma" w:cs="Tahoma"/>
      <w:sz w:val="16"/>
      <w:szCs w:val="16"/>
    </w:rPr>
  </w:style>
  <w:style w:type="character" w:customStyle="1" w:styleId="af5">
    <w:name w:val="Текст у виносці Знак"/>
    <w:basedOn w:val="a0"/>
    <w:link w:val="af4"/>
    <w:uiPriority w:val="99"/>
    <w:semiHidden/>
    <w:rsid w:val="005E3069"/>
    <w:rPr>
      <w:rFonts w:ascii="Tahoma" w:eastAsia="Times New Roman" w:hAnsi="Tahoma" w:cs="Tahoma"/>
      <w:sz w:val="16"/>
      <w:szCs w:val="16"/>
      <w:lang w:val="ru-RU" w:eastAsia="ru-RU"/>
    </w:rPr>
  </w:style>
  <w:style w:type="character" w:styleId="af6">
    <w:name w:val="Hyperlink"/>
    <w:basedOn w:val="a0"/>
    <w:uiPriority w:val="99"/>
    <w:unhideWhenUsed/>
    <w:rsid w:val="00E60D7E"/>
    <w:rPr>
      <w:color w:val="0000FF" w:themeColor="hyperlink"/>
      <w:u w:val="single"/>
    </w:rPr>
  </w:style>
  <w:style w:type="paragraph" w:styleId="af7">
    <w:name w:val="Revision"/>
    <w:hidden/>
    <w:uiPriority w:val="99"/>
    <w:semiHidden/>
    <w:rsid w:val="00020D3B"/>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E2CCA-7EF9-44AF-AABB-FBC646DD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17120</Words>
  <Characters>9759</Characters>
  <Application>Microsoft Office Word</Application>
  <DocSecurity>0</DocSecurity>
  <Lines>81</Lines>
  <Paragraphs>53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Користувач Windows</cp:lastModifiedBy>
  <cp:revision>5</cp:revision>
  <cp:lastPrinted>2017-08-08T12:58:00Z</cp:lastPrinted>
  <dcterms:created xsi:type="dcterms:W3CDTF">2017-08-08T12:06:00Z</dcterms:created>
  <dcterms:modified xsi:type="dcterms:W3CDTF">2017-08-08T13:18:00Z</dcterms:modified>
</cp:coreProperties>
</file>