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90B0" w14:textId="24E76E75" w:rsidR="00506DA3" w:rsidRPr="00E44CA1" w:rsidRDefault="00C77D80" w:rsidP="00D043E0">
      <w:pPr>
        <w:ind w:left="6096"/>
        <w:jc w:val="right"/>
        <w:rPr>
          <w:rFonts w:eastAsia="Times New Roman"/>
          <w:bCs/>
          <w:szCs w:val="28"/>
          <w:lang w:val="en-US"/>
        </w:rPr>
      </w:pPr>
      <w:r>
        <w:rPr>
          <w:rFonts w:eastAsia="Times New Roman"/>
          <w:bCs/>
          <w:szCs w:val="28"/>
        </w:rPr>
        <w:t xml:space="preserve">Додаток </w:t>
      </w:r>
      <w:r w:rsidR="00E44CA1">
        <w:rPr>
          <w:rFonts w:eastAsia="Times New Roman"/>
          <w:bCs/>
          <w:szCs w:val="28"/>
          <w:lang w:val="en-US"/>
        </w:rPr>
        <w:t>1</w:t>
      </w:r>
    </w:p>
    <w:p w14:paraId="4B64AFEA" w14:textId="77777777" w:rsidR="00506DA3" w:rsidRPr="00506DA3" w:rsidRDefault="00506DA3" w:rsidP="00D043E0">
      <w:pPr>
        <w:ind w:left="6096"/>
        <w:jc w:val="right"/>
        <w:rPr>
          <w:rFonts w:eastAsia="Times New Roman"/>
          <w:bCs/>
          <w:szCs w:val="28"/>
        </w:rPr>
      </w:pPr>
      <w:r w:rsidRPr="00506DA3">
        <w:rPr>
          <w:rFonts w:eastAsia="Times New Roman"/>
          <w:bCs/>
          <w:szCs w:val="28"/>
        </w:rPr>
        <w:t>до аналізу регуляторного впливу</w:t>
      </w:r>
    </w:p>
    <w:p w14:paraId="38B39C0F" w14:textId="00014056" w:rsidR="004419DE" w:rsidRPr="00506DA3" w:rsidRDefault="004419DE" w:rsidP="004419DE">
      <w:pPr>
        <w:jc w:val="center"/>
        <w:rPr>
          <w:b/>
          <w:sz w:val="28"/>
          <w:szCs w:val="28"/>
        </w:rPr>
      </w:pPr>
      <w:r w:rsidRPr="00506DA3">
        <w:rPr>
          <w:b/>
          <w:sz w:val="28"/>
          <w:szCs w:val="28"/>
        </w:rPr>
        <w:t>ВИТРАТИ</w:t>
      </w:r>
      <w:r w:rsidR="001367D8" w:rsidRPr="008A2D71">
        <w:rPr>
          <w:b/>
          <w:sz w:val="28"/>
          <w:szCs w:val="28"/>
        </w:rPr>
        <w:t>*</w:t>
      </w:r>
    </w:p>
    <w:p w14:paraId="5D76BB52" w14:textId="77777777" w:rsidR="004419DE" w:rsidRPr="00506DA3" w:rsidRDefault="004419DE" w:rsidP="004419DE">
      <w:pPr>
        <w:jc w:val="center"/>
        <w:rPr>
          <w:b/>
          <w:sz w:val="28"/>
          <w:szCs w:val="28"/>
        </w:rPr>
      </w:pPr>
      <w:r w:rsidRPr="00506DA3">
        <w:rPr>
          <w:b/>
          <w:sz w:val="28"/>
          <w:szCs w:val="28"/>
        </w:rPr>
        <w:t>на одного суб’єкта господарювання великого та середнього підприємництва, які виникають внаслідок дії регуляторного акта</w:t>
      </w:r>
    </w:p>
    <w:p w14:paraId="2EFD2AC2" w14:textId="7044C090" w:rsidR="004419DE" w:rsidRDefault="00D77340" w:rsidP="004419DE">
      <w:pPr>
        <w:jc w:val="center"/>
        <w:rPr>
          <w:b/>
        </w:rPr>
      </w:pPr>
      <w:r>
        <w:rPr>
          <w:b/>
        </w:rPr>
        <w:t xml:space="preserve">(Альтернатива </w:t>
      </w:r>
      <w:r>
        <w:rPr>
          <w:b/>
          <w:lang w:val="en-US"/>
        </w:rPr>
        <w:t>1</w:t>
      </w:r>
      <w:r w:rsidR="004419DE" w:rsidRPr="00506DA3">
        <w:rPr>
          <w:b/>
        </w:rPr>
        <w:t>)</w:t>
      </w:r>
    </w:p>
    <w:p w14:paraId="415E1284" w14:textId="189C4994" w:rsidR="004419DE" w:rsidRPr="00506DA3" w:rsidRDefault="004419DE" w:rsidP="004419DE">
      <w:pPr>
        <w:jc w:val="center"/>
        <w:rPr>
          <w:b/>
        </w:rPr>
      </w:pP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58"/>
        <w:gridCol w:w="5651"/>
        <w:gridCol w:w="1495"/>
        <w:gridCol w:w="1473"/>
      </w:tblGrid>
      <w:tr w:rsidR="004419DE" w:rsidRPr="00506DA3" w14:paraId="2B6B5BB4" w14:textId="77777777" w:rsidTr="005307BB">
        <w:trPr>
          <w:tblHeader/>
          <w:jc w:val="center"/>
        </w:trPr>
        <w:tc>
          <w:tcPr>
            <w:tcW w:w="681" w:type="pct"/>
            <w:hideMark/>
          </w:tcPr>
          <w:p w14:paraId="50F93B1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2832" w:type="pct"/>
            <w:hideMark/>
          </w:tcPr>
          <w:p w14:paraId="045C420A" w14:textId="77777777" w:rsidR="004419DE" w:rsidRPr="00506DA3" w:rsidRDefault="004419DE" w:rsidP="00723DED">
            <w:pPr>
              <w:spacing w:before="150" w:after="150"/>
              <w:ind w:right="19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</w:t>
            </w:r>
          </w:p>
        </w:tc>
        <w:tc>
          <w:tcPr>
            <w:tcW w:w="749" w:type="pct"/>
            <w:hideMark/>
          </w:tcPr>
          <w:p w14:paraId="625E2FF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За перший рік</w:t>
            </w:r>
          </w:p>
        </w:tc>
        <w:tc>
          <w:tcPr>
            <w:tcW w:w="738" w:type="pct"/>
            <w:hideMark/>
          </w:tcPr>
          <w:p w14:paraId="526297EE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D77340" w:rsidRPr="00EA4F0B" w14:paraId="29E92FC8" w14:textId="77777777" w:rsidTr="005307BB">
        <w:trPr>
          <w:jc w:val="center"/>
        </w:trPr>
        <w:tc>
          <w:tcPr>
            <w:tcW w:w="681" w:type="pct"/>
            <w:hideMark/>
          </w:tcPr>
          <w:p w14:paraId="50A9E4DA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32" w:type="pct"/>
            <w:hideMark/>
          </w:tcPr>
          <w:p w14:paraId="20BD5E95" w14:textId="3EBF7095" w:rsidR="00D77340" w:rsidRPr="00506DA3" w:rsidRDefault="00D77340" w:rsidP="00D77340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 xml:space="preserve">Витрати на придбання основних фондів, обладнання та приладів, сервісне обслуговування, навчання/підвищення кваліфікації персоналу </w:t>
            </w:r>
            <w:r w:rsidRPr="00D77340">
              <w:rPr>
                <w:rFonts w:eastAsia="Times New Roman"/>
                <w:lang w:eastAsia="ru-RU"/>
              </w:rPr>
              <w:t xml:space="preserve">тощо, </w:t>
            </w:r>
            <w:r w:rsidRPr="00506DA3">
              <w:rPr>
                <w:rFonts w:eastAsia="Times New Roman"/>
                <w:lang w:eastAsia="ru-RU"/>
              </w:rPr>
              <w:t>гривень</w:t>
            </w:r>
          </w:p>
        </w:tc>
        <w:tc>
          <w:tcPr>
            <w:tcW w:w="749" w:type="pct"/>
            <w:vAlign w:val="center"/>
            <w:hideMark/>
          </w:tcPr>
          <w:p w14:paraId="1BE23660" w14:textId="783AB4B8" w:rsidR="00D77340" w:rsidRPr="00D77340" w:rsidRDefault="00D77340" w:rsidP="00723DED">
            <w:pPr>
              <w:spacing w:before="150" w:after="150"/>
              <w:jc w:val="center"/>
              <w:rPr>
                <w:rFonts w:eastAsia="Times New Roman"/>
                <w:lang w:val="en-US" w:eastAsia="ru-RU"/>
              </w:rPr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504CB5D9" w14:textId="08AD4CB2" w:rsidR="00D77340" w:rsidRPr="00EA4F0B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t>–</w:t>
            </w:r>
          </w:p>
        </w:tc>
      </w:tr>
      <w:tr w:rsidR="00F446F7" w:rsidRPr="00506DA3" w14:paraId="5E3DA7FE" w14:textId="77777777" w:rsidTr="006A0849">
        <w:trPr>
          <w:trHeight w:val="1001"/>
          <w:jc w:val="center"/>
        </w:trPr>
        <w:tc>
          <w:tcPr>
            <w:tcW w:w="681" w:type="pct"/>
            <w:hideMark/>
          </w:tcPr>
          <w:p w14:paraId="71DADF59" w14:textId="77777777" w:rsidR="00F446F7" w:rsidRPr="00506DA3" w:rsidRDefault="00F446F7" w:rsidP="00F446F7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2" w:type="pct"/>
            <w:hideMark/>
          </w:tcPr>
          <w:p w14:paraId="74B75569" w14:textId="6F091586" w:rsidR="00F446F7" w:rsidRPr="005A65AA" w:rsidRDefault="00F446F7" w:rsidP="00F446F7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749" w:type="pct"/>
            <w:hideMark/>
          </w:tcPr>
          <w:p w14:paraId="3854958E" w14:textId="4BA1C38E" w:rsidR="00F446F7" w:rsidRPr="00BF51C7" w:rsidRDefault="00F446F7" w:rsidP="00F446F7">
            <w:pPr>
              <w:spacing w:before="150" w:after="150"/>
              <w:jc w:val="center"/>
            </w:pPr>
            <w:r w:rsidRPr="00395E6B">
              <w:t>190639,1</w:t>
            </w:r>
          </w:p>
        </w:tc>
        <w:tc>
          <w:tcPr>
            <w:tcW w:w="738" w:type="pct"/>
            <w:hideMark/>
          </w:tcPr>
          <w:p w14:paraId="1FFA3E88" w14:textId="1045EEE8" w:rsidR="00F446F7" w:rsidRPr="00BF51C7" w:rsidRDefault="00F446F7" w:rsidP="00F446F7">
            <w:pPr>
              <w:spacing w:before="150" w:after="150"/>
              <w:jc w:val="center"/>
            </w:pPr>
            <w:r w:rsidRPr="00395E6B">
              <w:t>953195,5</w:t>
            </w:r>
          </w:p>
        </w:tc>
      </w:tr>
      <w:tr w:rsidR="004419DE" w:rsidRPr="00506DA3" w14:paraId="7FA60CDB" w14:textId="77777777" w:rsidTr="005307BB">
        <w:trPr>
          <w:jc w:val="center"/>
        </w:trPr>
        <w:tc>
          <w:tcPr>
            <w:tcW w:w="681" w:type="pct"/>
            <w:hideMark/>
          </w:tcPr>
          <w:p w14:paraId="7E62AB23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32" w:type="pct"/>
            <w:hideMark/>
          </w:tcPr>
          <w:p w14:paraId="2A4C6530" w14:textId="77777777" w:rsidR="004419DE" w:rsidRPr="00506DA3" w:rsidRDefault="004419DE" w:rsidP="00723DED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749" w:type="pct"/>
            <w:vAlign w:val="center"/>
            <w:hideMark/>
          </w:tcPr>
          <w:p w14:paraId="4FD2A57F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5F23E8C7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</w:tr>
      <w:tr w:rsidR="004419DE" w:rsidRPr="00506DA3" w14:paraId="4E362F9B" w14:textId="77777777" w:rsidTr="005307BB">
        <w:trPr>
          <w:jc w:val="center"/>
        </w:trPr>
        <w:tc>
          <w:tcPr>
            <w:tcW w:w="681" w:type="pct"/>
            <w:hideMark/>
          </w:tcPr>
          <w:p w14:paraId="20482359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32" w:type="pct"/>
            <w:hideMark/>
          </w:tcPr>
          <w:p w14:paraId="0A80D57E" w14:textId="77777777" w:rsidR="004419DE" w:rsidRPr="00506DA3" w:rsidRDefault="004419DE" w:rsidP="00723DED">
            <w:pPr>
              <w:spacing w:before="150" w:after="150"/>
              <w:ind w:left="13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749" w:type="pct"/>
            <w:vAlign w:val="center"/>
          </w:tcPr>
          <w:p w14:paraId="0B8AF32E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</w:tcPr>
          <w:p w14:paraId="6C9FEC39" w14:textId="77777777" w:rsidR="004419DE" w:rsidRPr="00506DA3" w:rsidRDefault="004419DE" w:rsidP="00723DED">
            <w:pPr>
              <w:jc w:val="center"/>
            </w:pPr>
            <w:r w:rsidRPr="00506DA3">
              <w:t>–</w:t>
            </w:r>
          </w:p>
        </w:tc>
      </w:tr>
      <w:tr w:rsidR="00D77340" w:rsidRPr="00506DA3" w14:paraId="08D16ED0" w14:textId="77777777" w:rsidTr="005307BB">
        <w:trPr>
          <w:jc w:val="center"/>
        </w:trPr>
        <w:tc>
          <w:tcPr>
            <w:tcW w:w="681" w:type="pct"/>
            <w:hideMark/>
          </w:tcPr>
          <w:p w14:paraId="0FCD328A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32" w:type="pct"/>
            <w:hideMark/>
          </w:tcPr>
          <w:p w14:paraId="4E189AD2" w14:textId="77777777" w:rsidR="00D77340" w:rsidRPr="00183CF6" w:rsidRDefault="00D77340" w:rsidP="00723DED">
            <w:pPr>
              <w:spacing w:before="150" w:after="150"/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83CF6">
              <w:rPr>
                <w:rFonts w:eastAsia="Times New Roman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749" w:type="pct"/>
            <w:vAlign w:val="center"/>
            <w:hideMark/>
          </w:tcPr>
          <w:p w14:paraId="20F83718" w14:textId="4720813D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6D664E29" w14:textId="4E662AD1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</w:tr>
      <w:tr w:rsidR="00D77340" w:rsidRPr="00506DA3" w14:paraId="06CD41DE" w14:textId="77777777" w:rsidTr="005307BB">
        <w:trPr>
          <w:jc w:val="center"/>
        </w:trPr>
        <w:tc>
          <w:tcPr>
            <w:tcW w:w="681" w:type="pct"/>
            <w:hideMark/>
          </w:tcPr>
          <w:p w14:paraId="6594D509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32" w:type="pct"/>
            <w:hideMark/>
          </w:tcPr>
          <w:p w14:paraId="19BDB24F" w14:textId="77777777" w:rsidR="00D77340" w:rsidRPr="00183CF6" w:rsidRDefault="00D77340" w:rsidP="00723DED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183CF6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749" w:type="pct"/>
            <w:vAlign w:val="center"/>
            <w:hideMark/>
          </w:tcPr>
          <w:p w14:paraId="1D6E33BA" w14:textId="50D9838B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  <w:tc>
          <w:tcPr>
            <w:tcW w:w="738" w:type="pct"/>
            <w:vAlign w:val="center"/>
            <w:hideMark/>
          </w:tcPr>
          <w:p w14:paraId="27C334CC" w14:textId="44DF37F2" w:rsidR="00D77340" w:rsidRPr="00506DA3" w:rsidRDefault="00D77340" w:rsidP="00723DED">
            <w:pPr>
              <w:jc w:val="center"/>
            </w:pPr>
            <w:r w:rsidRPr="00506DA3">
              <w:t>–</w:t>
            </w:r>
          </w:p>
        </w:tc>
      </w:tr>
      <w:tr w:rsidR="004419DE" w:rsidRPr="00506DA3" w14:paraId="4F364A8F" w14:textId="77777777" w:rsidTr="005307BB">
        <w:trPr>
          <w:jc w:val="center"/>
        </w:trPr>
        <w:tc>
          <w:tcPr>
            <w:tcW w:w="681" w:type="pct"/>
            <w:hideMark/>
          </w:tcPr>
          <w:p w14:paraId="0B648744" w14:textId="77777777" w:rsidR="004419DE" w:rsidRPr="00506DA3" w:rsidRDefault="004419DE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832" w:type="pct"/>
            <w:hideMark/>
          </w:tcPr>
          <w:p w14:paraId="2AA5F639" w14:textId="77777777" w:rsidR="004419DE" w:rsidRPr="00506DA3" w:rsidRDefault="004419DE" w:rsidP="00723DED">
            <w:pPr>
              <w:spacing w:before="150" w:after="150"/>
              <w:ind w:left="130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 xml:space="preserve">Витрати, пов’язані із </w:t>
            </w:r>
            <w:proofErr w:type="spellStart"/>
            <w:r w:rsidRPr="00506DA3">
              <w:rPr>
                <w:rFonts w:eastAsia="Times New Roman"/>
                <w:lang w:eastAsia="ru-RU"/>
              </w:rPr>
              <w:t>наймом</w:t>
            </w:r>
            <w:proofErr w:type="spellEnd"/>
            <w:r w:rsidRPr="00506DA3">
              <w:rPr>
                <w:rFonts w:eastAsia="Times New Roman"/>
                <w:lang w:eastAsia="ru-RU"/>
              </w:rPr>
              <w:t xml:space="preserve"> додаткового персоналу, гривень</w:t>
            </w:r>
          </w:p>
        </w:tc>
        <w:tc>
          <w:tcPr>
            <w:tcW w:w="749" w:type="pct"/>
            <w:vAlign w:val="center"/>
            <w:hideMark/>
          </w:tcPr>
          <w:p w14:paraId="3BE3BD3A" w14:textId="77777777" w:rsidR="004419DE" w:rsidRPr="00506DA3" w:rsidRDefault="004419DE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738" w:type="pct"/>
            <w:vAlign w:val="center"/>
            <w:hideMark/>
          </w:tcPr>
          <w:p w14:paraId="2ADF2FB7" w14:textId="77777777" w:rsidR="004419DE" w:rsidRPr="00EA4F0B" w:rsidRDefault="004419DE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</w:tr>
      <w:tr w:rsidR="00D77340" w:rsidRPr="00506DA3" w14:paraId="65E4DEB3" w14:textId="77777777" w:rsidTr="002F3E15">
        <w:trPr>
          <w:jc w:val="center"/>
        </w:trPr>
        <w:tc>
          <w:tcPr>
            <w:tcW w:w="681" w:type="pct"/>
            <w:hideMark/>
          </w:tcPr>
          <w:p w14:paraId="70D729EF" w14:textId="77777777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832" w:type="pct"/>
            <w:vAlign w:val="center"/>
            <w:hideMark/>
          </w:tcPr>
          <w:p w14:paraId="0970BBCD" w14:textId="77777777" w:rsidR="00D77340" w:rsidRPr="00506DA3" w:rsidRDefault="00D77340" w:rsidP="002F3E15">
            <w:pPr>
              <w:ind w:left="130" w:right="190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Інше (уточнити), гривень</w:t>
            </w:r>
          </w:p>
          <w:p w14:paraId="44E15242" w14:textId="42722797" w:rsidR="00D77340" w:rsidRPr="00506DA3" w:rsidRDefault="00D77340" w:rsidP="002F3E15">
            <w:pPr>
              <w:ind w:left="130" w:right="19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14:paraId="131D7CF4" w14:textId="6989CC6A" w:rsidR="00D77340" w:rsidRPr="00506DA3" w:rsidRDefault="00D77340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738" w:type="pct"/>
            <w:vAlign w:val="center"/>
            <w:hideMark/>
          </w:tcPr>
          <w:p w14:paraId="6CE34542" w14:textId="075C07B2" w:rsidR="00D77340" w:rsidRPr="00506DA3" w:rsidRDefault="00D77340" w:rsidP="00723DED">
            <w:pPr>
              <w:jc w:val="center"/>
            </w:pPr>
            <w:r w:rsidRPr="00506DA3">
              <w:rPr>
                <w:sz w:val="28"/>
                <w:szCs w:val="28"/>
              </w:rPr>
              <w:t>–</w:t>
            </w:r>
          </w:p>
        </w:tc>
      </w:tr>
      <w:tr w:rsidR="00F446F7" w:rsidRPr="00506DA3" w14:paraId="587207E6" w14:textId="77777777" w:rsidTr="006A0849">
        <w:trPr>
          <w:jc w:val="center"/>
        </w:trPr>
        <w:tc>
          <w:tcPr>
            <w:tcW w:w="681" w:type="pct"/>
            <w:hideMark/>
          </w:tcPr>
          <w:p w14:paraId="18405E42" w14:textId="77777777" w:rsidR="00F446F7" w:rsidRPr="00506DA3" w:rsidRDefault="00F446F7" w:rsidP="00F446F7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832" w:type="pct"/>
            <w:hideMark/>
          </w:tcPr>
          <w:p w14:paraId="786CCCA9" w14:textId="77777777" w:rsidR="00F446F7" w:rsidRPr="00506DA3" w:rsidRDefault="00F446F7" w:rsidP="00F446F7">
            <w:pPr>
              <w:spacing w:before="150" w:after="150"/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749" w:type="pct"/>
            <w:hideMark/>
          </w:tcPr>
          <w:p w14:paraId="00F46290" w14:textId="646E6A54" w:rsidR="00F446F7" w:rsidRPr="00506DA3" w:rsidRDefault="00F446F7" w:rsidP="00F446F7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190639,1</w:t>
            </w:r>
          </w:p>
        </w:tc>
        <w:tc>
          <w:tcPr>
            <w:tcW w:w="738" w:type="pct"/>
            <w:hideMark/>
          </w:tcPr>
          <w:p w14:paraId="3A75E8D5" w14:textId="33B6C782" w:rsidR="00F446F7" w:rsidRPr="000129EF" w:rsidRDefault="00F446F7" w:rsidP="00F446F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eastAsia="en-US"/>
              </w:rPr>
              <w:t>953195,5</w:t>
            </w:r>
          </w:p>
        </w:tc>
      </w:tr>
      <w:tr w:rsidR="00183CF6" w:rsidRPr="00131580" w14:paraId="1A288470" w14:textId="77777777" w:rsidTr="00183CF6">
        <w:trPr>
          <w:trHeight w:val="962"/>
          <w:jc w:val="center"/>
        </w:trPr>
        <w:tc>
          <w:tcPr>
            <w:tcW w:w="681" w:type="pct"/>
            <w:hideMark/>
          </w:tcPr>
          <w:p w14:paraId="29A5E3AA" w14:textId="77777777" w:rsidR="00183CF6" w:rsidRPr="00131580" w:rsidRDefault="00183CF6" w:rsidP="00723DED">
            <w:pPr>
              <w:jc w:val="center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832" w:type="pct"/>
            <w:hideMark/>
          </w:tcPr>
          <w:p w14:paraId="2DCE4892" w14:textId="17A58C34" w:rsidR="00183CF6" w:rsidRPr="00131580" w:rsidRDefault="00183CF6" w:rsidP="006C1CF5">
            <w:pPr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749" w:type="pct"/>
            <w:vAlign w:val="center"/>
          </w:tcPr>
          <w:p w14:paraId="5DC2D53D" w14:textId="0BBD9E28" w:rsidR="00183CF6" w:rsidRPr="00131580" w:rsidRDefault="006C1CF5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738" w:type="pct"/>
            <w:vAlign w:val="center"/>
          </w:tcPr>
          <w:p w14:paraId="167B7AF3" w14:textId="3A3774CE" w:rsidR="00183CF6" w:rsidRPr="00131580" w:rsidRDefault="006C1CF5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</w:tr>
      <w:tr w:rsidR="006C1CF5" w:rsidRPr="00131580" w14:paraId="30245604" w14:textId="77777777" w:rsidTr="00723DED">
        <w:trPr>
          <w:jc w:val="center"/>
        </w:trPr>
        <w:tc>
          <w:tcPr>
            <w:tcW w:w="681" w:type="pct"/>
            <w:hideMark/>
          </w:tcPr>
          <w:p w14:paraId="1F6D6D18" w14:textId="77777777" w:rsidR="006C1CF5" w:rsidRPr="00131580" w:rsidRDefault="006C1CF5" w:rsidP="006C1CF5">
            <w:pPr>
              <w:jc w:val="center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832" w:type="pct"/>
            <w:hideMark/>
          </w:tcPr>
          <w:p w14:paraId="43FEF23B" w14:textId="30929FF4" w:rsidR="006C1CF5" w:rsidRPr="00131580" w:rsidRDefault="006C1CF5" w:rsidP="00F446F7">
            <w:pPr>
              <w:ind w:left="130" w:right="129"/>
              <w:jc w:val="both"/>
              <w:rPr>
                <w:rFonts w:eastAsia="Times New Roman"/>
                <w:lang w:eastAsia="ru-RU"/>
              </w:rPr>
            </w:pPr>
            <w:r w:rsidRPr="00131580">
              <w:rPr>
                <w:rFonts w:eastAsia="Times New Roman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749" w:type="pct"/>
            <w:vAlign w:val="center"/>
            <w:hideMark/>
          </w:tcPr>
          <w:p w14:paraId="5656641B" w14:textId="62B788B0" w:rsidR="006C1CF5" w:rsidRPr="001E0CBC" w:rsidRDefault="006C1CF5" w:rsidP="006C1CF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4 003 421</w:t>
            </w:r>
          </w:p>
        </w:tc>
        <w:tc>
          <w:tcPr>
            <w:tcW w:w="738" w:type="pct"/>
            <w:vAlign w:val="center"/>
            <w:hideMark/>
          </w:tcPr>
          <w:p w14:paraId="2236ECBA" w14:textId="468A0822" w:rsidR="006C1CF5" w:rsidRPr="001E0CBC" w:rsidRDefault="006C1CF5" w:rsidP="006C1CF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20 017 105</w:t>
            </w:r>
          </w:p>
        </w:tc>
      </w:tr>
    </w:tbl>
    <w:p w14:paraId="77956419" w14:textId="77777777" w:rsidR="005A65AA" w:rsidRDefault="005A65AA" w:rsidP="004419DE">
      <w:pPr>
        <w:shd w:val="clear" w:color="auto" w:fill="FFFFFF"/>
        <w:ind w:left="450" w:right="450"/>
        <w:jc w:val="center"/>
        <w:rPr>
          <w:rFonts w:eastAsia="Times New Roman"/>
          <w:sz w:val="20"/>
          <w:szCs w:val="20"/>
          <w:lang w:eastAsia="ru-RU"/>
        </w:rPr>
      </w:pPr>
    </w:p>
    <w:p w14:paraId="365CE527" w14:textId="77777777" w:rsidR="00FA7A34" w:rsidRDefault="005A65AA" w:rsidP="005A65AA">
      <w:pPr>
        <w:shd w:val="clear" w:color="auto" w:fill="FFFFFF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 xml:space="preserve">* </w:t>
      </w:r>
      <w:r w:rsidR="001367D8" w:rsidRPr="00BF51C7">
        <w:rPr>
          <w:rFonts w:eastAsia="Times New Roman"/>
          <w:sz w:val="20"/>
          <w:szCs w:val="20"/>
          <w:lang w:eastAsia="ru-RU"/>
        </w:rPr>
        <w:t>У розрахунку відображені лише зміни у витратах за альтернативами.</w:t>
      </w:r>
    </w:p>
    <w:p w14:paraId="39723739" w14:textId="56551E93" w:rsidR="001367D8" w:rsidRDefault="00FA7A34" w:rsidP="00892FC3">
      <w:pPr>
        <w:shd w:val="clear" w:color="auto" w:fill="FFFFFF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Хоча розрахунок представлений для 21 суб’єкта господарювання, однак витрати розміром </w:t>
      </w:r>
      <w:r w:rsidR="001367D8" w:rsidRPr="00BF51C7">
        <w:rPr>
          <w:rFonts w:eastAsia="Times New Roman"/>
          <w:sz w:val="20"/>
          <w:szCs w:val="20"/>
          <w:lang w:eastAsia="ru-RU"/>
        </w:rPr>
        <w:t xml:space="preserve"> </w:t>
      </w:r>
      <w:r w:rsidRPr="00FA7A34">
        <w:rPr>
          <w:rFonts w:eastAsia="Times New Roman"/>
          <w:sz w:val="20"/>
          <w:szCs w:val="20"/>
          <w:lang w:eastAsia="ru-RU"/>
        </w:rPr>
        <w:t>4 003 421 грн за рік або 20 017 105 грн</w:t>
      </w:r>
      <w:r>
        <w:rPr>
          <w:rFonts w:eastAsia="Times New Roman"/>
          <w:sz w:val="20"/>
          <w:szCs w:val="20"/>
          <w:lang w:eastAsia="ru-RU"/>
        </w:rPr>
        <w:t xml:space="preserve"> за 5 років можуть бути понесені також одним </w:t>
      </w:r>
      <w:r w:rsidRPr="00FA7A34">
        <w:rPr>
          <w:rFonts w:eastAsia="Times New Roman"/>
          <w:sz w:val="20"/>
          <w:szCs w:val="20"/>
          <w:lang w:eastAsia="ru-RU"/>
        </w:rPr>
        <w:t>суб’єктом господарювання</w:t>
      </w:r>
      <w:r>
        <w:rPr>
          <w:rFonts w:eastAsia="Times New Roman"/>
          <w:sz w:val="20"/>
          <w:szCs w:val="20"/>
          <w:lang w:eastAsia="ru-RU"/>
        </w:rPr>
        <w:t>,</w:t>
      </w:r>
      <w:r w:rsidRPr="00FA7A34">
        <w:rPr>
          <w:rFonts w:eastAsia="Times New Roman"/>
          <w:sz w:val="20"/>
          <w:szCs w:val="20"/>
          <w:lang w:eastAsia="ru-RU"/>
        </w:rPr>
        <w:t xml:space="preserve"> оскільки </w:t>
      </w:r>
      <w:r>
        <w:rPr>
          <w:rFonts w:eastAsia="Times New Roman"/>
          <w:sz w:val="20"/>
          <w:szCs w:val="20"/>
          <w:lang w:eastAsia="ru-RU"/>
        </w:rPr>
        <w:t>тари</w:t>
      </w:r>
      <w:r w:rsidR="00892FC3">
        <w:rPr>
          <w:rFonts w:eastAsia="Times New Roman"/>
          <w:sz w:val="20"/>
          <w:szCs w:val="20"/>
          <w:lang w:eastAsia="ru-RU"/>
        </w:rPr>
        <w:t>фна квота обсягом 2000 тон надаватиме</w:t>
      </w:r>
      <w:r>
        <w:rPr>
          <w:rFonts w:eastAsia="Times New Roman"/>
          <w:sz w:val="20"/>
          <w:szCs w:val="20"/>
          <w:lang w:eastAsia="ru-RU"/>
        </w:rPr>
        <w:t>ться при експорті товарів з України до ОАЕ за принципом «перший прийшов – перший обслуговується».</w:t>
      </w:r>
    </w:p>
    <w:p w14:paraId="24549981" w14:textId="77777777" w:rsidR="004C031A" w:rsidRPr="00506DA3" w:rsidRDefault="004C031A" w:rsidP="004419DE">
      <w:pPr>
        <w:shd w:val="clear" w:color="auto" w:fill="FFFFFF"/>
        <w:ind w:left="450" w:right="450"/>
        <w:jc w:val="center"/>
        <w:rPr>
          <w:rFonts w:eastAsia="Times New Roman"/>
          <w:b/>
          <w:color w:val="333333"/>
          <w:sz w:val="28"/>
          <w:szCs w:val="28"/>
          <w:lang w:eastAsia="ru-RU"/>
        </w:rPr>
      </w:pPr>
    </w:p>
    <w:p w14:paraId="363AF121" w14:textId="715A4936" w:rsidR="004419DE" w:rsidRPr="00B52AA1" w:rsidRDefault="004419DE" w:rsidP="004419DE">
      <w:pPr>
        <w:shd w:val="clear" w:color="auto" w:fill="FFFFFF"/>
        <w:spacing w:after="150"/>
        <w:ind w:left="450" w:right="450"/>
        <w:jc w:val="center"/>
        <w:rPr>
          <w:rStyle w:val="font171"/>
        </w:rPr>
      </w:pPr>
      <w:r w:rsidRPr="00B52AA1">
        <w:rPr>
          <w:rStyle w:val="font171"/>
        </w:rPr>
        <w:t xml:space="preserve">Розрахунок відповідних витрат на одного суб’єкта господарювання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4"/>
        <w:gridCol w:w="3379"/>
        <w:gridCol w:w="1775"/>
      </w:tblGrid>
      <w:tr w:rsidR="004419DE" w:rsidRPr="00506DA3" w14:paraId="15A280D9" w14:textId="77777777" w:rsidTr="00183CF6">
        <w:trPr>
          <w:trHeight w:val="1040"/>
        </w:trPr>
        <w:tc>
          <w:tcPr>
            <w:tcW w:w="2323" w:type="pct"/>
            <w:hideMark/>
          </w:tcPr>
          <w:p w14:paraId="6B5A5398" w14:textId="77777777" w:rsidR="004419DE" w:rsidRPr="00506DA3" w:rsidRDefault="004419DE" w:rsidP="00723DED">
            <w:pPr>
              <w:ind w:left="142"/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1755" w:type="pct"/>
            <w:hideMark/>
          </w:tcPr>
          <w:p w14:paraId="0345DA58" w14:textId="77777777" w:rsidR="004419DE" w:rsidRPr="00506DA3" w:rsidRDefault="004419DE" w:rsidP="00723DED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22" w:type="pct"/>
            <w:hideMark/>
          </w:tcPr>
          <w:p w14:paraId="29D619A4" w14:textId="77777777" w:rsidR="004419DE" w:rsidRPr="00506DA3" w:rsidRDefault="004419DE" w:rsidP="00723DED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871CCA" w:rsidRPr="00506DA3" w14:paraId="122E2DBB" w14:textId="77777777" w:rsidTr="006A0849">
        <w:tc>
          <w:tcPr>
            <w:tcW w:w="2323" w:type="pct"/>
            <w:hideMark/>
          </w:tcPr>
          <w:p w14:paraId="1635CE44" w14:textId="77777777" w:rsidR="00871CCA" w:rsidRPr="00506DA3" w:rsidRDefault="00871CCA" w:rsidP="00871CCA">
            <w:pPr>
              <w:spacing w:before="150" w:after="150"/>
              <w:ind w:left="142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755" w:type="pct"/>
            <w:hideMark/>
          </w:tcPr>
          <w:p w14:paraId="339CC7DE" w14:textId="2465B68A" w:rsidR="00871CCA" w:rsidRPr="00BF51C7" w:rsidRDefault="00871CCA" w:rsidP="00871CCA">
            <w:pPr>
              <w:spacing w:before="240"/>
              <w:jc w:val="center"/>
            </w:pPr>
            <w:r w:rsidRPr="00AC71E2">
              <w:t>190639,</w:t>
            </w:r>
            <w:r>
              <w:t>1</w:t>
            </w:r>
            <w:r w:rsidR="00F446F7">
              <w:t>*</w:t>
            </w:r>
          </w:p>
        </w:tc>
        <w:tc>
          <w:tcPr>
            <w:tcW w:w="922" w:type="pct"/>
            <w:hideMark/>
          </w:tcPr>
          <w:p w14:paraId="0ECE0F50" w14:textId="471DBED2" w:rsidR="00871CCA" w:rsidRPr="00BF51C7" w:rsidRDefault="00871CCA" w:rsidP="00871CCA">
            <w:pPr>
              <w:spacing w:before="240"/>
              <w:jc w:val="center"/>
            </w:pPr>
            <w:r w:rsidRPr="00AC71E2">
              <w:t>953195,</w:t>
            </w:r>
            <w:r>
              <w:t>5</w:t>
            </w:r>
          </w:p>
        </w:tc>
      </w:tr>
    </w:tbl>
    <w:p w14:paraId="109D2538" w14:textId="77777777" w:rsidR="004419DE" w:rsidRPr="00BF51C7" w:rsidRDefault="004419DE" w:rsidP="004419DE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>_________</w:t>
      </w:r>
    </w:p>
    <w:p w14:paraId="38ECDA7A" w14:textId="383A80C3" w:rsidR="00670710" w:rsidRDefault="00670710" w:rsidP="00670710">
      <w:pPr>
        <w:shd w:val="clear" w:color="auto" w:fill="FFFFFF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BF51C7">
        <w:rPr>
          <w:rFonts w:eastAsia="Times New Roman"/>
          <w:sz w:val="20"/>
          <w:szCs w:val="20"/>
          <w:lang w:eastAsia="ru-RU"/>
        </w:rPr>
        <w:t xml:space="preserve">* Дані про суму сплаченого вивізного мита на одного суб’єкта господарювання великого та середнього підприємництва при експорті товарів без </w:t>
      </w:r>
      <w:r w:rsidR="00F446F7" w:rsidRPr="00F446F7">
        <w:rPr>
          <w:rFonts w:eastAsia="Times New Roman"/>
          <w:sz w:val="20"/>
          <w:szCs w:val="20"/>
          <w:lang w:eastAsia="ru-RU"/>
        </w:rPr>
        <w:t>документа, що підтверджує статус преференційного походження товару</w:t>
      </w:r>
      <w:r w:rsidRPr="00BF51C7">
        <w:rPr>
          <w:rFonts w:eastAsia="Times New Roman"/>
          <w:sz w:val="20"/>
          <w:szCs w:val="20"/>
          <w:lang w:eastAsia="ru-RU"/>
        </w:rPr>
        <w:t xml:space="preserve">, </w:t>
      </w:r>
      <w:r w:rsidR="00F446F7">
        <w:rPr>
          <w:rFonts w:eastAsia="Times New Roman"/>
          <w:sz w:val="20"/>
          <w:szCs w:val="20"/>
          <w:lang w:eastAsia="ru-RU"/>
        </w:rPr>
        <w:t>підраховано за даними</w:t>
      </w:r>
      <w:r w:rsidRPr="00BF51C7">
        <w:rPr>
          <w:rFonts w:eastAsia="Times New Roman"/>
          <w:sz w:val="20"/>
          <w:szCs w:val="20"/>
          <w:lang w:eastAsia="ru-RU"/>
        </w:rPr>
        <w:t xml:space="preserve"> інформаційних систем Держмитслужби</w:t>
      </w:r>
      <w:r w:rsidR="00F446F7">
        <w:rPr>
          <w:rFonts w:eastAsia="Times New Roman"/>
          <w:sz w:val="20"/>
          <w:szCs w:val="20"/>
          <w:lang w:eastAsia="ru-RU"/>
        </w:rPr>
        <w:t>.</w:t>
      </w:r>
    </w:p>
    <w:p w14:paraId="49AE25CC" w14:textId="77777777" w:rsidR="00670710" w:rsidRPr="00BF51C7" w:rsidRDefault="00670710" w:rsidP="004419DE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</w:p>
    <w:p w14:paraId="485687A5" w14:textId="77777777" w:rsidR="00F03CBD" w:rsidRDefault="00F03CBD" w:rsidP="00126711">
      <w:pPr>
        <w:jc w:val="center"/>
        <w:rPr>
          <w:b/>
          <w:sz w:val="28"/>
          <w:szCs w:val="28"/>
        </w:rPr>
      </w:pPr>
    </w:p>
    <w:p w14:paraId="133AADF8" w14:textId="3AFE4980" w:rsidR="00126711" w:rsidRPr="00320779" w:rsidRDefault="00126711" w:rsidP="00126711">
      <w:pPr>
        <w:jc w:val="center"/>
        <w:rPr>
          <w:b/>
          <w:sz w:val="28"/>
          <w:szCs w:val="28"/>
        </w:rPr>
      </w:pPr>
      <w:r w:rsidRPr="00320779">
        <w:rPr>
          <w:b/>
          <w:sz w:val="28"/>
          <w:szCs w:val="28"/>
        </w:rPr>
        <w:t>ВИТРАТИ</w:t>
      </w:r>
    </w:p>
    <w:p w14:paraId="4D30BEF6" w14:textId="77777777" w:rsidR="00126711" w:rsidRPr="00320779" w:rsidRDefault="00126711" w:rsidP="00126711">
      <w:pPr>
        <w:jc w:val="center"/>
        <w:rPr>
          <w:b/>
          <w:sz w:val="28"/>
          <w:szCs w:val="28"/>
        </w:rPr>
      </w:pPr>
      <w:r w:rsidRPr="00320779">
        <w:rPr>
          <w:b/>
          <w:sz w:val="28"/>
          <w:szCs w:val="28"/>
        </w:rPr>
        <w:t>на одного суб’єкта господарювання великого та середнього підприємництва, які виникають внаслідок дії регуляторного акта</w:t>
      </w:r>
    </w:p>
    <w:p w14:paraId="621AC23A" w14:textId="77777777" w:rsidR="00126711" w:rsidRPr="00320779" w:rsidRDefault="00126711" w:rsidP="00126711">
      <w:pPr>
        <w:jc w:val="center"/>
        <w:rPr>
          <w:b/>
        </w:rPr>
      </w:pPr>
      <w:r w:rsidRPr="00320779">
        <w:rPr>
          <w:b/>
        </w:rPr>
        <w:t>(Альтернатива 2)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48"/>
        <w:gridCol w:w="5452"/>
        <w:gridCol w:w="1629"/>
        <w:gridCol w:w="1363"/>
      </w:tblGrid>
      <w:tr w:rsidR="00126711" w:rsidRPr="00126711" w14:paraId="54D98DF4" w14:textId="77777777" w:rsidTr="00F03CBD">
        <w:trPr>
          <w:tblHeader/>
          <w:jc w:val="center"/>
        </w:trPr>
        <w:tc>
          <w:tcPr>
            <w:tcW w:w="688" w:type="pct"/>
            <w:hideMark/>
          </w:tcPr>
          <w:p w14:paraId="379A0343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2783" w:type="pct"/>
            <w:hideMark/>
          </w:tcPr>
          <w:p w14:paraId="2A7BF32A" w14:textId="77777777" w:rsidR="00126711" w:rsidRPr="00126711" w:rsidRDefault="00126711" w:rsidP="00723DED">
            <w:pPr>
              <w:spacing w:before="150" w:after="150"/>
              <w:ind w:right="19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</w:t>
            </w:r>
          </w:p>
        </w:tc>
        <w:tc>
          <w:tcPr>
            <w:tcW w:w="832" w:type="pct"/>
            <w:hideMark/>
          </w:tcPr>
          <w:p w14:paraId="702C5338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За перший рік</w:t>
            </w:r>
          </w:p>
        </w:tc>
        <w:tc>
          <w:tcPr>
            <w:tcW w:w="696" w:type="pct"/>
            <w:hideMark/>
          </w:tcPr>
          <w:p w14:paraId="6F8177B0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C73E49" w:rsidRPr="00126711" w14:paraId="0F89DD2C" w14:textId="77777777" w:rsidTr="00F03CBD">
        <w:trPr>
          <w:jc w:val="center"/>
        </w:trPr>
        <w:tc>
          <w:tcPr>
            <w:tcW w:w="688" w:type="pct"/>
            <w:hideMark/>
          </w:tcPr>
          <w:p w14:paraId="39279C96" w14:textId="77777777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783" w:type="pct"/>
            <w:hideMark/>
          </w:tcPr>
          <w:p w14:paraId="3FAF0341" w14:textId="2531A77B" w:rsidR="00C73E49" w:rsidRPr="00126711" w:rsidRDefault="00C73E49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  <w:r w:rsidRPr="00C73E49">
              <w:rPr>
                <w:rFonts w:eastAsia="Times New Roman"/>
                <w:lang w:eastAsia="ru-RU"/>
              </w:rPr>
              <w:t xml:space="preserve">, </w:t>
            </w:r>
            <w:r w:rsidRPr="00126711">
              <w:rPr>
                <w:rFonts w:eastAsia="Times New Roman"/>
                <w:lang w:eastAsia="ru-RU"/>
              </w:rPr>
              <w:t>гривень</w:t>
            </w:r>
          </w:p>
        </w:tc>
        <w:tc>
          <w:tcPr>
            <w:tcW w:w="832" w:type="pct"/>
            <w:vAlign w:val="center"/>
            <w:hideMark/>
          </w:tcPr>
          <w:p w14:paraId="381CA982" w14:textId="52B61551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3E9FB259" w14:textId="34B44B68" w:rsidR="00C73E49" w:rsidRPr="00126711" w:rsidRDefault="00C73E49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t>–</w:t>
            </w:r>
          </w:p>
        </w:tc>
      </w:tr>
      <w:tr w:rsidR="00126711" w:rsidRPr="00126711" w14:paraId="4215B3FF" w14:textId="77777777" w:rsidTr="00F03CBD">
        <w:trPr>
          <w:trHeight w:val="1001"/>
          <w:jc w:val="center"/>
        </w:trPr>
        <w:tc>
          <w:tcPr>
            <w:tcW w:w="688" w:type="pct"/>
            <w:hideMark/>
          </w:tcPr>
          <w:p w14:paraId="36F6967C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783" w:type="pct"/>
            <w:hideMark/>
          </w:tcPr>
          <w:p w14:paraId="2CF7E10C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32" w:type="pct"/>
            <w:vAlign w:val="center"/>
            <w:hideMark/>
          </w:tcPr>
          <w:p w14:paraId="3C816692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4B48C761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346B7348" w14:textId="77777777" w:rsidTr="00F03CBD">
        <w:trPr>
          <w:jc w:val="center"/>
        </w:trPr>
        <w:tc>
          <w:tcPr>
            <w:tcW w:w="688" w:type="pct"/>
            <w:hideMark/>
          </w:tcPr>
          <w:p w14:paraId="55A71CB8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2783" w:type="pct"/>
            <w:hideMark/>
          </w:tcPr>
          <w:p w14:paraId="0705ABF1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32" w:type="pct"/>
            <w:vAlign w:val="center"/>
            <w:hideMark/>
          </w:tcPr>
          <w:p w14:paraId="7FA20201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  <w:hideMark/>
          </w:tcPr>
          <w:p w14:paraId="0533EF2E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5D49AA56" w14:textId="77777777" w:rsidTr="00F03CBD">
        <w:trPr>
          <w:jc w:val="center"/>
        </w:trPr>
        <w:tc>
          <w:tcPr>
            <w:tcW w:w="688" w:type="pct"/>
            <w:hideMark/>
          </w:tcPr>
          <w:p w14:paraId="19325425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783" w:type="pct"/>
            <w:hideMark/>
          </w:tcPr>
          <w:p w14:paraId="3AD2D1C1" w14:textId="77777777" w:rsidR="00126711" w:rsidRPr="00126711" w:rsidRDefault="00126711" w:rsidP="00B94E3D">
            <w:pPr>
              <w:spacing w:before="150" w:after="150"/>
              <w:ind w:left="130" w:right="106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832" w:type="pct"/>
            <w:vAlign w:val="center"/>
          </w:tcPr>
          <w:p w14:paraId="44C5A970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  <w:tc>
          <w:tcPr>
            <w:tcW w:w="696" w:type="pct"/>
            <w:vAlign w:val="center"/>
          </w:tcPr>
          <w:p w14:paraId="6E01FCBC" w14:textId="77777777" w:rsidR="00126711" w:rsidRPr="00126711" w:rsidRDefault="00126711" w:rsidP="00723DED">
            <w:pPr>
              <w:jc w:val="center"/>
            </w:pPr>
            <w:r w:rsidRPr="00126711">
              <w:t>–</w:t>
            </w:r>
          </w:p>
        </w:tc>
      </w:tr>
      <w:tr w:rsidR="00126711" w:rsidRPr="00126711" w14:paraId="3B68E0B5" w14:textId="77777777" w:rsidTr="00F03CBD">
        <w:trPr>
          <w:jc w:val="center"/>
        </w:trPr>
        <w:tc>
          <w:tcPr>
            <w:tcW w:w="688" w:type="pct"/>
            <w:hideMark/>
          </w:tcPr>
          <w:p w14:paraId="6E1890C3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783" w:type="pct"/>
            <w:hideMark/>
          </w:tcPr>
          <w:p w14:paraId="3F767BC8" w14:textId="41A90CBE" w:rsidR="00E262E6" w:rsidRPr="00D358DB" w:rsidRDefault="00126711" w:rsidP="00F03CBD">
            <w:pPr>
              <w:ind w:left="142" w:right="56"/>
              <w:jc w:val="both"/>
              <w:rPr>
                <w:rFonts w:eastAsia="Times New Roman"/>
                <w:i/>
                <w:lang w:eastAsia="ru-RU"/>
              </w:rPr>
            </w:pPr>
            <w:r w:rsidRPr="004347A3">
              <w:rPr>
                <w:rFonts w:eastAsia="Times New Roman"/>
                <w:lang w:eastAsia="ru-RU"/>
              </w:rPr>
              <w:t>Витрати на отримання адміністративних послуг (</w:t>
            </w:r>
            <w:r w:rsidR="00505C94">
              <w:rPr>
                <w:rFonts w:eastAsia="Times New Roman"/>
                <w:i/>
                <w:lang w:eastAsia="ru-RU"/>
              </w:rPr>
              <w:t>в</w:t>
            </w:r>
            <w:r w:rsidR="002D60FA" w:rsidRPr="004347A3">
              <w:rPr>
                <w:rFonts w:eastAsia="Times New Roman"/>
                <w:i/>
                <w:lang w:eastAsia="ru-RU"/>
              </w:rPr>
              <w:t>итрати часу</w:t>
            </w:r>
            <w:r w:rsidR="00505C94">
              <w:rPr>
                <w:rFonts w:eastAsia="Times New Roman"/>
                <w:i/>
                <w:lang w:eastAsia="ru-RU"/>
              </w:rPr>
              <w:t>,</w:t>
            </w:r>
            <w:r w:rsidR="002D60FA" w:rsidRPr="004347A3">
              <w:rPr>
                <w:rFonts w:eastAsia="Times New Roman"/>
                <w:i/>
                <w:lang w:eastAsia="ru-RU"/>
              </w:rPr>
              <w:t xml:space="preserve"> пов’язані з підготовкою </w:t>
            </w:r>
            <w:r w:rsidR="006A0308" w:rsidRPr="006A0308">
              <w:rPr>
                <w:rFonts w:eastAsia="Times New Roman"/>
                <w:i/>
                <w:lang w:eastAsia="ru-RU"/>
              </w:rPr>
              <w:t xml:space="preserve">заявки на отримання декларантом тарифної квоти </w:t>
            </w:r>
            <w:r w:rsidR="006A0308">
              <w:rPr>
                <w:rFonts w:eastAsia="Times New Roman"/>
                <w:i/>
                <w:lang w:eastAsia="ru-RU"/>
              </w:rPr>
              <w:t xml:space="preserve"> та </w:t>
            </w:r>
            <w:r w:rsidR="002D60FA" w:rsidRPr="004347A3">
              <w:rPr>
                <w:rFonts w:eastAsia="Times New Roman"/>
                <w:i/>
                <w:lang w:eastAsia="ru-RU"/>
              </w:rPr>
              <w:t xml:space="preserve">додаткових документів, що подаватимуться експортером під час експорту до митниці </w:t>
            </w:r>
            <w:r w:rsidR="00D358DB" w:rsidRPr="004347A3">
              <w:rPr>
                <w:rFonts w:eastAsia="Times New Roman"/>
                <w:i/>
                <w:lang w:eastAsia="ru-RU"/>
              </w:rPr>
              <w:t xml:space="preserve">для отримання </w:t>
            </w:r>
            <w:r w:rsidR="006A0308" w:rsidRPr="006A0308">
              <w:rPr>
                <w:rFonts w:eastAsia="Times New Roman"/>
                <w:i/>
                <w:lang w:eastAsia="ru-RU"/>
              </w:rPr>
              <w:t>документу, що підтверджує статус преференційного походження товарів</w:t>
            </w:r>
            <w:r w:rsidR="002D60FA" w:rsidRPr="004347A3">
              <w:rPr>
                <w:rFonts w:eastAsia="Times New Roman"/>
                <w:i/>
                <w:lang w:eastAsia="ru-RU"/>
              </w:rPr>
              <w:t>)</w:t>
            </w:r>
            <w:r w:rsidRPr="004347A3">
              <w:rPr>
                <w:rFonts w:eastAsia="Times New Roman"/>
                <w:i/>
                <w:lang w:eastAsia="ru-RU"/>
              </w:rPr>
              <w:t>,</w:t>
            </w:r>
            <w:r w:rsidRPr="004347A3">
              <w:rPr>
                <w:rFonts w:eastAsia="Times New Roman"/>
                <w:lang w:eastAsia="ru-RU"/>
              </w:rPr>
              <w:t xml:space="preserve"> гривень</w:t>
            </w:r>
          </w:p>
        </w:tc>
        <w:tc>
          <w:tcPr>
            <w:tcW w:w="832" w:type="pct"/>
            <w:vAlign w:val="center"/>
            <w:hideMark/>
          </w:tcPr>
          <w:p w14:paraId="3F7773B5" w14:textId="2FA39BFE" w:rsidR="00126711" w:rsidRPr="00126711" w:rsidRDefault="008B2E37" w:rsidP="00723DED">
            <w:pPr>
              <w:jc w:val="center"/>
            </w:pPr>
            <w:r>
              <w:t>260</w:t>
            </w:r>
            <w:r w:rsidR="00126711" w:rsidRPr="00126711">
              <w:t>*</w:t>
            </w:r>
          </w:p>
        </w:tc>
        <w:tc>
          <w:tcPr>
            <w:tcW w:w="696" w:type="pct"/>
            <w:vAlign w:val="center"/>
            <w:hideMark/>
          </w:tcPr>
          <w:p w14:paraId="649ECE9A" w14:textId="08CF85D5" w:rsidR="00126711" w:rsidRPr="00126711" w:rsidRDefault="008B2E37" w:rsidP="006A0308">
            <w:pPr>
              <w:jc w:val="center"/>
            </w:pPr>
            <w:r>
              <w:t>1300</w:t>
            </w:r>
          </w:p>
        </w:tc>
      </w:tr>
      <w:tr w:rsidR="00126711" w:rsidRPr="00126711" w14:paraId="12EFB3FA" w14:textId="77777777" w:rsidTr="00F03CBD">
        <w:trPr>
          <w:jc w:val="center"/>
        </w:trPr>
        <w:tc>
          <w:tcPr>
            <w:tcW w:w="688" w:type="pct"/>
            <w:hideMark/>
          </w:tcPr>
          <w:p w14:paraId="418155C6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783" w:type="pct"/>
            <w:hideMark/>
          </w:tcPr>
          <w:p w14:paraId="19C4547D" w14:textId="59E2ABF8" w:rsidR="00984297" w:rsidRPr="00BC5838" w:rsidRDefault="00126711" w:rsidP="00BC5838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832" w:type="pct"/>
            <w:vAlign w:val="center"/>
            <w:hideMark/>
          </w:tcPr>
          <w:p w14:paraId="1BEA04CC" w14:textId="681CD348" w:rsidR="00126711" w:rsidRPr="00126711" w:rsidRDefault="00EF0AC0" w:rsidP="006A0308">
            <w:pPr>
              <w:jc w:val="center"/>
            </w:pPr>
            <w:r>
              <w:t>29,1</w:t>
            </w:r>
          </w:p>
        </w:tc>
        <w:tc>
          <w:tcPr>
            <w:tcW w:w="696" w:type="pct"/>
            <w:vAlign w:val="center"/>
            <w:hideMark/>
          </w:tcPr>
          <w:p w14:paraId="7BC6C139" w14:textId="4A7B6CE5" w:rsidR="00126711" w:rsidRPr="00126711" w:rsidRDefault="00EF0AC0" w:rsidP="006A0308">
            <w:pPr>
              <w:jc w:val="center"/>
            </w:pPr>
            <w:r>
              <w:t>145,5</w:t>
            </w:r>
          </w:p>
        </w:tc>
      </w:tr>
      <w:tr w:rsidR="00126711" w:rsidRPr="00126711" w14:paraId="363797A6" w14:textId="77777777" w:rsidTr="00F03CBD">
        <w:trPr>
          <w:jc w:val="center"/>
        </w:trPr>
        <w:tc>
          <w:tcPr>
            <w:tcW w:w="688" w:type="pct"/>
            <w:hideMark/>
          </w:tcPr>
          <w:p w14:paraId="10D83280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783" w:type="pct"/>
            <w:hideMark/>
          </w:tcPr>
          <w:p w14:paraId="51160036" w14:textId="77777777" w:rsidR="00126711" w:rsidRPr="00126711" w:rsidRDefault="00126711" w:rsidP="00B94E3D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 xml:space="preserve">Витрати, пов’язані із </w:t>
            </w:r>
            <w:proofErr w:type="spellStart"/>
            <w:r w:rsidRPr="00126711">
              <w:rPr>
                <w:rFonts w:eastAsia="Times New Roman"/>
                <w:lang w:eastAsia="ru-RU"/>
              </w:rPr>
              <w:t>наймом</w:t>
            </w:r>
            <w:proofErr w:type="spellEnd"/>
            <w:r w:rsidRPr="00126711">
              <w:rPr>
                <w:rFonts w:eastAsia="Times New Roman"/>
                <w:lang w:eastAsia="ru-RU"/>
              </w:rPr>
              <w:t xml:space="preserve"> додаткового персоналу, гривень</w:t>
            </w:r>
          </w:p>
        </w:tc>
        <w:tc>
          <w:tcPr>
            <w:tcW w:w="832" w:type="pct"/>
            <w:vAlign w:val="center"/>
            <w:hideMark/>
          </w:tcPr>
          <w:p w14:paraId="5412FBCC" w14:textId="77777777" w:rsidR="00126711" w:rsidRPr="00126711" w:rsidRDefault="00126711" w:rsidP="00723DED">
            <w:pPr>
              <w:jc w:val="center"/>
            </w:pPr>
            <w:r w:rsidRPr="00126711">
              <w:rPr>
                <w:sz w:val="28"/>
                <w:szCs w:val="28"/>
              </w:rPr>
              <w:t>–</w:t>
            </w:r>
          </w:p>
        </w:tc>
        <w:tc>
          <w:tcPr>
            <w:tcW w:w="696" w:type="pct"/>
            <w:vAlign w:val="center"/>
            <w:hideMark/>
          </w:tcPr>
          <w:p w14:paraId="77529553" w14:textId="77777777" w:rsidR="00126711" w:rsidRPr="00126711" w:rsidRDefault="00126711" w:rsidP="00723DED">
            <w:pPr>
              <w:jc w:val="center"/>
            </w:pPr>
            <w:r w:rsidRPr="00126711">
              <w:rPr>
                <w:sz w:val="28"/>
                <w:szCs w:val="28"/>
              </w:rPr>
              <w:t>–</w:t>
            </w:r>
          </w:p>
        </w:tc>
      </w:tr>
      <w:tr w:rsidR="00126711" w:rsidRPr="00126711" w14:paraId="6F63EE28" w14:textId="77777777" w:rsidTr="00F03CBD">
        <w:trPr>
          <w:jc w:val="center"/>
        </w:trPr>
        <w:tc>
          <w:tcPr>
            <w:tcW w:w="688" w:type="pct"/>
            <w:hideMark/>
          </w:tcPr>
          <w:p w14:paraId="0DC196F2" w14:textId="77777777" w:rsidR="00126711" w:rsidRPr="00126711" w:rsidRDefault="00126711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783" w:type="pct"/>
            <w:hideMark/>
          </w:tcPr>
          <w:p w14:paraId="56C87B02" w14:textId="77777777" w:rsidR="00126711" w:rsidRPr="00126711" w:rsidRDefault="00126711" w:rsidP="00B94E3D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Інше (уточнити), гривень</w:t>
            </w:r>
          </w:p>
          <w:p w14:paraId="6423E54C" w14:textId="1E4F42AD" w:rsidR="00126711" w:rsidRPr="00126711" w:rsidRDefault="00126711" w:rsidP="00B94E3D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 xml:space="preserve">Витрати пов’язані з ознайомленням з нормами регуляторного акта </w:t>
            </w:r>
            <w:r w:rsidR="00607924" w:rsidRPr="00BC5838">
              <w:rPr>
                <w:i/>
              </w:rPr>
              <w:t>(припущено, що суб’єкт витрачатиме час на отримання інформації про вимоги регулювання лише в перший рік)</w:t>
            </w:r>
          </w:p>
        </w:tc>
        <w:tc>
          <w:tcPr>
            <w:tcW w:w="832" w:type="pct"/>
            <w:vAlign w:val="center"/>
            <w:hideMark/>
          </w:tcPr>
          <w:p w14:paraId="50209230" w14:textId="25493972" w:rsidR="00126711" w:rsidRPr="00126711" w:rsidRDefault="006A0308" w:rsidP="00723DED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  <w:r w:rsidR="00B94E3D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696" w:type="pct"/>
            <w:vAlign w:val="center"/>
            <w:hideMark/>
          </w:tcPr>
          <w:p w14:paraId="404463B1" w14:textId="77777777" w:rsidR="00736833" w:rsidRDefault="00736833" w:rsidP="00723DED">
            <w:pPr>
              <w:jc w:val="center"/>
              <w:rPr>
                <w:lang w:val="en-US"/>
              </w:rPr>
            </w:pPr>
          </w:p>
          <w:p w14:paraId="083353D8" w14:textId="4FA2C943" w:rsidR="00126711" w:rsidRPr="00126711" w:rsidRDefault="006A0308" w:rsidP="00723DED">
            <w:pPr>
              <w:jc w:val="center"/>
            </w:pPr>
            <w:r>
              <w:t>52</w:t>
            </w:r>
          </w:p>
          <w:p w14:paraId="34244B27" w14:textId="6223D883" w:rsidR="00126711" w:rsidRPr="00126711" w:rsidRDefault="00126711" w:rsidP="00723DED">
            <w:pPr>
              <w:jc w:val="center"/>
            </w:pPr>
          </w:p>
        </w:tc>
      </w:tr>
      <w:tr w:rsidR="00BB7A11" w:rsidRPr="00126711" w14:paraId="740D9D69" w14:textId="77777777" w:rsidTr="00F03CBD">
        <w:trPr>
          <w:jc w:val="center"/>
        </w:trPr>
        <w:tc>
          <w:tcPr>
            <w:tcW w:w="688" w:type="pct"/>
            <w:hideMark/>
          </w:tcPr>
          <w:p w14:paraId="67B47050" w14:textId="77777777" w:rsidR="00BB7A11" w:rsidRPr="00126711" w:rsidRDefault="00BB7A11" w:rsidP="00BB7A1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783" w:type="pct"/>
            <w:hideMark/>
          </w:tcPr>
          <w:p w14:paraId="1045899A" w14:textId="77777777" w:rsidR="00BB7A11" w:rsidRPr="00126711" w:rsidRDefault="00BB7A11" w:rsidP="00BB7A11">
            <w:pPr>
              <w:spacing w:before="150" w:after="150"/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832" w:type="pct"/>
            <w:vAlign w:val="center"/>
            <w:hideMark/>
          </w:tcPr>
          <w:p w14:paraId="56BC98EF" w14:textId="7ADDE736" w:rsidR="00BB7A11" w:rsidRPr="00126711" w:rsidRDefault="008B2E37" w:rsidP="00BB7A11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t>341</w:t>
            </w:r>
            <w:r w:rsidR="00BB7A11" w:rsidRPr="0076522C">
              <w:t>,1</w:t>
            </w:r>
          </w:p>
        </w:tc>
        <w:tc>
          <w:tcPr>
            <w:tcW w:w="696" w:type="pct"/>
            <w:vAlign w:val="center"/>
            <w:hideMark/>
          </w:tcPr>
          <w:p w14:paraId="1C43E750" w14:textId="4D85CDC9" w:rsidR="00BB7A11" w:rsidRPr="004E6C15" w:rsidRDefault="008B2E37" w:rsidP="008B2E37">
            <w:pPr>
              <w:jc w:val="center"/>
            </w:pPr>
            <w:r>
              <w:t>1</w:t>
            </w:r>
            <w:r w:rsidR="00BB7A11" w:rsidRPr="0076522C">
              <w:t>4</w:t>
            </w:r>
            <w:r>
              <w:t>9</w:t>
            </w:r>
            <w:r w:rsidR="00BB7A11" w:rsidRPr="0076522C">
              <w:t>7,5</w:t>
            </w:r>
          </w:p>
        </w:tc>
      </w:tr>
      <w:tr w:rsidR="00126711" w:rsidRPr="00126711" w14:paraId="65536C3F" w14:textId="77777777" w:rsidTr="00F03CBD">
        <w:trPr>
          <w:trHeight w:val="962"/>
          <w:jc w:val="center"/>
        </w:trPr>
        <w:tc>
          <w:tcPr>
            <w:tcW w:w="688" w:type="pct"/>
            <w:hideMark/>
          </w:tcPr>
          <w:p w14:paraId="495CAB92" w14:textId="77777777" w:rsidR="00126711" w:rsidRPr="00126711" w:rsidRDefault="00126711" w:rsidP="00723DED">
            <w:pPr>
              <w:jc w:val="center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83" w:type="pct"/>
            <w:hideMark/>
          </w:tcPr>
          <w:p w14:paraId="3929CA3C" w14:textId="2A13E2FB" w:rsidR="00126711" w:rsidRPr="00126711" w:rsidRDefault="00126711" w:rsidP="00E35042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Кількість суб’єктів господарювання великого та середнього підприємництва, на яких буд</w:t>
            </w:r>
            <w:r w:rsidR="00E35042">
              <w:rPr>
                <w:rFonts w:eastAsia="Times New Roman"/>
                <w:lang w:eastAsia="ru-RU"/>
              </w:rPr>
              <w:t>е поширено регулювання, одиниць</w:t>
            </w:r>
          </w:p>
        </w:tc>
        <w:tc>
          <w:tcPr>
            <w:tcW w:w="832" w:type="pct"/>
            <w:vAlign w:val="center"/>
            <w:hideMark/>
          </w:tcPr>
          <w:p w14:paraId="1340427C" w14:textId="12E1C7BF" w:rsidR="00126711" w:rsidRPr="00126711" w:rsidRDefault="006A0308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696" w:type="pct"/>
            <w:vAlign w:val="center"/>
            <w:hideMark/>
          </w:tcPr>
          <w:p w14:paraId="23433BA2" w14:textId="60930A10" w:rsidR="00126711" w:rsidRPr="00126711" w:rsidRDefault="006A0308" w:rsidP="00723DE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</w:tr>
      <w:tr w:rsidR="006D53AF" w:rsidRPr="00126711" w14:paraId="77F8657F" w14:textId="77777777" w:rsidTr="00F03CBD">
        <w:trPr>
          <w:jc w:val="center"/>
        </w:trPr>
        <w:tc>
          <w:tcPr>
            <w:tcW w:w="688" w:type="pct"/>
            <w:hideMark/>
          </w:tcPr>
          <w:p w14:paraId="4C6CA825" w14:textId="77777777" w:rsidR="006D53AF" w:rsidRPr="00126711" w:rsidRDefault="006D53AF" w:rsidP="006D53AF">
            <w:pPr>
              <w:jc w:val="center"/>
              <w:rPr>
                <w:rFonts w:eastAsia="Times New Roman"/>
                <w:lang w:eastAsia="ru-RU"/>
              </w:rPr>
            </w:pPr>
            <w:r w:rsidRPr="00BF51C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83" w:type="pct"/>
            <w:hideMark/>
          </w:tcPr>
          <w:p w14:paraId="7F7B658F" w14:textId="77777777" w:rsidR="006D53AF" w:rsidRPr="00126711" w:rsidRDefault="006D53AF" w:rsidP="006D53AF">
            <w:pPr>
              <w:ind w:left="130" w:right="106"/>
              <w:jc w:val="both"/>
              <w:rPr>
                <w:rFonts w:eastAsia="Times New Roman"/>
                <w:lang w:eastAsia="ru-RU"/>
              </w:rPr>
            </w:pPr>
            <w:r w:rsidRPr="00126711">
              <w:rPr>
                <w:rFonts w:eastAsia="Times New Roman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32" w:type="pct"/>
            <w:vAlign w:val="center"/>
            <w:hideMark/>
          </w:tcPr>
          <w:p w14:paraId="1FCEE7BE" w14:textId="38B64CD2" w:rsidR="006D53AF" w:rsidRPr="004E6C15" w:rsidRDefault="008B2E37" w:rsidP="008B2E37">
            <w:pPr>
              <w:jc w:val="center"/>
              <w:rPr>
                <w:rFonts w:eastAsia="Times New Roman"/>
                <w:lang w:eastAsia="ru-RU"/>
              </w:rPr>
            </w:pPr>
            <w:r>
              <w:t>7163,1</w:t>
            </w:r>
          </w:p>
        </w:tc>
        <w:tc>
          <w:tcPr>
            <w:tcW w:w="696" w:type="pct"/>
            <w:vAlign w:val="center"/>
            <w:hideMark/>
          </w:tcPr>
          <w:p w14:paraId="2DA0415D" w14:textId="7E701959" w:rsidR="006D53AF" w:rsidRPr="004E6C15" w:rsidRDefault="008B2E37" w:rsidP="006D53AF">
            <w:pPr>
              <w:jc w:val="center"/>
              <w:rPr>
                <w:rFonts w:eastAsia="Times New Roman"/>
                <w:lang w:eastAsia="ru-RU"/>
              </w:rPr>
            </w:pPr>
            <w:r>
              <w:t>31447</w:t>
            </w:r>
            <w:r w:rsidR="006D53AF" w:rsidRPr="0027697E">
              <w:t>,5</w:t>
            </w:r>
          </w:p>
        </w:tc>
      </w:tr>
    </w:tbl>
    <w:p w14:paraId="229E698E" w14:textId="2665D2A4" w:rsidR="00126711" w:rsidRDefault="00B94E3D" w:rsidP="00126711">
      <w:pPr>
        <w:ind w:firstLine="567"/>
        <w:jc w:val="both"/>
        <w:rPr>
          <w:bCs/>
        </w:rPr>
      </w:pPr>
      <w:r w:rsidRPr="006A0308">
        <w:rPr>
          <w:bCs/>
        </w:rPr>
        <w:t>* Розрахунок середньої заробітної плати по Україні здійснено відповідно до Закону України «Про державний бюджет України на 202</w:t>
      </w:r>
      <w:r w:rsidR="00B20712" w:rsidRPr="006A0308">
        <w:rPr>
          <w:bCs/>
        </w:rPr>
        <w:t>6</w:t>
      </w:r>
      <w:r w:rsidRPr="006A0308">
        <w:rPr>
          <w:bCs/>
        </w:rPr>
        <w:t xml:space="preserve"> рік», яким затверджено розмір мінімальної заробітної плати на 202</w:t>
      </w:r>
      <w:r w:rsidR="00B20712" w:rsidRPr="006A0308">
        <w:rPr>
          <w:bCs/>
        </w:rPr>
        <w:t>6</w:t>
      </w:r>
      <w:r w:rsidRPr="006A0308">
        <w:rPr>
          <w:bCs/>
        </w:rPr>
        <w:t xml:space="preserve"> рік, у місячному розмірі з 1 січня 202</w:t>
      </w:r>
      <w:r w:rsidR="00B20712" w:rsidRPr="006A0308">
        <w:rPr>
          <w:bCs/>
        </w:rPr>
        <w:t>6</w:t>
      </w:r>
      <w:r w:rsidRPr="006A0308">
        <w:rPr>
          <w:bCs/>
        </w:rPr>
        <w:t xml:space="preserve"> року становить 8</w:t>
      </w:r>
      <w:r w:rsidR="00DD00E4" w:rsidRPr="006A0308">
        <w:rPr>
          <w:bCs/>
        </w:rPr>
        <w:t>647</w:t>
      </w:r>
      <w:r w:rsidRPr="006A0308">
        <w:rPr>
          <w:bCs/>
        </w:rPr>
        <w:t xml:space="preserve"> гривень, погодинна – </w:t>
      </w:r>
      <w:r w:rsidR="00DD00E4" w:rsidRPr="006A0308">
        <w:rPr>
          <w:bCs/>
        </w:rPr>
        <w:t>52</w:t>
      </w:r>
      <w:r w:rsidRPr="006A0308">
        <w:rPr>
          <w:bCs/>
        </w:rPr>
        <w:t xml:space="preserve"> гривн</w:t>
      </w:r>
      <w:r w:rsidR="00DD00E4" w:rsidRPr="006A0308">
        <w:rPr>
          <w:bCs/>
        </w:rPr>
        <w:t>і</w:t>
      </w:r>
      <w:r w:rsidRPr="006A0308">
        <w:rPr>
          <w:bCs/>
        </w:rPr>
        <w:t>.</w:t>
      </w:r>
    </w:p>
    <w:p w14:paraId="2B4EB1F3" w14:textId="6C674D9B" w:rsidR="00F03CBD" w:rsidRDefault="00F03CBD" w:rsidP="00126711">
      <w:pPr>
        <w:ind w:firstLine="567"/>
        <w:jc w:val="both"/>
        <w:rPr>
          <w:bCs/>
        </w:rPr>
      </w:pPr>
    </w:p>
    <w:p w14:paraId="52192978" w14:textId="3D266E7B" w:rsidR="00F03CBD" w:rsidRDefault="00F03CBD" w:rsidP="00126711">
      <w:pPr>
        <w:ind w:firstLine="567"/>
        <w:jc w:val="both"/>
        <w:rPr>
          <w:bCs/>
        </w:rPr>
      </w:pPr>
    </w:p>
    <w:p w14:paraId="06692BDF" w14:textId="348D47D8" w:rsidR="00F03CBD" w:rsidRDefault="00F03CBD" w:rsidP="00126711">
      <w:pPr>
        <w:ind w:firstLine="567"/>
        <w:jc w:val="both"/>
        <w:rPr>
          <w:bCs/>
        </w:rPr>
      </w:pPr>
    </w:p>
    <w:p w14:paraId="2B09FF7D" w14:textId="3A4CF082" w:rsidR="00F03CBD" w:rsidRDefault="00F03CBD" w:rsidP="00126711">
      <w:pPr>
        <w:ind w:firstLine="567"/>
        <w:jc w:val="both"/>
        <w:rPr>
          <w:bCs/>
        </w:rPr>
      </w:pPr>
    </w:p>
    <w:p w14:paraId="34B38D02" w14:textId="586E2944" w:rsidR="00F03CBD" w:rsidRDefault="00F03CBD" w:rsidP="00126711">
      <w:pPr>
        <w:ind w:firstLine="567"/>
        <w:jc w:val="both"/>
        <w:rPr>
          <w:bCs/>
        </w:rPr>
      </w:pPr>
    </w:p>
    <w:p w14:paraId="1531FBFC" w14:textId="77777777" w:rsidR="00F03CBD" w:rsidRDefault="00F03CBD" w:rsidP="00126711">
      <w:pPr>
        <w:ind w:firstLine="567"/>
        <w:jc w:val="both"/>
        <w:rPr>
          <w:bCs/>
        </w:rPr>
      </w:pPr>
    </w:p>
    <w:p w14:paraId="7120CCB1" w14:textId="77777777" w:rsidR="009700C0" w:rsidRPr="009700C0" w:rsidRDefault="00506DA3" w:rsidP="00506DA3">
      <w:pPr>
        <w:shd w:val="clear" w:color="auto" w:fill="FFFFFF"/>
        <w:spacing w:after="150"/>
        <w:ind w:left="450" w:right="450"/>
        <w:jc w:val="center"/>
        <w:rPr>
          <w:rFonts w:eastAsia="Times New Roman"/>
          <w:sz w:val="28"/>
          <w:szCs w:val="28"/>
          <w:lang w:eastAsia="ru-RU"/>
        </w:rPr>
      </w:pPr>
      <w:r w:rsidRPr="009700C0">
        <w:rPr>
          <w:rFonts w:eastAsia="Times New Roman"/>
          <w:sz w:val="28"/>
          <w:szCs w:val="28"/>
          <w:lang w:eastAsia="ru-RU"/>
        </w:rPr>
        <w:t>Розрахунок відповідних витрат на одного суб’єкта господарювання</w:t>
      </w:r>
    </w:p>
    <w:tbl>
      <w:tblPr>
        <w:tblStyle w:val="ac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2693"/>
        <w:gridCol w:w="1956"/>
        <w:gridCol w:w="1162"/>
        <w:gridCol w:w="1276"/>
      </w:tblGrid>
      <w:tr w:rsidR="009700C0" w14:paraId="4F1D6246" w14:textId="77777777" w:rsidTr="00F03CBD">
        <w:tc>
          <w:tcPr>
            <w:tcW w:w="2581" w:type="dxa"/>
            <w:vAlign w:val="center"/>
          </w:tcPr>
          <w:p w14:paraId="3BA7A6F9" w14:textId="78B6B022" w:rsidR="009700C0" w:rsidRDefault="009700C0" w:rsidP="001B12C1">
            <w:pPr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2693" w:type="dxa"/>
            <w:vAlign w:val="center"/>
          </w:tcPr>
          <w:p w14:paraId="29BD7FB7" w14:textId="138FF8F9" w:rsidR="009700C0" w:rsidRDefault="009700C0" w:rsidP="001B12C1">
            <w:pPr>
              <w:tabs>
                <w:tab w:val="left" w:pos="1877"/>
                <w:tab w:val="left" w:pos="1910"/>
              </w:tabs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956" w:type="dxa"/>
            <w:vAlign w:val="center"/>
          </w:tcPr>
          <w:p w14:paraId="65D9607A" w14:textId="154F1C3C" w:rsidR="009700C0" w:rsidRDefault="009700C0" w:rsidP="001B12C1">
            <w:pPr>
              <w:tabs>
                <w:tab w:val="left" w:pos="1910"/>
                <w:tab w:val="left" w:pos="2052"/>
              </w:tabs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 xml:space="preserve">Витрати безпосередньо на дозволи, ліцензії, сертифікати, страхові поліси (за рік </w:t>
            </w:r>
            <w:r>
              <w:rPr>
                <w:rFonts w:eastAsia="Times New Roman"/>
                <w:lang w:eastAsia="ru-RU"/>
              </w:rPr>
              <w:t>–</w:t>
            </w:r>
            <w:r w:rsidRPr="00506DA3">
              <w:rPr>
                <w:rFonts w:eastAsia="Times New Roman"/>
                <w:lang w:eastAsia="ru-RU"/>
              </w:rPr>
              <w:t xml:space="preserve"> стартовий)</w:t>
            </w:r>
          </w:p>
        </w:tc>
        <w:tc>
          <w:tcPr>
            <w:tcW w:w="1162" w:type="dxa"/>
            <w:vAlign w:val="center"/>
          </w:tcPr>
          <w:p w14:paraId="5F570FB8" w14:textId="16FAF0FB" w:rsidR="009700C0" w:rsidRDefault="009700C0" w:rsidP="001B12C1">
            <w:pPr>
              <w:tabs>
                <w:tab w:val="left" w:pos="1877"/>
                <w:tab w:val="left" w:pos="1910"/>
              </w:tabs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Разом за рік (стартовий)</w:t>
            </w:r>
          </w:p>
        </w:tc>
        <w:tc>
          <w:tcPr>
            <w:tcW w:w="1276" w:type="dxa"/>
            <w:vAlign w:val="center"/>
          </w:tcPr>
          <w:p w14:paraId="2A02F929" w14:textId="33FB9617" w:rsidR="009700C0" w:rsidRDefault="009700C0" w:rsidP="001B12C1">
            <w:pPr>
              <w:tabs>
                <w:tab w:val="left" w:pos="1877"/>
                <w:tab w:val="left" w:pos="1910"/>
              </w:tabs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9700C0" w14:paraId="3E8531B1" w14:textId="77777777" w:rsidTr="00F03CBD">
        <w:tc>
          <w:tcPr>
            <w:tcW w:w="2581" w:type="dxa"/>
          </w:tcPr>
          <w:p w14:paraId="55B9C014" w14:textId="77777777" w:rsidR="009700C0" w:rsidRPr="004C7C50" w:rsidRDefault="009700C0" w:rsidP="001B12C1">
            <w:pPr>
              <w:ind w:left="142"/>
              <w:jc w:val="both"/>
              <w:rPr>
                <w:rFonts w:eastAsia="Times New Roman"/>
                <w:lang w:eastAsia="ru-RU"/>
              </w:rPr>
            </w:pPr>
            <w:r w:rsidRPr="00BF51C7">
              <w:rPr>
                <w:rFonts w:eastAsia="Times New Roman"/>
                <w:lang w:eastAsia="ru-RU"/>
              </w:rPr>
              <w:t xml:space="preserve">Витрати на отримання адміністративних послуг </w:t>
            </w:r>
          </w:p>
          <w:p w14:paraId="3550031A" w14:textId="2D3E0AF9" w:rsidR="009700C0" w:rsidRDefault="009700C0" w:rsidP="00F03CBD">
            <w:pPr>
              <w:ind w:left="142"/>
              <w:jc w:val="both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BF51C7">
              <w:rPr>
                <w:rFonts w:eastAsia="Times New Roman"/>
                <w:i/>
                <w:lang w:eastAsia="ru-RU"/>
              </w:rPr>
              <w:t>(</w:t>
            </w:r>
            <w:r w:rsidR="008B4146" w:rsidRPr="008B4146">
              <w:rPr>
                <w:rFonts w:eastAsia="Times New Roman"/>
                <w:i/>
                <w:lang w:eastAsia="ru-RU"/>
              </w:rPr>
              <w:t>витрати часу, пов’язані з підготовкою заявки на отримання декларантом тарифної квоти та додаткових документів, що подаватимуться експортером під час експорту до митниці для отримання документу, що підтверджує статус преференційного походження товарів</w:t>
            </w:r>
            <w:r w:rsidR="008B4146">
              <w:rPr>
                <w:rFonts w:eastAsia="Times New Roman"/>
                <w:i/>
                <w:lang w:eastAsia="ru-RU"/>
              </w:rPr>
              <w:t>)</w:t>
            </w:r>
          </w:p>
        </w:tc>
        <w:tc>
          <w:tcPr>
            <w:tcW w:w="2693" w:type="dxa"/>
          </w:tcPr>
          <w:p w14:paraId="5993D6F5" w14:textId="0DF31BB5" w:rsidR="009700C0" w:rsidRDefault="00382B18" w:rsidP="001B12C1">
            <w:pPr>
              <w:jc w:val="both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t>5</w:t>
            </w:r>
            <w:r w:rsidR="009700C0" w:rsidRPr="001A353D">
              <w:t xml:space="preserve"> год (час, який витрачається суб’єктами</w:t>
            </w:r>
            <w:r w:rsidR="009700C0" w:rsidRPr="001A353D">
              <w:rPr>
                <w:lang w:val="ru-RU"/>
              </w:rPr>
              <w:t xml:space="preserve"> на</w:t>
            </w:r>
            <w:r w:rsidR="009700C0" w:rsidRPr="001A353D">
              <w:t xml:space="preserve"> підготовку </w:t>
            </w:r>
            <w:r w:rsidR="008B4146">
              <w:t xml:space="preserve">заявки на отримання тарифної квоти і </w:t>
            </w:r>
            <w:r w:rsidR="009700C0" w:rsidRPr="001A353D">
              <w:t xml:space="preserve">документів, необхідних для отримання </w:t>
            </w:r>
            <w:r>
              <w:t>5</w:t>
            </w:r>
            <w:r w:rsidR="009700C0" w:rsidRPr="001A353D">
              <w:t xml:space="preserve">* </w:t>
            </w:r>
            <w:r w:rsidR="008B4146" w:rsidRPr="008B4146">
              <w:t>документ</w:t>
            </w:r>
            <w:r w:rsidR="008B4146">
              <w:t>ів</w:t>
            </w:r>
            <w:r w:rsidR="008B4146" w:rsidRPr="008B4146">
              <w:t>, що підтверджу</w:t>
            </w:r>
            <w:r w:rsidR="008B4146">
              <w:t>ють</w:t>
            </w:r>
            <w:r w:rsidR="008B4146" w:rsidRPr="008B4146">
              <w:t xml:space="preserve"> статус преференційного походження товарів</w:t>
            </w:r>
            <w:r w:rsidR="009700C0" w:rsidRPr="001A353D">
              <w:t>)</w:t>
            </w:r>
            <w:r w:rsidR="006D53AF">
              <w:t> </w:t>
            </w:r>
            <w:r w:rsidR="009700C0" w:rsidRPr="001A353D">
              <w:t>x</w:t>
            </w:r>
            <w:r w:rsidR="006D53AF">
              <w:t> </w:t>
            </w:r>
            <w:r w:rsidR="008B4146">
              <w:t>52</w:t>
            </w:r>
            <w:r w:rsidR="009700C0" w:rsidRPr="001A353D">
              <w:t xml:space="preserve">** грн = </w:t>
            </w:r>
            <w:r w:rsidR="008B4146">
              <w:t>260</w:t>
            </w:r>
            <w:r w:rsidR="009700C0" w:rsidRPr="001A353D">
              <w:t xml:space="preserve"> грн</w:t>
            </w:r>
          </w:p>
        </w:tc>
        <w:tc>
          <w:tcPr>
            <w:tcW w:w="1956" w:type="dxa"/>
            <w:vAlign w:val="center"/>
          </w:tcPr>
          <w:p w14:paraId="17AA5F08" w14:textId="6ABCF333" w:rsidR="009700C0" w:rsidRDefault="009700C0" w:rsidP="001B12C1">
            <w:pPr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D5D5F">
              <w:t>–</w:t>
            </w:r>
          </w:p>
        </w:tc>
        <w:tc>
          <w:tcPr>
            <w:tcW w:w="1162" w:type="dxa"/>
            <w:vAlign w:val="center"/>
          </w:tcPr>
          <w:p w14:paraId="7E0C6A34" w14:textId="29B60C32" w:rsidR="009700C0" w:rsidRDefault="008B4146" w:rsidP="001B12C1">
            <w:pPr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t>260</w:t>
            </w:r>
          </w:p>
        </w:tc>
        <w:tc>
          <w:tcPr>
            <w:tcW w:w="1276" w:type="dxa"/>
            <w:vAlign w:val="center"/>
          </w:tcPr>
          <w:p w14:paraId="3D5344DA" w14:textId="7CE7E0FD" w:rsidR="009700C0" w:rsidRDefault="008B4146" w:rsidP="001B12C1">
            <w:pPr>
              <w:tabs>
                <w:tab w:val="left" w:pos="1026"/>
                <w:tab w:val="left" w:pos="1060"/>
              </w:tabs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t>1300</w:t>
            </w:r>
          </w:p>
        </w:tc>
      </w:tr>
    </w:tbl>
    <w:p w14:paraId="293C901C" w14:textId="77777777" w:rsidR="001B12C1" w:rsidRDefault="009700C0" w:rsidP="001B12C1">
      <w:pPr>
        <w:shd w:val="clear" w:color="auto" w:fill="FFFFFF"/>
        <w:ind w:right="-143" w:firstLine="567"/>
        <w:jc w:val="both"/>
        <w:rPr>
          <w:rFonts w:eastAsia="Times New Roman"/>
          <w:lang w:eastAsia="ru-RU"/>
        </w:rPr>
      </w:pPr>
      <w:r w:rsidRPr="009700C0">
        <w:rPr>
          <w:rFonts w:eastAsia="Times New Roman"/>
          <w:lang w:eastAsia="ru-RU"/>
        </w:rPr>
        <w:t xml:space="preserve">*Виходячи із загальної кількості </w:t>
      </w:r>
      <w:r w:rsidR="008B4146">
        <w:rPr>
          <w:rFonts w:eastAsia="Times New Roman"/>
          <w:lang w:eastAsia="ru-RU"/>
        </w:rPr>
        <w:t xml:space="preserve"> 95 </w:t>
      </w:r>
      <w:r w:rsidR="008B4146" w:rsidRPr="008B4146">
        <w:rPr>
          <w:rFonts w:eastAsia="Times New Roman"/>
          <w:lang w:eastAsia="ru-RU"/>
        </w:rPr>
        <w:t>документів</w:t>
      </w:r>
      <w:r w:rsidR="001D4825">
        <w:rPr>
          <w:rFonts w:eastAsia="Times New Roman"/>
          <w:lang w:eastAsia="ru-RU"/>
        </w:rPr>
        <w:t>,</w:t>
      </w:r>
      <w:r w:rsidR="001D4825" w:rsidRPr="001D4825">
        <w:rPr>
          <w:rFonts w:eastAsia="Times New Roman"/>
          <w:lang w:eastAsia="ru-RU"/>
        </w:rPr>
        <w:t xml:space="preserve"> </w:t>
      </w:r>
      <w:r w:rsidR="001D4825">
        <w:rPr>
          <w:rFonts w:eastAsia="Times New Roman"/>
          <w:lang w:eastAsia="ru-RU"/>
        </w:rPr>
        <w:t>які</w:t>
      </w:r>
      <w:r w:rsidR="001D4825" w:rsidRPr="008B4146">
        <w:rPr>
          <w:rFonts w:eastAsia="Times New Roman"/>
          <w:lang w:eastAsia="ru-RU"/>
        </w:rPr>
        <w:t xml:space="preserve"> підтверджують статус преференційного походження товарів</w:t>
      </w:r>
      <w:r w:rsidR="008B4146" w:rsidRPr="008B4146">
        <w:rPr>
          <w:rFonts w:eastAsia="Times New Roman"/>
          <w:lang w:eastAsia="ru-RU"/>
        </w:rPr>
        <w:t xml:space="preserve">, </w:t>
      </w:r>
      <w:r w:rsidR="001D4825">
        <w:rPr>
          <w:rFonts w:eastAsia="Times New Roman"/>
          <w:lang w:eastAsia="ru-RU"/>
        </w:rPr>
        <w:t xml:space="preserve">необхідних для отримання тарифної квоти у 2000 тон усіма </w:t>
      </w:r>
      <w:r w:rsidRPr="009700C0">
        <w:rPr>
          <w:rFonts w:eastAsia="Times New Roman"/>
          <w:lang w:eastAsia="ru-RU"/>
        </w:rPr>
        <w:t>суб’єкт</w:t>
      </w:r>
      <w:r w:rsidR="001D4825">
        <w:rPr>
          <w:rFonts w:eastAsia="Times New Roman"/>
          <w:lang w:eastAsia="ru-RU"/>
        </w:rPr>
        <w:t>ам</w:t>
      </w:r>
      <w:r w:rsidRPr="009700C0">
        <w:rPr>
          <w:rFonts w:eastAsia="Times New Roman"/>
          <w:lang w:eastAsia="ru-RU"/>
        </w:rPr>
        <w:t>и господарювання щорічно (</w:t>
      </w:r>
      <w:r w:rsidR="006A0849">
        <w:rPr>
          <w:rFonts w:eastAsia="Times New Roman"/>
          <w:lang w:eastAsia="ru-RU"/>
        </w:rPr>
        <w:t>за основу для підрахунку взято середн</w:t>
      </w:r>
      <w:r w:rsidR="001D4825">
        <w:rPr>
          <w:rFonts w:eastAsia="Times New Roman"/>
          <w:lang w:eastAsia="ru-RU"/>
        </w:rPr>
        <w:t>ю</w:t>
      </w:r>
      <w:r w:rsidR="006A0849">
        <w:rPr>
          <w:rFonts w:eastAsia="Times New Roman"/>
          <w:lang w:eastAsia="ru-RU"/>
        </w:rPr>
        <w:t xml:space="preserve"> ваг</w:t>
      </w:r>
      <w:r w:rsidR="001D4825">
        <w:rPr>
          <w:rFonts w:eastAsia="Times New Roman"/>
          <w:lang w:eastAsia="ru-RU"/>
        </w:rPr>
        <w:t>у</w:t>
      </w:r>
      <w:r w:rsidR="006A0849" w:rsidRPr="006A0849">
        <w:rPr>
          <w:rFonts w:eastAsia="Times New Roman"/>
          <w:lang w:eastAsia="ru-RU"/>
        </w:rPr>
        <w:t xml:space="preserve"> </w:t>
      </w:r>
      <w:r w:rsidR="006A0849">
        <w:rPr>
          <w:rFonts w:eastAsia="Times New Roman"/>
          <w:lang w:eastAsia="ru-RU"/>
        </w:rPr>
        <w:t>21,15 т у 2024-2025рр. однієї поставки (партії)</w:t>
      </w:r>
      <w:r w:rsidR="001D4825">
        <w:rPr>
          <w:rFonts w:eastAsia="Times New Roman"/>
          <w:lang w:eastAsia="ru-RU"/>
        </w:rPr>
        <w:t xml:space="preserve"> </w:t>
      </w:r>
      <w:r w:rsidR="006D53AF">
        <w:rPr>
          <w:rFonts w:eastAsia="Times New Roman"/>
          <w:lang w:eastAsia="ru-RU"/>
        </w:rPr>
        <w:t xml:space="preserve">такого ж </w:t>
      </w:r>
      <w:r w:rsidR="001D4825">
        <w:rPr>
          <w:rFonts w:eastAsia="Times New Roman"/>
          <w:lang w:eastAsia="ru-RU"/>
        </w:rPr>
        <w:t>товару</w:t>
      </w:r>
      <w:r w:rsidR="006D53AF">
        <w:rPr>
          <w:rFonts w:eastAsia="Times New Roman"/>
          <w:lang w:eastAsia="ru-RU"/>
        </w:rPr>
        <w:t>, який підпадатиме під експортну тарифну квоту</w:t>
      </w:r>
      <w:r w:rsidR="001D4825">
        <w:rPr>
          <w:rFonts w:eastAsia="Times New Roman"/>
          <w:lang w:eastAsia="ru-RU"/>
        </w:rPr>
        <w:t>).</w:t>
      </w:r>
    </w:p>
    <w:p w14:paraId="4CA89C4B" w14:textId="174EF10F" w:rsidR="00506DA3" w:rsidRDefault="009700C0" w:rsidP="00F65EC8">
      <w:pPr>
        <w:widowControl w:val="0"/>
        <w:shd w:val="clear" w:color="auto" w:fill="FFFFFF"/>
        <w:ind w:right="-143" w:firstLine="567"/>
        <w:jc w:val="both"/>
        <w:rPr>
          <w:rFonts w:eastAsia="Times New Roman"/>
          <w:lang w:eastAsia="ru-RU"/>
        </w:rPr>
      </w:pPr>
      <w:r w:rsidRPr="009700C0">
        <w:rPr>
          <w:rFonts w:eastAsia="Times New Roman"/>
          <w:lang w:eastAsia="ru-RU"/>
        </w:rPr>
        <w:t>**Розрахунок середньої заробітної плати по Україні здійснено відповідно до Закону України «Про державний бюджет України на 202</w:t>
      </w:r>
      <w:r w:rsidR="001D4825">
        <w:rPr>
          <w:rFonts w:eastAsia="Times New Roman"/>
          <w:lang w:eastAsia="ru-RU"/>
        </w:rPr>
        <w:t>6</w:t>
      </w:r>
      <w:r w:rsidRPr="009700C0">
        <w:rPr>
          <w:rFonts w:eastAsia="Times New Roman"/>
          <w:lang w:eastAsia="ru-RU"/>
        </w:rPr>
        <w:t xml:space="preserve"> рік», яким затверджено розмір мінімальної заробітної плати на 202</w:t>
      </w:r>
      <w:r w:rsidR="001D4825">
        <w:rPr>
          <w:rFonts w:eastAsia="Times New Roman"/>
          <w:lang w:eastAsia="ru-RU"/>
        </w:rPr>
        <w:t>6</w:t>
      </w:r>
      <w:r w:rsidRPr="009700C0">
        <w:rPr>
          <w:rFonts w:eastAsia="Times New Roman"/>
          <w:lang w:eastAsia="ru-RU"/>
        </w:rPr>
        <w:t xml:space="preserve"> рік, у місячному розмірі з 1 січня 202</w:t>
      </w:r>
      <w:r w:rsidR="001D4825">
        <w:rPr>
          <w:rFonts w:eastAsia="Times New Roman"/>
          <w:lang w:eastAsia="ru-RU"/>
        </w:rPr>
        <w:t>6</w:t>
      </w:r>
      <w:r w:rsidRPr="009700C0">
        <w:rPr>
          <w:rFonts w:eastAsia="Times New Roman"/>
          <w:lang w:eastAsia="ru-RU"/>
        </w:rPr>
        <w:t xml:space="preserve"> року становить </w:t>
      </w:r>
      <w:r w:rsidR="001D4825">
        <w:rPr>
          <w:rFonts w:eastAsia="Times New Roman"/>
          <w:lang w:eastAsia="ru-RU"/>
        </w:rPr>
        <w:t>8647</w:t>
      </w:r>
      <w:r w:rsidRPr="009700C0">
        <w:rPr>
          <w:rFonts w:eastAsia="Times New Roman"/>
          <w:lang w:eastAsia="ru-RU"/>
        </w:rPr>
        <w:t xml:space="preserve"> гривень, погодинна – </w:t>
      </w:r>
      <w:r w:rsidR="001D4825">
        <w:rPr>
          <w:rFonts w:eastAsia="Times New Roman"/>
          <w:lang w:eastAsia="ru-RU"/>
        </w:rPr>
        <w:t>52</w:t>
      </w:r>
      <w:r w:rsidRPr="009700C0">
        <w:rPr>
          <w:rFonts w:eastAsia="Times New Roman"/>
          <w:lang w:eastAsia="ru-RU"/>
        </w:rPr>
        <w:t>,0 гривень.</w:t>
      </w:r>
    </w:p>
    <w:p w14:paraId="4A8298A7" w14:textId="77777777" w:rsidR="00F03CBD" w:rsidRDefault="00F03CBD" w:rsidP="00F65EC8">
      <w:pPr>
        <w:widowControl w:val="0"/>
        <w:shd w:val="clear" w:color="auto" w:fill="FFFFFF"/>
        <w:ind w:right="-143" w:firstLine="567"/>
        <w:jc w:val="both"/>
        <w:rPr>
          <w:rFonts w:eastAsia="Times New Roman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950"/>
        <w:gridCol w:w="1133"/>
        <w:gridCol w:w="1563"/>
        <w:gridCol w:w="988"/>
      </w:tblGrid>
      <w:tr w:rsidR="009A66A3" w:rsidRPr="001B12C1" w14:paraId="5B41CDAA" w14:textId="77777777" w:rsidTr="00F03CBD">
        <w:tc>
          <w:tcPr>
            <w:tcW w:w="308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796CC7" w14:textId="77777777" w:rsidR="00506DA3" w:rsidRPr="001B12C1" w:rsidRDefault="00506DA3" w:rsidP="00F65EC8">
            <w:pPr>
              <w:widowControl w:val="0"/>
              <w:spacing w:before="150" w:after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bookmarkStart w:id="0" w:name="n180"/>
            <w:bookmarkStart w:id="1" w:name="n185"/>
            <w:bookmarkStart w:id="2" w:name="n186"/>
            <w:bookmarkStart w:id="3" w:name="n187"/>
            <w:bookmarkEnd w:id="0"/>
            <w:bookmarkEnd w:id="1"/>
            <w:bookmarkEnd w:id="2"/>
            <w:bookmarkEnd w:id="3"/>
            <w:r w:rsidRPr="001B12C1">
              <w:rPr>
                <w:rFonts w:eastAsia="Times New Roman"/>
                <w:sz w:val="22"/>
                <w:szCs w:val="22"/>
                <w:lang w:eastAsia="ru-RU"/>
              </w:rPr>
              <w:t>Вид витрат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4EC238" w14:textId="77777777" w:rsidR="00506DA3" w:rsidRPr="001B12C1" w:rsidRDefault="00506DA3" w:rsidP="00F65EC8">
            <w:pPr>
              <w:widowControl w:val="0"/>
              <w:spacing w:before="150" w:after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2C1">
              <w:rPr>
                <w:rFonts w:eastAsia="Times New Roman"/>
                <w:sz w:val="22"/>
                <w:szCs w:val="22"/>
                <w:lang w:eastAsia="ru-RU"/>
              </w:rPr>
              <w:t>За рік (стартовий)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7DB377" w14:textId="77777777" w:rsidR="00506DA3" w:rsidRPr="001B12C1" w:rsidRDefault="00506DA3" w:rsidP="00F65EC8">
            <w:pPr>
              <w:widowControl w:val="0"/>
              <w:spacing w:before="150" w:after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2C1">
              <w:rPr>
                <w:rFonts w:eastAsia="Times New Roman"/>
                <w:sz w:val="22"/>
                <w:szCs w:val="22"/>
                <w:lang w:eastAsia="ru-RU"/>
              </w:rPr>
              <w:t>Періодичні</w:t>
            </w:r>
            <w:r w:rsidRPr="001B12C1">
              <w:rPr>
                <w:rFonts w:eastAsia="Times New Roman"/>
                <w:sz w:val="22"/>
                <w:szCs w:val="22"/>
                <w:lang w:eastAsia="ru-RU"/>
              </w:rPr>
              <w:br/>
              <w:t>(за наступний рік)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5A9CE5" w14:textId="77777777" w:rsidR="00506DA3" w:rsidRPr="001B12C1" w:rsidRDefault="00506DA3" w:rsidP="00F65EC8">
            <w:pPr>
              <w:widowControl w:val="0"/>
              <w:spacing w:before="150" w:after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B12C1">
              <w:rPr>
                <w:rFonts w:eastAsia="Times New Roman"/>
                <w:sz w:val="22"/>
                <w:szCs w:val="22"/>
                <w:lang w:eastAsia="ru-RU"/>
              </w:rPr>
              <w:t>Витрати за п’ять років</w:t>
            </w:r>
          </w:p>
        </w:tc>
      </w:tr>
      <w:tr w:rsidR="007B3358" w:rsidRPr="00506DA3" w14:paraId="344D8BBA" w14:textId="77777777" w:rsidTr="00F03CBD"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A61" w14:textId="156A1855" w:rsidR="007B3358" w:rsidRDefault="007B3358" w:rsidP="00F65EC8">
            <w:pPr>
              <w:widowControl w:val="0"/>
              <w:ind w:left="142"/>
              <w:jc w:val="both"/>
              <w:rPr>
                <w:rFonts w:eastAsia="Times New Roman"/>
                <w:lang w:eastAsia="ru-RU"/>
              </w:rPr>
            </w:pPr>
            <w:r w:rsidRPr="00506DA3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</w:t>
            </w:r>
            <w:r>
              <w:rPr>
                <w:rFonts w:eastAsia="Times New Roman"/>
                <w:lang w:eastAsia="ru-RU"/>
              </w:rPr>
              <w:t xml:space="preserve">, гривень </w:t>
            </w:r>
          </w:p>
          <w:p w14:paraId="067BCFBF" w14:textId="0DABA917" w:rsidR="007B3358" w:rsidRPr="00D37839" w:rsidRDefault="007B3358" w:rsidP="00F03CBD">
            <w:pPr>
              <w:widowControl w:val="0"/>
              <w:ind w:left="142" w:right="39"/>
              <w:jc w:val="both"/>
              <w:rPr>
                <w:i/>
              </w:rPr>
            </w:pPr>
            <w:r w:rsidRPr="00D37839">
              <w:rPr>
                <w:rFonts w:eastAsia="Times New Roman"/>
                <w:lang w:eastAsia="ru-RU"/>
              </w:rPr>
              <w:t>(</w:t>
            </w:r>
            <w:r w:rsidRPr="007B3358">
              <w:rPr>
                <w:rFonts w:eastAsia="Times New Roman"/>
                <w:i/>
                <w:lang w:eastAsia="ru-RU"/>
              </w:rPr>
              <w:t xml:space="preserve">витрати пов’язані </w:t>
            </w:r>
            <w:r w:rsidR="00011B17">
              <w:rPr>
                <w:rFonts w:eastAsia="Times New Roman"/>
                <w:i/>
                <w:lang w:eastAsia="ru-RU"/>
              </w:rPr>
              <w:t xml:space="preserve">із закупівлею витратних матеріалів (офсетний папір, тонер для картриджа) для </w:t>
            </w:r>
            <w:r w:rsidRPr="007B3358">
              <w:rPr>
                <w:rFonts w:eastAsia="Times New Roman"/>
                <w:i/>
                <w:lang w:eastAsia="ru-RU"/>
              </w:rPr>
              <w:lastRenderedPageBreak/>
              <w:t>підготовк</w:t>
            </w:r>
            <w:r w:rsidR="00011B17">
              <w:rPr>
                <w:rFonts w:eastAsia="Times New Roman"/>
                <w:i/>
                <w:lang w:eastAsia="ru-RU"/>
              </w:rPr>
              <w:t>и</w:t>
            </w:r>
            <w:r w:rsidRPr="007B3358">
              <w:rPr>
                <w:rFonts w:eastAsia="Times New Roman"/>
                <w:i/>
                <w:lang w:eastAsia="ru-RU"/>
              </w:rPr>
              <w:t xml:space="preserve"> заявки на отримання </w:t>
            </w:r>
            <w:r w:rsidR="00011B17">
              <w:rPr>
                <w:rFonts w:eastAsia="Times New Roman"/>
                <w:i/>
                <w:lang w:eastAsia="ru-RU"/>
              </w:rPr>
              <w:t>експортером</w:t>
            </w:r>
            <w:r w:rsidRPr="007B3358">
              <w:rPr>
                <w:rFonts w:eastAsia="Times New Roman"/>
                <w:i/>
                <w:lang w:eastAsia="ru-RU"/>
              </w:rPr>
              <w:t xml:space="preserve"> тарифної квоти та додаткових документів, що подаватимуться під час експорту до митниці для отримання документу, що підтверджує статус преференційного походження товарів</w:t>
            </w:r>
            <w:r w:rsidRPr="00D37839">
              <w:rPr>
                <w:rFonts w:eastAsia="Times New Roman"/>
                <w:i/>
                <w:lang w:eastAsia="ru-RU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856A" w14:textId="7102B666" w:rsidR="007B3358" w:rsidRPr="009D5D5F" w:rsidRDefault="007B3358" w:rsidP="00F65EC8">
            <w:pPr>
              <w:widowControl w:val="0"/>
              <w:ind w:left="142" w:right="173"/>
              <w:jc w:val="center"/>
            </w:pPr>
            <w:r>
              <w:lastRenderedPageBreak/>
              <w:t>29,</w:t>
            </w:r>
            <w:r w:rsidR="00EF0AC0">
              <w:t>1</w:t>
            </w:r>
            <w:r w:rsidRPr="005D5FF2">
              <w:t>*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C1C" w14:textId="14FE1DE1" w:rsidR="007B3358" w:rsidRPr="007B3358" w:rsidRDefault="007B3358" w:rsidP="00F65EC8">
            <w:pPr>
              <w:widowControl w:val="0"/>
              <w:ind w:left="142"/>
              <w:jc w:val="center"/>
            </w:pPr>
            <w:r w:rsidRPr="0013255B">
              <w:t>29,</w:t>
            </w:r>
            <w:r w:rsidR="00EF0AC0"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D9AC" w14:textId="14634117" w:rsidR="007B3358" w:rsidRPr="007B3358" w:rsidRDefault="007B3358" w:rsidP="00F65EC8">
            <w:pPr>
              <w:widowControl w:val="0"/>
              <w:ind w:left="142"/>
              <w:jc w:val="center"/>
            </w:pPr>
            <w:r w:rsidRPr="0013255B">
              <w:t>145</w:t>
            </w:r>
            <w:r w:rsidR="00EF0AC0">
              <w:t>,5</w:t>
            </w:r>
          </w:p>
        </w:tc>
      </w:tr>
    </w:tbl>
    <w:p w14:paraId="144DAEFB" w14:textId="06AC940E" w:rsidR="00F65EC8" w:rsidRDefault="00F65EC8" w:rsidP="00F65EC8">
      <w:pPr>
        <w:shd w:val="clear" w:color="auto" w:fill="FFFFFF"/>
        <w:spacing w:before="150" w:after="150"/>
        <w:jc w:val="both"/>
        <w:rPr>
          <w:rFonts w:eastAsia="Times New Roman"/>
          <w:bCs/>
          <w:szCs w:val="28"/>
        </w:rPr>
      </w:pPr>
      <w:bookmarkStart w:id="4" w:name="n188"/>
      <w:bookmarkEnd w:id="4"/>
      <w:r>
        <w:rPr>
          <w:rFonts w:eastAsia="Times New Roman"/>
          <w:lang w:eastAsia="ru-RU"/>
        </w:rPr>
        <w:t xml:space="preserve">*4,81 грн (вартість 20 аркушів паперу на один документів, що підтверджує статус преференційного походження товарів, виходячи з вартості 1 пачки паперу 500 </w:t>
      </w:r>
      <w:proofErr w:type="spellStart"/>
      <w:r>
        <w:rPr>
          <w:rFonts w:eastAsia="Times New Roman"/>
          <w:lang w:eastAsia="ru-RU"/>
        </w:rPr>
        <w:t>арк</w:t>
      </w:r>
      <w:proofErr w:type="spellEnd"/>
      <w:r>
        <w:rPr>
          <w:rFonts w:eastAsia="Times New Roman"/>
          <w:lang w:eastAsia="ru-RU"/>
        </w:rPr>
        <w:t>. 120,45 грн) x 5 (кількість документів, що підтверджують статус преференційного походження товарів необхідних щорічно одному суб’єкту господарювання) + 5 грн (вартість витрат тонера у картриджі для друку 100 аркушів паперу, виходячи з вартості картриджа 500 грн). Вихідні дані для розрахунків (вартість паперу та картриджу) отримані на сайті: (</w:t>
      </w:r>
      <w:hyperlink w:history="1">
        <w:r>
          <w:t>https://bi.prozorro.org/sense/app/ec65fa69-14a5-4337-b907-23682ef09702/sheet/6a7ce1a3-738f-493b-bb07-daca9128794b/state/analysis</w:t>
        </w:r>
      </w:hyperlink>
      <w:r>
        <w:rPr>
          <w:rFonts w:eastAsia="Times New Roman"/>
          <w:lang w:eastAsia="ru-RU"/>
        </w:rPr>
        <w:t>)</w:t>
      </w:r>
    </w:p>
    <w:p w14:paraId="50E40430" w14:textId="77777777" w:rsidR="00F65EC8" w:rsidRDefault="00F65EC8">
      <w:pPr>
        <w:spacing w:after="200" w:line="276" w:lineRule="auto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br w:type="page"/>
      </w:r>
    </w:p>
    <w:p w14:paraId="7BF60D64" w14:textId="4DC20994" w:rsidR="00F65EC8" w:rsidRDefault="00F65EC8" w:rsidP="00F65EC8">
      <w:pPr>
        <w:ind w:left="6096"/>
        <w:jc w:val="right"/>
        <w:rPr>
          <w:rFonts w:eastAsia="Times New Roman"/>
          <w:bCs/>
          <w:szCs w:val="28"/>
        </w:rPr>
      </w:pPr>
      <w:r w:rsidRPr="00D043E0">
        <w:rPr>
          <w:rFonts w:eastAsia="Times New Roman"/>
          <w:bCs/>
          <w:szCs w:val="28"/>
        </w:rPr>
        <w:lastRenderedPageBreak/>
        <w:t xml:space="preserve">Додаток </w:t>
      </w:r>
      <w:r w:rsidR="00E44CA1">
        <w:rPr>
          <w:rFonts w:eastAsia="Times New Roman"/>
          <w:bCs/>
          <w:szCs w:val="28"/>
          <w:lang w:val="en-US"/>
        </w:rPr>
        <w:t>2</w:t>
      </w:r>
      <w:r w:rsidRPr="00F65EC8">
        <w:rPr>
          <w:rFonts w:eastAsia="Times New Roman"/>
          <w:bCs/>
          <w:szCs w:val="28"/>
        </w:rPr>
        <w:t xml:space="preserve"> </w:t>
      </w:r>
    </w:p>
    <w:p w14:paraId="1957700D" w14:textId="30A318AA" w:rsidR="00F65EC8" w:rsidRDefault="00F65EC8" w:rsidP="00F65EC8">
      <w:pPr>
        <w:ind w:left="6096"/>
        <w:jc w:val="right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до аналізу регуляторного впливу</w:t>
      </w:r>
    </w:p>
    <w:p w14:paraId="4966F5C5" w14:textId="1094CD2A" w:rsidR="00C81928" w:rsidRPr="00C81928" w:rsidRDefault="00C81928" w:rsidP="00C81928">
      <w:pPr>
        <w:shd w:val="clear" w:color="auto" w:fill="FFFFFF"/>
        <w:spacing w:before="150" w:after="150"/>
        <w:jc w:val="center"/>
        <w:rPr>
          <w:rFonts w:eastAsia="Times New Roman"/>
          <w:lang w:eastAsia="ru-RU"/>
        </w:rPr>
      </w:pPr>
      <w:r w:rsidRPr="00C81928">
        <w:rPr>
          <w:rFonts w:eastAsia="Times New Roman"/>
          <w:b/>
          <w:bCs/>
          <w:sz w:val="28"/>
          <w:szCs w:val="28"/>
          <w:lang w:eastAsia="ru-RU"/>
        </w:rPr>
        <w:t>ТЕСТ</w:t>
      </w:r>
      <w:r w:rsidRPr="00C81928">
        <w:rPr>
          <w:rFonts w:eastAsia="Times New Roman"/>
          <w:lang w:eastAsia="ru-RU"/>
        </w:rPr>
        <w:br/>
      </w:r>
      <w:r w:rsidRPr="00C81928">
        <w:rPr>
          <w:rFonts w:eastAsia="Times New Roman"/>
          <w:b/>
          <w:bCs/>
          <w:sz w:val="28"/>
          <w:szCs w:val="28"/>
          <w:lang w:eastAsia="ru-RU"/>
        </w:rPr>
        <w:t>малого підприємництва (М-Тест)</w:t>
      </w:r>
    </w:p>
    <w:p w14:paraId="0DEF6415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bookmarkStart w:id="5" w:name="n200"/>
      <w:bookmarkEnd w:id="5"/>
      <w:r w:rsidRPr="00C81928">
        <w:rPr>
          <w:rFonts w:eastAsia="Times New Roman"/>
          <w:b/>
          <w:sz w:val="28"/>
          <w:szCs w:val="28"/>
          <w:lang w:eastAsia="ru-RU"/>
        </w:rPr>
        <w:t>1. Консультації з представниками мікро- та малого підприємництва щодо оцінки впливу регулювання</w:t>
      </w:r>
    </w:p>
    <w:p w14:paraId="33DF211E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6" w:name="n201"/>
      <w:bookmarkEnd w:id="6"/>
      <w:r w:rsidRPr="00C81928">
        <w:rPr>
          <w:rFonts w:eastAsia="Times New Roman"/>
          <w:sz w:val="28"/>
          <w:szCs w:val="28"/>
          <w:lang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0"/>
        <w:gridCol w:w="3833"/>
        <w:gridCol w:w="1866"/>
        <w:gridCol w:w="2259"/>
      </w:tblGrid>
      <w:tr w:rsidR="00C81928" w:rsidRPr="00C81928" w14:paraId="0B88B9F9" w14:textId="77777777" w:rsidTr="00EA0B32">
        <w:trPr>
          <w:jc w:val="center"/>
        </w:trPr>
        <w:tc>
          <w:tcPr>
            <w:tcW w:w="850" w:type="pct"/>
            <w:hideMark/>
          </w:tcPr>
          <w:p w14:paraId="12064B2D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bookmarkStart w:id="7" w:name="n202"/>
            <w:bookmarkEnd w:id="7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1950" w:type="pct"/>
            <w:hideMark/>
          </w:tcPr>
          <w:p w14:paraId="167EB792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50" w:type="pct"/>
            <w:hideMark/>
          </w:tcPr>
          <w:p w14:paraId="165514B0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Кількість учасників консультацій, осіб</w:t>
            </w:r>
          </w:p>
        </w:tc>
        <w:tc>
          <w:tcPr>
            <w:tcW w:w="1150" w:type="pct"/>
            <w:hideMark/>
          </w:tcPr>
          <w:p w14:paraId="590763B3" w14:textId="77777777" w:rsidR="00C81928" w:rsidRPr="00C81928" w:rsidRDefault="00C81928" w:rsidP="00C81928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Основні результати консультацій (опис)</w:t>
            </w:r>
          </w:p>
        </w:tc>
      </w:tr>
      <w:tr w:rsidR="00C81928" w:rsidRPr="00C81928" w14:paraId="7613B522" w14:textId="77777777" w:rsidTr="00EA0B32">
        <w:trPr>
          <w:trHeight w:val="1615"/>
          <w:jc w:val="center"/>
        </w:trPr>
        <w:tc>
          <w:tcPr>
            <w:tcW w:w="850" w:type="pct"/>
          </w:tcPr>
          <w:p w14:paraId="1753472C" w14:textId="77777777" w:rsidR="00C81928" w:rsidRPr="00C81928" w:rsidRDefault="00C81928" w:rsidP="00C81928">
            <w:pPr>
              <w:spacing w:before="150" w:after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1950" w:type="pct"/>
          </w:tcPr>
          <w:p w14:paraId="70DE21EC" w14:textId="77777777" w:rsidR="00C81928" w:rsidRPr="00C81928" w:rsidRDefault="00C81928" w:rsidP="00C81928">
            <w:pPr>
              <w:spacing w:before="150" w:after="150"/>
              <w:ind w:left="186" w:right="189"/>
              <w:jc w:val="both"/>
              <w:rPr>
                <w:rFonts w:eastAsia="Times New Roman"/>
                <w:lang w:val="ru-RU"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Проєкт </w:t>
            </w:r>
            <w:bookmarkStart w:id="8" w:name="_GoBack"/>
            <w:r w:rsidRPr="00C81928">
              <w:rPr>
                <w:rFonts w:eastAsia="Times New Roman"/>
                <w:lang w:eastAsia="ru-RU"/>
              </w:rPr>
              <w:t>наказ</w:t>
            </w:r>
            <w:bookmarkEnd w:id="8"/>
            <w:r w:rsidRPr="00C81928">
              <w:rPr>
                <w:rFonts w:eastAsia="Times New Roman"/>
                <w:lang w:eastAsia="ru-RU"/>
              </w:rPr>
              <w:t xml:space="preserve">у оприлюднено для громадського обговорення на офіційному </w:t>
            </w:r>
            <w:proofErr w:type="spellStart"/>
            <w:r w:rsidRPr="00C81928">
              <w:rPr>
                <w:rFonts w:eastAsia="Times New Roman"/>
                <w:lang w:eastAsia="ru-RU"/>
              </w:rPr>
              <w:t>вебсайті</w:t>
            </w:r>
            <w:proofErr w:type="spellEnd"/>
            <w:r w:rsidRPr="00C81928">
              <w:rPr>
                <w:rFonts w:eastAsia="Times New Roman"/>
                <w:lang w:eastAsia="ru-RU"/>
              </w:rPr>
              <w:t xml:space="preserve"> Міністерства фінансів України (</w:t>
            </w:r>
            <w:r w:rsidRPr="00C81928">
              <w:rPr>
                <w:rFonts w:eastAsia="Times New Roman"/>
                <w:lang w:val="en-US" w:eastAsia="ru-RU"/>
              </w:rPr>
              <w:t>www</w:t>
            </w:r>
            <w:r w:rsidRPr="00C81928">
              <w:rPr>
                <w:rFonts w:eastAsia="Times New Roman"/>
                <w:lang w:val="ru-RU" w:eastAsia="ru-RU"/>
              </w:rPr>
              <w:t>.</w:t>
            </w:r>
            <w:proofErr w:type="spellStart"/>
            <w:r w:rsidRPr="00C81928">
              <w:rPr>
                <w:rFonts w:eastAsia="Times New Roman"/>
                <w:lang w:val="en-GB" w:eastAsia="ru-RU"/>
              </w:rPr>
              <w:t>minfin</w:t>
            </w:r>
            <w:proofErr w:type="spellEnd"/>
            <w:r w:rsidRPr="00C81928">
              <w:rPr>
                <w:rFonts w:eastAsia="Times New Roman"/>
                <w:lang w:val="ru-RU" w:eastAsia="ru-RU"/>
              </w:rPr>
              <w:t>.</w:t>
            </w:r>
            <w:r w:rsidRPr="00C81928">
              <w:rPr>
                <w:rFonts w:eastAsia="Times New Roman"/>
                <w:lang w:val="en-GB" w:eastAsia="ru-RU"/>
              </w:rPr>
              <w:t>gov</w:t>
            </w:r>
            <w:r w:rsidRPr="00C81928">
              <w:rPr>
                <w:rFonts w:eastAsia="Times New Roman"/>
                <w:lang w:val="ru-RU" w:eastAsia="ru-RU"/>
              </w:rPr>
              <w:t>.</w:t>
            </w:r>
            <w:proofErr w:type="spellStart"/>
            <w:r w:rsidRPr="00C81928">
              <w:rPr>
                <w:rFonts w:eastAsia="Times New Roman"/>
                <w:lang w:val="en-GB" w:eastAsia="ru-RU"/>
              </w:rPr>
              <w:t>ua</w:t>
            </w:r>
            <w:proofErr w:type="spellEnd"/>
            <w:r w:rsidRPr="00C81928">
              <w:rPr>
                <w:rFonts w:eastAsia="Times New Roman"/>
                <w:lang w:val="ru-RU" w:eastAsia="ru-RU"/>
              </w:rPr>
              <w:t>)</w:t>
            </w:r>
          </w:p>
        </w:tc>
        <w:tc>
          <w:tcPr>
            <w:tcW w:w="950" w:type="pct"/>
          </w:tcPr>
          <w:p w14:paraId="14C84AC1" w14:textId="77777777" w:rsidR="00C81928" w:rsidRPr="00C81928" w:rsidRDefault="00C81928" w:rsidP="00C81928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14:paraId="62E896DE" w14:textId="77777777" w:rsidR="00C81928" w:rsidRPr="00C81928" w:rsidRDefault="00C81928" w:rsidP="00C81928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ru-RU" w:eastAsia="en-US"/>
              </w:rPr>
            </w:pPr>
          </w:p>
          <w:p w14:paraId="0FF0AACD" w14:textId="745913E4" w:rsidR="00C81928" w:rsidRPr="00C81928" w:rsidRDefault="00627DEE" w:rsidP="00C81928">
            <w:pPr>
              <w:jc w:val="center"/>
              <w:rPr>
                <w:rFonts w:eastAsia="Times New Roman"/>
                <w:lang w:eastAsia="ru-RU"/>
              </w:rPr>
            </w:pPr>
            <w:r w:rsidRPr="00506DA3">
              <w:rPr>
                <w:sz w:val="28"/>
                <w:szCs w:val="28"/>
              </w:rPr>
              <w:t>–</w:t>
            </w:r>
          </w:p>
        </w:tc>
        <w:tc>
          <w:tcPr>
            <w:tcW w:w="1150" w:type="pct"/>
          </w:tcPr>
          <w:p w14:paraId="1ED54062" w14:textId="77777777" w:rsidR="00C81928" w:rsidRPr="00C81928" w:rsidRDefault="00C81928" w:rsidP="00C81928">
            <w:pPr>
              <w:spacing w:before="150" w:after="150"/>
              <w:jc w:val="both"/>
              <w:rPr>
                <w:rFonts w:eastAsia="Times New Roman"/>
                <w:highlight w:val="yellow"/>
                <w:lang w:eastAsia="ru-RU"/>
              </w:rPr>
            </w:pPr>
          </w:p>
        </w:tc>
      </w:tr>
    </w:tbl>
    <w:p w14:paraId="6D18C8C4" w14:textId="77777777" w:rsidR="00341072" w:rsidRDefault="00341072" w:rsidP="00C81928">
      <w:pPr>
        <w:shd w:val="clear" w:color="auto" w:fill="FFFFFF"/>
        <w:spacing w:after="150"/>
        <w:ind w:firstLine="450"/>
        <w:jc w:val="both"/>
        <w:rPr>
          <w:rFonts w:eastAsia="Times New Roman"/>
          <w:b/>
          <w:sz w:val="28"/>
          <w:szCs w:val="28"/>
          <w:lang w:eastAsia="ru-RU"/>
        </w:rPr>
      </w:pPr>
      <w:bookmarkStart w:id="9" w:name="n203"/>
      <w:bookmarkEnd w:id="9"/>
    </w:p>
    <w:p w14:paraId="6ADB0B4D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2. Вимірювання впливу регулювання на суб’єктів малого підприємництва (мікро- та малі):</w:t>
      </w:r>
    </w:p>
    <w:p w14:paraId="704D6BCD" w14:textId="260CDD04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10" w:name="n204"/>
      <w:bookmarkEnd w:id="10"/>
      <w:r w:rsidRPr="00C81928">
        <w:rPr>
          <w:rFonts w:eastAsia="Times New Roman"/>
          <w:sz w:val="28"/>
          <w:szCs w:val="28"/>
          <w:lang w:eastAsia="ru-RU"/>
        </w:rPr>
        <w:t xml:space="preserve">кількість суб’єктів малого підприємництва, на яких поширюється регулювання: </w:t>
      </w:r>
      <w:r w:rsidR="006D53AF">
        <w:rPr>
          <w:rFonts w:eastAsia="Times New Roman"/>
          <w:sz w:val="28"/>
          <w:szCs w:val="28"/>
          <w:lang w:eastAsia="ru-RU"/>
        </w:rPr>
        <w:t>19</w:t>
      </w:r>
      <w:r w:rsidRPr="00C81928">
        <w:rPr>
          <w:rFonts w:eastAsia="Times New Roman"/>
          <w:sz w:val="28"/>
          <w:szCs w:val="28"/>
          <w:lang w:eastAsia="ru-RU"/>
        </w:rPr>
        <w:t xml:space="preserve"> одиниць, у тому числі малого підприємництва </w:t>
      </w:r>
      <w:r w:rsidR="006D53AF">
        <w:rPr>
          <w:rFonts w:eastAsia="Times New Roman"/>
          <w:sz w:val="28"/>
          <w:szCs w:val="28"/>
          <w:lang w:eastAsia="ru-RU"/>
        </w:rPr>
        <w:t>2</w:t>
      </w:r>
      <w:r w:rsidRPr="00C81928">
        <w:rPr>
          <w:rFonts w:eastAsia="Times New Roman"/>
          <w:sz w:val="28"/>
          <w:szCs w:val="28"/>
          <w:lang w:eastAsia="ru-RU"/>
        </w:rPr>
        <w:t xml:space="preserve"> одиниц</w:t>
      </w:r>
      <w:r w:rsidR="006D53AF">
        <w:rPr>
          <w:rFonts w:eastAsia="Times New Roman"/>
          <w:sz w:val="28"/>
          <w:szCs w:val="28"/>
          <w:lang w:eastAsia="ru-RU"/>
        </w:rPr>
        <w:t>і</w:t>
      </w:r>
      <w:r w:rsidRPr="00C81928">
        <w:rPr>
          <w:rFonts w:eastAsia="Times New Roman"/>
          <w:sz w:val="28"/>
          <w:szCs w:val="28"/>
          <w:lang w:eastAsia="ru-RU"/>
        </w:rPr>
        <w:t xml:space="preserve"> та </w:t>
      </w:r>
      <w:proofErr w:type="spellStart"/>
      <w:r w:rsidRPr="00C81928">
        <w:rPr>
          <w:rFonts w:eastAsia="Times New Roman"/>
          <w:sz w:val="28"/>
          <w:szCs w:val="28"/>
          <w:lang w:eastAsia="ru-RU"/>
        </w:rPr>
        <w:t>мікропідприємництва</w:t>
      </w:r>
      <w:proofErr w:type="spellEnd"/>
      <w:r w:rsidRPr="00C81928">
        <w:rPr>
          <w:rFonts w:eastAsia="Times New Roman"/>
          <w:sz w:val="28"/>
          <w:szCs w:val="28"/>
          <w:lang w:eastAsia="ru-RU"/>
        </w:rPr>
        <w:t xml:space="preserve"> – </w:t>
      </w:r>
      <w:r w:rsidR="006D53AF">
        <w:rPr>
          <w:rFonts w:eastAsia="Times New Roman"/>
          <w:sz w:val="28"/>
          <w:szCs w:val="28"/>
          <w:lang w:eastAsia="ru-RU"/>
        </w:rPr>
        <w:t>17</w:t>
      </w:r>
      <w:r w:rsidRPr="00C81928">
        <w:rPr>
          <w:rFonts w:eastAsia="Times New Roman"/>
          <w:sz w:val="28"/>
          <w:szCs w:val="28"/>
          <w:lang w:eastAsia="ru-RU"/>
        </w:rPr>
        <w:t xml:space="preserve"> одиниць;</w:t>
      </w:r>
    </w:p>
    <w:p w14:paraId="652D87CA" w14:textId="6053CEE9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sz w:val="28"/>
          <w:szCs w:val="28"/>
          <w:lang w:eastAsia="ru-RU"/>
        </w:rPr>
      </w:pPr>
      <w:bookmarkStart w:id="11" w:name="n205"/>
      <w:bookmarkEnd w:id="11"/>
      <w:r w:rsidRPr="00C81928">
        <w:rPr>
          <w:rFonts w:eastAsia="Times New Roman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– </w:t>
      </w:r>
      <w:r w:rsidR="006D53AF">
        <w:rPr>
          <w:rFonts w:eastAsia="Times New Roman"/>
          <w:sz w:val="28"/>
          <w:szCs w:val="28"/>
          <w:lang w:val="ru-RU" w:eastAsia="ru-RU"/>
        </w:rPr>
        <w:t>90</w:t>
      </w:r>
      <w:r w:rsidRPr="00C81928">
        <w:rPr>
          <w:rFonts w:eastAsia="Times New Roman"/>
          <w:sz w:val="28"/>
          <w:szCs w:val="28"/>
          <w:lang w:eastAsia="ru-RU"/>
        </w:rPr>
        <w:t xml:space="preserve"> відсотк</w:t>
      </w:r>
      <w:r w:rsidR="006D53AF">
        <w:rPr>
          <w:rFonts w:eastAsia="Times New Roman"/>
          <w:sz w:val="28"/>
          <w:szCs w:val="28"/>
          <w:lang w:eastAsia="ru-RU"/>
        </w:rPr>
        <w:t>ів</w:t>
      </w:r>
      <w:r w:rsidRPr="00C81928">
        <w:rPr>
          <w:rFonts w:eastAsia="Times New Roman"/>
          <w:sz w:val="28"/>
          <w:szCs w:val="28"/>
          <w:lang w:eastAsia="ru-RU"/>
        </w:rPr>
        <w:t xml:space="preserve">. </w:t>
      </w:r>
    </w:p>
    <w:p w14:paraId="1EBF3504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bookmarkStart w:id="12" w:name="n206"/>
      <w:bookmarkEnd w:id="12"/>
      <w:r w:rsidRPr="00C81928">
        <w:rPr>
          <w:rFonts w:eastAsia="Times New Roman"/>
          <w:b/>
          <w:sz w:val="28"/>
          <w:szCs w:val="28"/>
          <w:lang w:eastAsia="ru-RU"/>
        </w:rPr>
        <w:t>3. Розрахунок витрат суб’єктів малого підприємництва на виконання вимог регулювання</w:t>
      </w:r>
    </w:p>
    <w:p w14:paraId="28618BC2" w14:textId="68867E19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rFonts w:eastAsia="Times New Roman"/>
          <w:sz w:val="28"/>
          <w:szCs w:val="28"/>
          <w:lang w:eastAsia="ru-RU"/>
        </w:rPr>
        <w:t xml:space="preserve">У розрахунку вартості години роботи використано вартість 1 години роботи, яка відповідно до Закону України </w:t>
      </w:r>
      <w:r w:rsidRPr="00C81928">
        <w:rPr>
          <w:bCs/>
          <w:sz w:val="28"/>
          <w:szCs w:val="28"/>
        </w:rPr>
        <w:t>«Про Державний бюджет України на 202</w:t>
      </w:r>
      <w:r w:rsidR="006D53AF">
        <w:rPr>
          <w:bCs/>
          <w:sz w:val="28"/>
          <w:szCs w:val="28"/>
          <w:lang w:val="ru-RU"/>
        </w:rPr>
        <w:t>6</w:t>
      </w:r>
      <w:r w:rsidRPr="00C81928">
        <w:rPr>
          <w:bCs/>
          <w:sz w:val="28"/>
          <w:szCs w:val="28"/>
        </w:rPr>
        <w:t xml:space="preserve"> рік</w:t>
      </w:r>
      <w:r w:rsidRPr="00C81928">
        <w:rPr>
          <w:sz w:val="28"/>
          <w:szCs w:val="28"/>
        </w:rPr>
        <w:t>» у 202</w:t>
      </w:r>
      <w:r w:rsidR="0097458A">
        <w:rPr>
          <w:sz w:val="28"/>
          <w:szCs w:val="28"/>
        </w:rPr>
        <w:t>6</w:t>
      </w:r>
      <w:r w:rsidRPr="00C81928">
        <w:rPr>
          <w:sz w:val="28"/>
          <w:szCs w:val="28"/>
        </w:rPr>
        <w:t xml:space="preserve"> році становить</w:t>
      </w:r>
      <w:r w:rsidRPr="00C81928">
        <w:rPr>
          <w:sz w:val="28"/>
          <w:szCs w:val="28"/>
          <w:lang w:val="ru-RU"/>
        </w:rPr>
        <w:t xml:space="preserve"> </w:t>
      </w:r>
      <w:r w:rsidR="0097458A">
        <w:rPr>
          <w:sz w:val="28"/>
          <w:szCs w:val="28"/>
        </w:rPr>
        <w:t>52</w:t>
      </w:r>
      <w:r w:rsidRPr="00C81928">
        <w:rPr>
          <w:sz w:val="28"/>
          <w:szCs w:val="28"/>
        </w:rPr>
        <w:t xml:space="preserve"> гривень.</w:t>
      </w:r>
    </w:p>
    <w:p w14:paraId="413B58E2" w14:textId="31EABC34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sz w:val="28"/>
          <w:szCs w:val="28"/>
        </w:rPr>
        <w:t>Первинна інформація про вимоги регулювання може бути отримана за результатами пошуку проєкту наказу Міністерства фінансів України «</w:t>
      </w:r>
      <w:r w:rsidR="00806AEC" w:rsidRPr="00806AEC">
        <w:rPr>
          <w:sz w:val="28"/>
          <w:szCs w:val="28"/>
        </w:rPr>
        <w:t>Про внесення змін до наказу Міністерства фінансів України від 11 грудня 2014 року № 1203</w:t>
      </w:r>
      <w:r w:rsidRPr="00C81928">
        <w:rPr>
          <w:sz w:val="28"/>
          <w:szCs w:val="28"/>
        </w:rPr>
        <w:t>».</w:t>
      </w:r>
    </w:p>
    <w:p w14:paraId="1CCDB3EA" w14:textId="77777777" w:rsidR="00C81928" w:rsidRPr="00C81928" w:rsidRDefault="00C81928" w:rsidP="0097613B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81928">
        <w:rPr>
          <w:sz w:val="28"/>
          <w:szCs w:val="28"/>
        </w:rPr>
        <w:lastRenderedPageBreak/>
        <w:t>Інформація про період часу, який витрачається суб’єктами на отримання зазначеної інформації, є оціночною.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6"/>
        <w:gridCol w:w="4536"/>
        <w:gridCol w:w="1559"/>
        <w:gridCol w:w="1559"/>
        <w:gridCol w:w="1399"/>
      </w:tblGrid>
      <w:tr w:rsidR="00C81928" w:rsidRPr="00C81928" w14:paraId="0A5DCEF8" w14:textId="77777777" w:rsidTr="00D043E0">
        <w:trPr>
          <w:trHeight w:val="12"/>
          <w:tblHeader/>
        </w:trPr>
        <w:tc>
          <w:tcPr>
            <w:tcW w:w="361" w:type="pct"/>
            <w:hideMark/>
          </w:tcPr>
          <w:p w14:paraId="1A7BDB5F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bookmarkStart w:id="13" w:name="n207"/>
            <w:bookmarkEnd w:id="13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2324" w:type="pct"/>
            <w:hideMark/>
          </w:tcPr>
          <w:p w14:paraId="1C9B8A4E" w14:textId="0D08E60C" w:rsidR="000F0AA3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Найменування оцінки</w:t>
            </w:r>
          </w:p>
        </w:tc>
        <w:tc>
          <w:tcPr>
            <w:tcW w:w="799" w:type="pct"/>
            <w:hideMark/>
          </w:tcPr>
          <w:p w14:paraId="16158E0F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799" w:type="pct"/>
            <w:hideMark/>
          </w:tcPr>
          <w:p w14:paraId="53F78002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Періодичні (за наступний рік)</w:t>
            </w:r>
          </w:p>
        </w:tc>
        <w:tc>
          <w:tcPr>
            <w:tcW w:w="718" w:type="pct"/>
            <w:hideMark/>
          </w:tcPr>
          <w:p w14:paraId="58F6AD28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Витрати за</w:t>
            </w:r>
            <w:r w:rsidRPr="00C81928">
              <w:rPr>
                <w:rFonts w:eastAsia="Times New Roman"/>
                <w:lang w:eastAsia="ru-RU"/>
              </w:rPr>
              <w:br/>
              <w:t>п’ять років</w:t>
            </w:r>
          </w:p>
        </w:tc>
      </w:tr>
      <w:tr w:rsidR="00C81928" w:rsidRPr="00C81928" w14:paraId="7CDE5646" w14:textId="77777777" w:rsidTr="009345FA">
        <w:trPr>
          <w:trHeight w:val="12"/>
        </w:trPr>
        <w:tc>
          <w:tcPr>
            <w:tcW w:w="5000" w:type="pct"/>
            <w:gridSpan w:val="5"/>
            <w:hideMark/>
          </w:tcPr>
          <w:p w14:paraId="4BD9C819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Оцінка </w:t>
            </w:r>
            <w:r w:rsidRPr="00C81928">
              <w:rPr>
                <w:bCs/>
                <w:sz w:val="28"/>
                <w:szCs w:val="28"/>
              </w:rPr>
              <w:t>«</w:t>
            </w:r>
            <w:r w:rsidRPr="00C81928">
              <w:rPr>
                <w:rFonts w:eastAsia="Times New Roman"/>
                <w:lang w:eastAsia="ru-RU"/>
              </w:rPr>
              <w:t>прямих</w:t>
            </w:r>
            <w:r w:rsidRPr="00C81928">
              <w:rPr>
                <w:sz w:val="28"/>
                <w:szCs w:val="28"/>
              </w:rPr>
              <w:t>»</w:t>
            </w:r>
            <w:r w:rsidRPr="00C81928">
              <w:rPr>
                <w:rFonts w:eastAsia="Times New Roman"/>
                <w:lang w:eastAsia="ru-RU"/>
              </w:rPr>
              <w:t xml:space="preserve"> витрат суб’єктів малого підприємництва на виконання регулювання</w:t>
            </w:r>
          </w:p>
        </w:tc>
      </w:tr>
      <w:tr w:rsidR="00627DEE" w:rsidRPr="00C81928" w14:paraId="4CEA32E3" w14:textId="77777777" w:rsidTr="00D043E0">
        <w:trPr>
          <w:trHeight w:val="12"/>
        </w:trPr>
        <w:tc>
          <w:tcPr>
            <w:tcW w:w="361" w:type="pct"/>
            <w:hideMark/>
          </w:tcPr>
          <w:p w14:paraId="78A0AA8C" w14:textId="77777777" w:rsidR="00627DEE" w:rsidRPr="00C81928" w:rsidRDefault="00627DE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24" w:type="pct"/>
            <w:hideMark/>
          </w:tcPr>
          <w:p w14:paraId="46BBA516" w14:textId="77777777" w:rsidR="00627DEE" w:rsidRPr="00C81928" w:rsidRDefault="00627DEE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799" w:type="pct"/>
            <w:vAlign w:val="center"/>
            <w:hideMark/>
          </w:tcPr>
          <w:p w14:paraId="27B909F2" w14:textId="3E2D204D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9" w:type="pct"/>
            <w:vAlign w:val="center"/>
            <w:hideMark/>
          </w:tcPr>
          <w:p w14:paraId="00BF514D" w14:textId="40BBE7B6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469E95EB" w14:textId="40C60995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2E648D99" w14:textId="77777777" w:rsidTr="00D043E0">
        <w:trPr>
          <w:trHeight w:val="12"/>
        </w:trPr>
        <w:tc>
          <w:tcPr>
            <w:tcW w:w="361" w:type="pct"/>
            <w:hideMark/>
          </w:tcPr>
          <w:p w14:paraId="4FAEFD97" w14:textId="77777777" w:rsidR="00627DEE" w:rsidRPr="00C81928" w:rsidRDefault="00627DE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324" w:type="pct"/>
            <w:hideMark/>
          </w:tcPr>
          <w:p w14:paraId="07435C81" w14:textId="77777777" w:rsidR="00627DEE" w:rsidRPr="00C81928" w:rsidRDefault="00627DEE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799" w:type="pct"/>
            <w:vAlign w:val="center"/>
            <w:hideMark/>
          </w:tcPr>
          <w:p w14:paraId="3E4081C0" w14:textId="104CFC54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9" w:type="pct"/>
            <w:vAlign w:val="center"/>
            <w:hideMark/>
          </w:tcPr>
          <w:p w14:paraId="4BBE8821" w14:textId="54BF9BAC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67792A9C" w14:textId="78E5CD73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0B5AA434" w14:textId="77777777" w:rsidTr="00D043E0">
        <w:trPr>
          <w:trHeight w:val="12"/>
        </w:trPr>
        <w:tc>
          <w:tcPr>
            <w:tcW w:w="361" w:type="pct"/>
            <w:hideMark/>
          </w:tcPr>
          <w:p w14:paraId="6298E1C6" w14:textId="77777777" w:rsidR="00627DEE" w:rsidRPr="00C81928" w:rsidRDefault="00627DE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324" w:type="pct"/>
            <w:hideMark/>
          </w:tcPr>
          <w:p w14:paraId="1E1A55CE" w14:textId="2CE60295" w:rsidR="00627DEE" w:rsidRPr="00C81928" w:rsidRDefault="00627DEE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 xml:space="preserve">Процедури експлуатації обладнання (експлуатаційні витрати </w:t>
            </w:r>
            <w:r w:rsidR="0097613B">
              <w:rPr>
                <w:rFonts w:eastAsia="Times New Roman"/>
                <w:lang w:eastAsia="ru-RU"/>
              </w:rPr>
              <w:t>–</w:t>
            </w:r>
            <w:r w:rsidRPr="00C81928">
              <w:rPr>
                <w:rFonts w:eastAsia="Times New Roman"/>
                <w:lang w:eastAsia="ru-RU"/>
              </w:rPr>
              <w:t xml:space="preserve"> витратні матеріали)</w:t>
            </w:r>
          </w:p>
        </w:tc>
        <w:tc>
          <w:tcPr>
            <w:tcW w:w="799" w:type="pct"/>
            <w:vAlign w:val="center"/>
            <w:hideMark/>
          </w:tcPr>
          <w:p w14:paraId="735A7063" w14:textId="5C5FAFCE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9" w:type="pct"/>
            <w:vAlign w:val="center"/>
            <w:hideMark/>
          </w:tcPr>
          <w:p w14:paraId="6F967AC7" w14:textId="5BC931E8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7AF10506" w14:textId="788620A3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627DEE" w:rsidRPr="00C81928" w14:paraId="0E3EAC2F" w14:textId="77777777" w:rsidTr="00D043E0">
        <w:trPr>
          <w:trHeight w:val="12"/>
        </w:trPr>
        <w:tc>
          <w:tcPr>
            <w:tcW w:w="361" w:type="pct"/>
            <w:hideMark/>
          </w:tcPr>
          <w:p w14:paraId="2F5A1D75" w14:textId="77777777" w:rsidR="00627DEE" w:rsidRPr="00C81928" w:rsidRDefault="00627DE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24" w:type="pct"/>
            <w:hideMark/>
          </w:tcPr>
          <w:p w14:paraId="2F28DEAE" w14:textId="77777777" w:rsidR="00627DEE" w:rsidRPr="00C81928" w:rsidRDefault="00627DEE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799" w:type="pct"/>
            <w:vAlign w:val="center"/>
            <w:hideMark/>
          </w:tcPr>
          <w:p w14:paraId="4DF3967F" w14:textId="3435F750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99" w:type="pct"/>
            <w:vAlign w:val="center"/>
            <w:hideMark/>
          </w:tcPr>
          <w:p w14:paraId="14E16573" w14:textId="35DF56F8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25FDA20E" w14:textId="0A4610E7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1EC4">
              <w:rPr>
                <w:sz w:val="28"/>
                <w:szCs w:val="28"/>
              </w:rPr>
              <w:t>–</w:t>
            </w:r>
          </w:p>
        </w:tc>
      </w:tr>
      <w:tr w:rsidR="00C81928" w:rsidRPr="00C81928" w14:paraId="4F2A97E5" w14:textId="77777777" w:rsidTr="00D043E0">
        <w:trPr>
          <w:trHeight w:val="12"/>
        </w:trPr>
        <w:tc>
          <w:tcPr>
            <w:tcW w:w="361" w:type="pct"/>
            <w:hideMark/>
          </w:tcPr>
          <w:p w14:paraId="15604A4A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24" w:type="pct"/>
            <w:hideMark/>
          </w:tcPr>
          <w:p w14:paraId="7AFAFAA0" w14:textId="77777777" w:rsidR="00C81928" w:rsidRPr="00FA59BC" w:rsidRDefault="00C81928" w:rsidP="00680545">
            <w:pPr>
              <w:ind w:left="150" w:right="133"/>
              <w:jc w:val="both"/>
              <w:rPr>
                <w:rFonts w:eastAsia="Times New Roman"/>
                <w:lang w:eastAsia="ru-RU"/>
              </w:rPr>
            </w:pPr>
            <w:r w:rsidRPr="00FA59BC">
              <w:rPr>
                <w:rFonts w:eastAsia="Times New Roman"/>
                <w:lang w:eastAsia="ru-RU"/>
              </w:rPr>
              <w:t>Інші процедури (уточнити)</w:t>
            </w:r>
          </w:p>
          <w:p w14:paraId="501C902A" w14:textId="78408C9A" w:rsidR="0044683F" w:rsidRPr="00FA59BC" w:rsidRDefault="0044683F" w:rsidP="00680545">
            <w:pPr>
              <w:ind w:left="150" w:right="133"/>
              <w:jc w:val="both"/>
              <w:rPr>
                <w:rFonts w:eastAsia="Times New Roman"/>
                <w:i/>
                <w:lang w:eastAsia="ru-RU"/>
              </w:rPr>
            </w:pPr>
            <w:r w:rsidRPr="00FA59BC">
              <w:rPr>
                <w:rFonts w:eastAsia="Times New Roman"/>
                <w:i/>
                <w:lang w:eastAsia="ru-RU"/>
              </w:rPr>
              <w:t xml:space="preserve">Витрати пов’язані із закупівлею витратних матеріалів (офсетний папір, тонер для картриджа) для підготовки </w:t>
            </w:r>
            <w:r w:rsidR="00994F06" w:rsidRPr="00994F06">
              <w:rPr>
                <w:rFonts w:eastAsia="Times New Roman"/>
                <w:i/>
                <w:lang w:eastAsia="ru-RU"/>
              </w:rPr>
              <w:t>заявки на отримання експортером тарифної квоти та додаткових документів, що подаватимуться під час експорту до митниці для отримання документу, що підтверджує статус преференційного походження товарів</w:t>
            </w:r>
            <w:r w:rsidRPr="00FA59BC">
              <w:rPr>
                <w:rFonts w:eastAsia="Times New Roman"/>
                <w:i/>
                <w:lang w:eastAsia="ru-RU"/>
              </w:rPr>
              <w:t>.</w:t>
            </w:r>
          </w:p>
          <w:p w14:paraId="2A0EA9BD" w14:textId="128E9A44" w:rsidR="00391657" w:rsidRPr="00FA59BC" w:rsidRDefault="0044683F" w:rsidP="00680545">
            <w:pPr>
              <w:ind w:left="150" w:right="133"/>
              <w:jc w:val="both"/>
              <w:rPr>
                <w:rFonts w:eastAsia="Times New Roman"/>
                <w:i/>
                <w:lang w:eastAsia="ru-RU"/>
              </w:rPr>
            </w:pPr>
            <w:r w:rsidRPr="00FA59BC">
              <w:rPr>
                <w:rFonts w:eastAsia="Times New Roman"/>
                <w:i/>
                <w:lang w:eastAsia="ru-RU"/>
              </w:rPr>
              <w:t>Суб’єкт господарюван</w:t>
            </w:r>
            <w:r w:rsidR="00CA0B4C" w:rsidRPr="00FA59BC">
              <w:rPr>
                <w:rFonts w:eastAsia="Times New Roman"/>
                <w:i/>
                <w:lang w:eastAsia="ru-RU"/>
              </w:rPr>
              <w:t xml:space="preserve">ня щорічно </w:t>
            </w:r>
            <w:r w:rsidR="004416B8" w:rsidRPr="00FA59BC">
              <w:rPr>
                <w:rFonts w:eastAsia="Times New Roman"/>
                <w:i/>
                <w:lang w:eastAsia="ru-RU"/>
              </w:rPr>
              <w:t>приблизно отриму</w:t>
            </w:r>
            <w:r w:rsidR="00AE7AF8">
              <w:rPr>
                <w:rFonts w:eastAsia="Times New Roman"/>
                <w:i/>
                <w:lang w:eastAsia="ru-RU"/>
              </w:rPr>
              <w:t>ватиме</w:t>
            </w:r>
            <w:r w:rsidR="004416B8" w:rsidRPr="00FA59BC">
              <w:rPr>
                <w:rFonts w:eastAsia="Times New Roman"/>
                <w:i/>
                <w:lang w:eastAsia="ru-RU"/>
              </w:rPr>
              <w:t xml:space="preserve"> </w:t>
            </w:r>
            <w:r w:rsidR="00994F06">
              <w:rPr>
                <w:rFonts w:eastAsia="Times New Roman"/>
                <w:i/>
                <w:lang w:eastAsia="ru-RU"/>
              </w:rPr>
              <w:t>5</w:t>
            </w:r>
            <w:r w:rsidR="004416B8" w:rsidRPr="00FA59BC">
              <w:rPr>
                <w:rFonts w:eastAsia="Times New Roman"/>
                <w:i/>
                <w:lang w:eastAsia="ru-RU"/>
              </w:rPr>
              <w:t xml:space="preserve"> </w:t>
            </w:r>
            <w:r w:rsidR="00AE7AF8" w:rsidRPr="00AE7AF8">
              <w:rPr>
                <w:rFonts w:eastAsia="Times New Roman"/>
                <w:i/>
                <w:lang w:eastAsia="ru-RU"/>
              </w:rPr>
              <w:t>документ</w:t>
            </w:r>
            <w:r w:rsidR="00AE7AF8">
              <w:rPr>
                <w:rFonts w:eastAsia="Times New Roman"/>
                <w:i/>
                <w:lang w:eastAsia="ru-RU"/>
              </w:rPr>
              <w:t>ів</w:t>
            </w:r>
            <w:r w:rsidR="00AE7AF8" w:rsidRPr="00AE7AF8">
              <w:rPr>
                <w:rFonts w:eastAsia="Times New Roman"/>
                <w:i/>
                <w:lang w:eastAsia="ru-RU"/>
              </w:rPr>
              <w:t>, що підтверджу</w:t>
            </w:r>
            <w:r w:rsidR="00AE7AF8">
              <w:rPr>
                <w:rFonts w:eastAsia="Times New Roman"/>
                <w:i/>
                <w:lang w:eastAsia="ru-RU"/>
              </w:rPr>
              <w:t>ють</w:t>
            </w:r>
            <w:r w:rsidR="00AE7AF8" w:rsidRPr="00AE7AF8">
              <w:rPr>
                <w:rFonts w:eastAsia="Times New Roman"/>
                <w:i/>
                <w:lang w:eastAsia="ru-RU"/>
              </w:rPr>
              <w:t xml:space="preserve"> статус преференційного походження товарів</w:t>
            </w:r>
            <w:r w:rsidRPr="00FA59BC">
              <w:rPr>
                <w:rFonts w:eastAsia="Times New Roman"/>
                <w:i/>
                <w:lang w:eastAsia="ru-RU"/>
              </w:rPr>
              <w:t xml:space="preserve">, обсяг додаткових документів, необхідних для </w:t>
            </w:r>
            <w:r w:rsidR="00AE7AF8">
              <w:rPr>
                <w:rFonts w:eastAsia="Times New Roman"/>
                <w:i/>
                <w:lang w:eastAsia="ru-RU"/>
              </w:rPr>
              <w:t xml:space="preserve">їх </w:t>
            </w:r>
            <w:r w:rsidRPr="00FA59BC">
              <w:rPr>
                <w:rFonts w:eastAsia="Times New Roman"/>
                <w:i/>
                <w:lang w:eastAsia="ru-RU"/>
              </w:rPr>
              <w:t xml:space="preserve">отримання </w:t>
            </w:r>
            <w:r w:rsidR="004416B8" w:rsidRPr="00FA59BC">
              <w:rPr>
                <w:rFonts w:eastAsia="Times New Roman"/>
                <w:i/>
                <w:lang w:eastAsia="ru-RU"/>
              </w:rPr>
              <w:t>становить</w:t>
            </w:r>
            <w:r w:rsidR="00AE7AF8">
              <w:rPr>
                <w:rFonts w:eastAsia="Times New Roman"/>
                <w:i/>
                <w:lang w:eastAsia="ru-RU"/>
              </w:rPr>
              <w:t xml:space="preserve"> 10</w:t>
            </w:r>
            <w:r w:rsidRPr="00FA59BC">
              <w:rPr>
                <w:rFonts w:eastAsia="Times New Roman"/>
                <w:i/>
                <w:lang w:eastAsia="ru-RU"/>
              </w:rPr>
              <w:t>0</w:t>
            </w:r>
            <w:r w:rsidR="00AE7AF8">
              <w:rPr>
                <w:rFonts w:eastAsia="Times New Roman"/>
                <w:i/>
                <w:lang w:eastAsia="ru-RU"/>
              </w:rPr>
              <w:t xml:space="preserve"> </w:t>
            </w:r>
            <w:r w:rsidR="00AE7AF8" w:rsidRPr="00FA59BC">
              <w:rPr>
                <w:rFonts w:eastAsia="Times New Roman"/>
                <w:i/>
                <w:lang w:eastAsia="ru-RU"/>
              </w:rPr>
              <w:t>аркушів</w:t>
            </w:r>
            <w:r w:rsidR="00AE7AF8">
              <w:rPr>
                <w:rFonts w:eastAsia="Times New Roman"/>
                <w:i/>
                <w:lang w:eastAsia="ru-RU"/>
              </w:rPr>
              <w:t xml:space="preserve"> (5х20 </w:t>
            </w:r>
            <w:proofErr w:type="spellStart"/>
            <w:r w:rsidR="00AE7AF8">
              <w:rPr>
                <w:rFonts w:eastAsia="Times New Roman"/>
                <w:i/>
                <w:lang w:eastAsia="ru-RU"/>
              </w:rPr>
              <w:t>арк</w:t>
            </w:r>
            <w:proofErr w:type="spellEnd"/>
            <w:r w:rsidR="00AE7AF8">
              <w:rPr>
                <w:rFonts w:eastAsia="Times New Roman"/>
                <w:i/>
                <w:lang w:eastAsia="ru-RU"/>
              </w:rPr>
              <w:t>.)</w:t>
            </w:r>
            <w:r w:rsidRPr="00FA59BC">
              <w:rPr>
                <w:rFonts w:eastAsia="Times New Roman"/>
                <w:i/>
                <w:lang w:eastAsia="ru-RU"/>
              </w:rPr>
              <w:t xml:space="preserve"> </w:t>
            </w:r>
          </w:p>
        </w:tc>
        <w:tc>
          <w:tcPr>
            <w:tcW w:w="799" w:type="pct"/>
            <w:vAlign w:val="center"/>
          </w:tcPr>
          <w:p w14:paraId="0F927BA0" w14:textId="4E4111E9" w:rsidR="00C81928" w:rsidRPr="00FA59BC" w:rsidRDefault="00AE7AF8" w:rsidP="00680545">
            <w:pPr>
              <w:jc w:val="center"/>
              <w:rPr>
                <w:rFonts w:eastAsiaTheme="minorHAnsi"/>
                <w:lang w:eastAsia="en-US"/>
              </w:rPr>
            </w:pPr>
            <w:r>
              <w:t>29</w:t>
            </w:r>
            <w:r w:rsidR="0044683F" w:rsidRPr="00FA59BC">
              <w:rPr>
                <w:lang w:val="en-US"/>
              </w:rPr>
              <w:t>,</w:t>
            </w:r>
            <w:r>
              <w:t>1</w:t>
            </w:r>
            <w:r w:rsidR="00B11CA2" w:rsidRPr="00FA59BC">
              <w:t>*</w:t>
            </w:r>
          </w:p>
        </w:tc>
        <w:tc>
          <w:tcPr>
            <w:tcW w:w="799" w:type="pct"/>
            <w:vAlign w:val="center"/>
          </w:tcPr>
          <w:p w14:paraId="019D52F0" w14:textId="7F30D9FC" w:rsidR="00C81928" w:rsidRPr="00FA59BC" w:rsidRDefault="00AE7AF8" w:rsidP="00680545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t>29,1</w:t>
            </w:r>
            <w:r w:rsidR="008878C3" w:rsidRPr="00FA59BC">
              <w:t>*</w:t>
            </w:r>
          </w:p>
        </w:tc>
        <w:tc>
          <w:tcPr>
            <w:tcW w:w="718" w:type="pct"/>
            <w:vAlign w:val="center"/>
          </w:tcPr>
          <w:p w14:paraId="0B83824E" w14:textId="490F7A50" w:rsidR="00C81928" w:rsidRPr="00AE7AF8" w:rsidRDefault="00AE7AF8" w:rsidP="006805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145,5</w:t>
            </w:r>
          </w:p>
        </w:tc>
      </w:tr>
      <w:tr w:rsidR="00AE7AF8" w:rsidRPr="00C81928" w14:paraId="6CA1ABD3" w14:textId="77777777" w:rsidTr="00D043E0">
        <w:trPr>
          <w:trHeight w:val="12"/>
        </w:trPr>
        <w:tc>
          <w:tcPr>
            <w:tcW w:w="361" w:type="pct"/>
            <w:hideMark/>
          </w:tcPr>
          <w:p w14:paraId="3011FBF4" w14:textId="77777777" w:rsidR="00AE7AF8" w:rsidRPr="00C81928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24" w:type="pct"/>
            <w:hideMark/>
          </w:tcPr>
          <w:p w14:paraId="3CFB9403" w14:textId="77777777" w:rsidR="00AE7AF8" w:rsidRPr="00C81928" w:rsidRDefault="00AE7AF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Разом, гривень</w:t>
            </w:r>
          </w:p>
          <w:p w14:paraId="1A69FECD" w14:textId="77777777" w:rsidR="00AE7AF8" w:rsidRPr="00C81928" w:rsidRDefault="00AE7AF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6F60AB6D" w14:textId="77777777" w:rsidR="00AE7AF8" w:rsidRPr="00C81928" w:rsidRDefault="00AE7AF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(сума рядків 1 + 2 + 3 + 4 + 5)</w:t>
            </w:r>
          </w:p>
        </w:tc>
        <w:tc>
          <w:tcPr>
            <w:tcW w:w="799" w:type="pct"/>
            <w:vAlign w:val="center"/>
            <w:hideMark/>
          </w:tcPr>
          <w:p w14:paraId="357FAF41" w14:textId="454A71AB" w:rsidR="00AE7AF8" w:rsidRPr="008E4B01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29</w:t>
            </w:r>
            <w:r>
              <w:rPr>
                <w:lang w:val="en-US" w:eastAsia="en-US"/>
              </w:rPr>
              <w:t>,</w:t>
            </w:r>
            <w:r>
              <w:rPr>
                <w:lang w:eastAsia="en-US"/>
              </w:rPr>
              <w:t>1</w:t>
            </w:r>
          </w:p>
        </w:tc>
        <w:tc>
          <w:tcPr>
            <w:tcW w:w="799" w:type="pct"/>
            <w:vAlign w:val="center"/>
            <w:hideMark/>
          </w:tcPr>
          <w:p w14:paraId="235B93E0" w14:textId="019E9ACC" w:rsidR="00AE7AF8" w:rsidRPr="008E4B01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29,1</w:t>
            </w:r>
          </w:p>
        </w:tc>
        <w:tc>
          <w:tcPr>
            <w:tcW w:w="718" w:type="pct"/>
            <w:vAlign w:val="center"/>
            <w:hideMark/>
          </w:tcPr>
          <w:p w14:paraId="66AF42C7" w14:textId="49299C40" w:rsidR="00AE7AF8" w:rsidRPr="008E4B01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en-US"/>
              </w:rPr>
              <w:t>145,5</w:t>
            </w:r>
          </w:p>
        </w:tc>
      </w:tr>
      <w:tr w:rsidR="00C81928" w:rsidRPr="00C81928" w14:paraId="371437C7" w14:textId="77777777" w:rsidTr="00D043E0">
        <w:trPr>
          <w:trHeight w:val="12"/>
        </w:trPr>
        <w:tc>
          <w:tcPr>
            <w:tcW w:w="361" w:type="pct"/>
            <w:hideMark/>
          </w:tcPr>
          <w:p w14:paraId="1149AE33" w14:textId="77777777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324" w:type="pct"/>
            <w:hideMark/>
          </w:tcPr>
          <w:p w14:paraId="52AC8769" w14:textId="77777777" w:rsidR="00C81928" w:rsidRPr="00C81928" w:rsidRDefault="00C8192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315" w:type="pct"/>
            <w:gridSpan w:val="3"/>
            <w:hideMark/>
          </w:tcPr>
          <w:p w14:paraId="75E2CFE2" w14:textId="77777777" w:rsidR="00010332" w:rsidRDefault="00010332" w:rsidP="00680545">
            <w:pPr>
              <w:jc w:val="center"/>
              <w:rPr>
                <w:rFonts w:eastAsia="Times New Roman"/>
                <w:lang w:eastAsia="ru-RU"/>
              </w:rPr>
            </w:pPr>
          </w:p>
          <w:p w14:paraId="33B16248" w14:textId="625299C4" w:rsidR="00C81928" w:rsidRPr="00C81928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344BC0">
              <w:rPr>
                <w:rFonts w:eastAsia="Times New Roman"/>
                <w:lang w:eastAsia="ru-RU"/>
              </w:rPr>
              <w:t>**</w:t>
            </w:r>
          </w:p>
        </w:tc>
      </w:tr>
      <w:tr w:rsidR="00AE7AF8" w:rsidRPr="00C81928" w14:paraId="099FC7FE" w14:textId="77777777" w:rsidTr="00D043E0">
        <w:trPr>
          <w:trHeight w:val="12"/>
        </w:trPr>
        <w:tc>
          <w:tcPr>
            <w:tcW w:w="361" w:type="pct"/>
            <w:hideMark/>
          </w:tcPr>
          <w:p w14:paraId="1DAC9C0C" w14:textId="77777777" w:rsidR="00AE7AF8" w:rsidRPr="00C81928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324" w:type="pct"/>
            <w:hideMark/>
          </w:tcPr>
          <w:p w14:paraId="01EB282B" w14:textId="77777777" w:rsidR="00AE7AF8" w:rsidRPr="00C81928" w:rsidRDefault="00AE7AF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Сумарно, гривень</w:t>
            </w:r>
          </w:p>
          <w:p w14:paraId="3570A8C1" w14:textId="77777777" w:rsidR="00AE7AF8" w:rsidRPr="00C81928" w:rsidRDefault="00AE7AF8" w:rsidP="00680545">
            <w:pPr>
              <w:ind w:left="150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3E06B142" w14:textId="0D307855" w:rsidR="00AE7AF8" w:rsidRPr="00C81928" w:rsidRDefault="00AE7AF8" w:rsidP="00680545">
            <w:pPr>
              <w:ind w:left="150"/>
              <w:rPr>
                <w:rFonts w:eastAsia="Times New Roman"/>
                <w:i/>
                <w:iCs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799" w:type="pct"/>
            <w:vAlign w:val="center"/>
            <w:hideMark/>
          </w:tcPr>
          <w:p w14:paraId="5C96E023" w14:textId="735BDE18" w:rsidR="00AE7AF8" w:rsidRPr="008E4B01" w:rsidRDefault="00AE7AF8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t>611,1</w:t>
            </w:r>
          </w:p>
        </w:tc>
        <w:tc>
          <w:tcPr>
            <w:tcW w:w="799" w:type="pct"/>
            <w:vAlign w:val="center"/>
            <w:hideMark/>
          </w:tcPr>
          <w:p w14:paraId="657C184A" w14:textId="08638C7F" w:rsidR="00AE7AF8" w:rsidRPr="007E15D0" w:rsidRDefault="00AE7AF8" w:rsidP="00680545">
            <w:pPr>
              <w:jc w:val="center"/>
            </w:pPr>
            <w:r w:rsidRPr="008C13AC">
              <w:t>611,1</w:t>
            </w:r>
          </w:p>
        </w:tc>
        <w:tc>
          <w:tcPr>
            <w:tcW w:w="718" w:type="pct"/>
            <w:vAlign w:val="center"/>
            <w:hideMark/>
          </w:tcPr>
          <w:p w14:paraId="52906C83" w14:textId="34F20833" w:rsidR="00AE7AF8" w:rsidRPr="007E15D0" w:rsidRDefault="00AE7AF8" w:rsidP="00680545">
            <w:pPr>
              <w:jc w:val="center"/>
            </w:pPr>
            <w:r w:rsidRPr="008C13AC">
              <w:t>3055,5</w:t>
            </w:r>
          </w:p>
        </w:tc>
      </w:tr>
      <w:tr w:rsidR="00C81928" w:rsidRPr="00C81928" w14:paraId="02833215" w14:textId="77777777" w:rsidTr="009345FA">
        <w:trPr>
          <w:trHeight w:val="12"/>
        </w:trPr>
        <w:tc>
          <w:tcPr>
            <w:tcW w:w="5000" w:type="pct"/>
            <w:gridSpan w:val="5"/>
            <w:hideMark/>
          </w:tcPr>
          <w:p w14:paraId="51C80C0D" w14:textId="77777777" w:rsidR="00C81928" w:rsidRPr="00C81928" w:rsidRDefault="00C81928" w:rsidP="00680545">
            <w:pPr>
              <w:ind w:left="142" w:right="100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lastRenderedPageBreak/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81928" w:rsidRPr="00C81928" w14:paraId="6E901DDC" w14:textId="77777777" w:rsidTr="00D043E0">
        <w:trPr>
          <w:trHeight w:val="12"/>
        </w:trPr>
        <w:tc>
          <w:tcPr>
            <w:tcW w:w="361" w:type="pct"/>
            <w:hideMark/>
          </w:tcPr>
          <w:p w14:paraId="7E24FD8E" w14:textId="138E9828" w:rsidR="00C81928" w:rsidRPr="00C81928" w:rsidRDefault="008E4B01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324" w:type="pct"/>
            <w:hideMark/>
          </w:tcPr>
          <w:p w14:paraId="6C203E0D" w14:textId="5B1469B3" w:rsidR="00C81928" w:rsidRPr="00C81928" w:rsidRDefault="00C81928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отримання первинної інформації про вимоги регулювання</w:t>
            </w:r>
            <w:r w:rsidR="002E5B9C">
              <w:rPr>
                <w:rFonts w:eastAsia="Times New Roman"/>
                <w:lang w:eastAsia="ru-RU"/>
              </w:rPr>
              <w:t xml:space="preserve"> (</w:t>
            </w:r>
            <w:r w:rsidR="004416B8">
              <w:rPr>
                <w:rFonts w:eastAsia="Times New Roman"/>
                <w:lang w:eastAsia="ru-RU"/>
              </w:rPr>
              <w:t>пошук регуляторного акта</w:t>
            </w:r>
            <w:r w:rsidR="00DF09C6">
              <w:rPr>
                <w:rFonts w:eastAsia="Times New Roman"/>
                <w:lang w:eastAsia="ru-RU"/>
              </w:rPr>
              <w:t xml:space="preserve"> в мережі </w:t>
            </w:r>
            <w:r w:rsidR="004416B8" w:rsidRPr="004416B8">
              <w:rPr>
                <w:rFonts w:eastAsia="Times New Roman"/>
                <w:lang w:eastAsia="ru-RU"/>
              </w:rPr>
              <w:t>«Інтернет»</w:t>
            </w:r>
            <w:r w:rsidR="00DF09C6">
              <w:rPr>
                <w:rFonts w:eastAsia="Times New Roman"/>
                <w:lang w:eastAsia="ru-RU"/>
              </w:rPr>
              <w:t xml:space="preserve"> та його опрацювання</w:t>
            </w:r>
            <w:r w:rsidR="002E5B9C">
              <w:rPr>
                <w:rFonts w:eastAsia="Times New Roman"/>
                <w:lang w:eastAsia="ru-RU"/>
              </w:rPr>
              <w:t>)</w:t>
            </w:r>
          </w:p>
          <w:p w14:paraId="19FA8C5E" w14:textId="67596FB0" w:rsidR="00C81928" w:rsidRPr="00C81928" w:rsidRDefault="004416B8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1 год</w:t>
            </w:r>
            <w:r w:rsidR="00627DEE" w:rsidRPr="00627DEE">
              <w:rPr>
                <w:rFonts w:eastAsia="Times New Roman"/>
                <w:i/>
                <w:iCs/>
                <w:lang w:eastAsia="ru-RU"/>
              </w:rPr>
              <w:t xml:space="preserve"> (час, який витрачається суб’єктом господарювання на пошук нормативно-правового акта в мережі</w:t>
            </w:r>
            <w:r w:rsidR="00DF09C6" w:rsidRPr="0097613B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r w:rsidR="0097613B" w:rsidRPr="0097613B">
              <w:rPr>
                <w:rFonts w:eastAsiaTheme="minorHAnsi"/>
                <w:lang w:eastAsia="en-US"/>
              </w:rPr>
              <w:t>«</w:t>
            </w:r>
            <w:r w:rsidR="00DF09C6" w:rsidRPr="0097613B">
              <w:rPr>
                <w:rFonts w:eastAsia="Times New Roman"/>
                <w:i/>
                <w:iCs/>
                <w:lang w:eastAsia="ru-RU"/>
              </w:rPr>
              <w:t>І</w:t>
            </w:r>
            <w:r w:rsidR="00DF09C6">
              <w:rPr>
                <w:rFonts w:eastAsia="Times New Roman"/>
                <w:i/>
                <w:iCs/>
                <w:lang w:eastAsia="ru-RU"/>
              </w:rPr>
              <w:t>нтернет</w:t>
            </w:r>
            <w:r w:rsidR="0097613B" w:rsidRPr="0097613B">
              <w:rPr>
                <w:rFonts w:eastAsiaTheme="minorHAnsi"/>
                <w:lang w:eastAsia="en-US"/>
              </w:rPr>
              <w:t>»</w:t>
            </w:r>
            <w:r w:rsidR="00DF09C6">
              <w:rPr>
                <w:rFonts w:eastAsia="Times New Roman"/>
                <w:i/>
                <w:iCs/>
                <w:lang w:eastAsia="ru-RU"/>
              </w:rPr>
              <w:t xml:space="preserve"> та ознайомлення з ним</w:t>
            </w:r>
            <w:r>
              <w:rPr>
                <w:rFonts w:eastAsia="Times New Roman"/>
                <w:i/>
                <w:iCs/>
                <w:lang w:eastAsia="ru-RU"/>
              </w:rPr>
              <w:t xml:space="preserve">) x </w:t>
            </w:r>
            <w:r w:rsidR="00C2443C">
              <w:rPr>
                <w:rFonts w:eastAsia="Times New Roman"/>
                <w:i/>
                <w:iCs/>
                <w:lang w:eastAsia="ru-RU"/>
              </w:rPr>
              <w:t>52</w:t>
            </w:r>
            <w:r>
              <w:rPr>
                <w:rFonts w:eastAsia="Times New Roman"/>
                <w:i/>
                <w:iCs/>
                <w:lang w:eastAsia="ru-RU"/>
              </w:rPr>
              <w:t xml:space="preserve"> грн </w:t>
            </w:r>
            <w:r w:rsidR="00627DEE" w:rsidRPr="00627DEE">
              <w:rPr>
                <w:rFonts w:eastAsia="Times New Roman"/>
                <w:i/>
                <w:iCs/>
                <w:lang w:eastAsia="ru-RU"/>
              </w:rPr>
              <w:t>=</w:t>
            </w:r>
            <w:r w:rsidR="00C2443C">
              <w:rPr>
                <w:rFonts w:eastAsia="Times New Roman"/>
                <w:i/>
                <w:iCs/>
                <w:lang w:eastAsia="ru-RU"/>
              </w:rPr>
              <w:t>52</w:t>
            </w:r>
            <w:r w:rsidR="00DF09C6">
              <w:rPr>
                <w:rFonts w:eastAsia="Times New Roman"/>
                <w:i/>
                <w:iCs/>
                <w:lang w:eastAsia="ru-RU"/>
              </w:rPr>
              <w:t xml:space="preserve"> грн</w:t>
            </w:r>
          </w:p>
        </w:tc>
        <w:tc>
          <w:tcPr>
            <w:tcW w:w="799" w:type="pct"/>
            <w:vAlign w:val="center"/>
            <w:hideMark/>
          </w:tcPr>
          <w:p w14:paraId="3BE7B9A1" w14:textId="194AFF8C" w:rsidR="00C81928" w:rsidRPr="00DF09C6" w:rsidRDefault="00C2443C" w:rsidP="00680545">
            <w:pPr>
              <w:ind w:left="60" w:right="129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52</w:t>
            </w:r>
            <w:r w:rsidR="00DF09C6" w:rsidRPr="00FA59BC">
              <w:rPr>
                <w:rFonts w:eastAsia="Times New Roman"/>
                <w:lang w:val="ru-RU" w:eastAsia="ru-RU"/>
              </w:rPr>
              <w:t>*</w:t>
            </w:r>
            <w:r w:rsidR="00B11CA2" w:rsidRPr="00FA59BC">
              <w:rPr>
                <w:rFonts w:eastAsia="Times New Roman"/>
                <w:lang w:val="ru-RU" w:eastAsia="ru-RU"/>
              </w:rPr>
              <w:t>*</w:t>
            </w:r>
            <w:r w:rsidR="00344BC0">
              <w:rPr>
                <w:rFonts w:eastAsia="Times New Roman"/>
                <w:lang w:val="ru-RU" w:eastAsia="ru-RU"/>
              </w:rPr>
              <w:t>*</w:t>
            </w:r>
            <w:r w:rsidR="00C81928" w:rsidRPr="00FA59BC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="00C81928" w:rsidRPr="00DF09C6">
              <w:rPr>
                <w:rFonts w:eastAsia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799" w:type="pct"/>
            <w:vAlign w:val="center"/>
            <w:hideMark/>
          </w:tcPr>
          <w:p w14:paraId="43C93A44" w14:textId="3179D9B0" w:rsidR="00C81928" w:rsidRPr="00DF09C6" w:rsidRDefault="00C81928" w:rsidP="00680545">
            <w:pPr>
              <w:ind w:left="90" w:right="96"/>
              <w:jc w:val="center"/>
              <w:rPr>
                <w:rFonts w:eastAsia="Times New Roman"/>
                <w:lang w:eastAsia="ru-RU"/>
              </w:rPr>
            </w:pPr>
            <w:r w:rsidRPr="00DF09C6">
              <w:rPr>
                <w:rFonts w:eastAsia="Times New Roman"/>
                <w:lang w:eastAsia="ru-RU"/>
              </w:rPr>
              <w:t>0,00 грн (</w:t>
            </w:r>
            <w:r w:rsidRPr="00DF09C6">
              <w:rPr>
                <w:rFonts w:eastAsia="Times New Roman"/>
                <w:sz w:val="20"/>
                <w:szCs w:val="20"/>
                <w:lang w:eastAsia="ru-RU"/>
              </w:rPr>
              <w:t>припущено, що суб’єкт повинен виконувати вимоги регулювання лише в перший рік</w:t>
            </w:r>
            <w:r w:rsidRPr="00DF09C6">
              <w:rPr>
                <w:rFonts w:eastAsia="Times New Roman"/>
                <w:sz w:val="20"/>
                <w:szCs w:val="20"/>
                <w:lang w:val="ru-RU" w:eastAsia="ru-RU"/>
              </w:rPr>
              <w:t>; за</w:t>
            </w:r>
            <w:r w:rsidR="00680545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DF09C6">
              <w:rPr>
                <w:rFonts w:eastAsia="Times New Roman"/>
                <w:sz w:val="20"/>
                <w:szCs w:val="20"/>
                <w:lang w:val="ru-RU" w:eastAsia="ru-RU"/>
              </w:rPr>
              <w:t xml:space="preserve">результатами </w:t>
            </w:r>
            <w:r w:rsidRPr="00DF09C6">
              <w:rPr>
                <w:rFonts w:eastAsia="Times New Roman"/>
                <w:sz w:val="20"/>
                <w:szCs w:val="20"/>
                <w:lang w:eastAsia="ru-RU"/>
              </w:rPr>
              <w:t>консультацій</w:t>
            </w:r>
            <w:r w:rsidRPr="00DF09C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18" w:type="pct"/>
            <w:vAlign w:val="center"/>
            <w:hideMark/>
          </w:tcPr>
          <w:p w14:paraId="19CD284F" w14:textId="6BBE59C2" w:rsidR="00C81928" w:rsidRPr="00DF09C6" w:rsidRDefault="00C2443C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  <w:r w:rsidR="00DF09C6" w:rsidRPr="00FA59BC">
              <w:rPr>
                <w:rFonts w:eastAsia="Times New Roman"/>
                <w:lang w:eastAsia="ru-RU"/>
              </w:rPr>
              <w:t>*</w:t>
            </w:r>
            <w:r w:rsidR="00B11CA2" w:rsidRPr="00FA59BC">
              <w:rPr>
                <w:rFonts w:eastAsia="Times New Roman"/>
                <w:lang w:eastAsia="ru-RU"/>
              </w:rPr>
              <w:t>*</w:t>
            </w:r>
            <w:r w:rsidR="00344BC0">
              <w:rPr>
                <w:rFonts w:eastAsia="Times New Roman"/>
                <w:lang w:eastAsia="ru-RU"/>
              </w:rPr>
              <w:t>*</w:t>
            </w:r>
            <w:r w:rsidR="00C81928" w:rsidRPr="00FA59BC">
              <w:rPr>
                <w:rFonts w:eastAsia="Times New Roman"/>
                <w:lang w:eastAsia="ru-RU"/>
              </w:rPr>
              <w:t xml:space="preserve"> </w:t>
            </w:r>
            <w:r w:rsidR="00C81928" w:rsidRPr="00DF09C6">
              <w:rPr>
                <w:rFonts w:eastAsia="Times New Roman"/>
                <w:lang w:eastAsia="ru-RU"/>
              </w:rPr>
              <w:t>грн</w:t>
            </w:r>
            <w:r w:rsidR="00DF09C6" w:rsidRPr="00DF09C6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C81928" w:rsidRPr="00010332" w14:paraId="1969935E" w14:textId="77777777" w:rsidTr="00D043E0">
        <w:trPr>
          <w:trHeight w:val="12"/>
        </w:trPr>
        <w:tc>
          <w:tcPr>
            <w:tcW w:w="361" w:type="pct"/>
            <w:hideMark/>
          </w:tcPr>
          <w:p w14:paraId="29D685D9" w14:textId="2BE09F52" w:rsidR="00C81928" w:rsidRPr="00C81928" w:rsidRDefault="00C81928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324" w:type="pct"/>
            <w:hideMark/>
          </w:tcPr>
          <w:p w14:paraId="1483611B" w14:textId="131DBC34" w:rsidR="00C81928" w:rsidRPr="00CE3524" w:rsidRDefault="00657B59" w:rsidP="00680545">
            <w:pPr>
              <w:ind w:left="152" w:right="86"/>
              <w:rPr>
                <w:rFonts w:eastAsia="Times New Roman"/>
                <w:lang w:eastAsia="ru-RU"/>
              </w:rPr>
            </w:pPr>
            <w:r w:rsidRPr="00010332">
              <w:rPr>
                <w:rFonts w:eastAsia="Times New Roman"/>
                <w:lang w:eastAsia="ru-RU"/>
              </w:rPr>
              <w:t xml:space="preserve">Процедури </w:t>
            </w:r>
            <w:r w:rsidR="00C81928" w:rsidRPr="00010332">
              <w:rPr>
                <w:rFonts w:eastAsia="Times New Roman"/>
                <w:lang w:eastAsia="ru-RU"/>
              </w:rPr>
              <w:t xml:space="preserve"> виконання вимог регулювання</w:t>
            </w:r>
            <w:r w:rsidR="00944BB1" w:rsidRPr="00010332">
              <w:rPr>
                <w:rFonts w:eastAsia="Times New Roman"/>
                <w:lang w:eastAsia="ru-RU"/>
              </w:rPr>
              <w:t>:</w:t>
            </w:r>
          </w:p>
          <w:p w14:paraId="55F351C8" w14:textId="412C6FB8" w:rsidR="00D459E2" w:rsidRPr="00832E4E" w:rsidRDefault="00112A55" w:rsidP="00A0085D">
            <w:pPr>
              <w:ind w:left="152" w:right="86"/>
              <w:jc w:val="both"/>
              <w:rPr>
                <w:rFonts w:eastAsia="Times New Roman"/>
                <w:i/>
                <w:lang w:eastAsia="ru-RU"/>
              </w:rPr>
            </w:pPr>
            <w:r w:rsidRPr="00D459E2">
              <w:rPr>
                <w:rFonts w:eastAsia="Times New Roman"/>
                <w:i/>
                <w:lang w:eastAsia="ru-RU"/>
              </w:rPr>
              <w:t>витрати часу, пов’язані з підготовкою</w:t>
            </w:r>
            <w:r w:rsidR="00D459E2" w:rsidRPr="00D459E2">
              <w:rPr>
                <w:rFonts w:eastAsia="Times New Roman"/>
                <w:i/>
                <w:lang w:eastAsia="ru-RU"/>
              </w:rPr>
              <w:t xml:space="preserve"> </w:t>
            </w:r>
            <w:r w:rsidR="00D459E2" w:rsidRPr="00D459E2">
              <w:rPr>
                <w:i/>
              </w:rPr>
              <w:t xml:space="preserve">заявки на отримання тарифної квоти і </w:t>
            </w:r>
            <w:r w:rsidRPr="00D459E2">
              <w:rPr>
                <w:rFonts w:eastAsia="Times New Roman"/>
                <w:i/>
                <w:lang w:eastAsia="ru-RU"/>
              </w:rPr>
              <w:t xml:space="preserve">додаткових документів, що подаватимуться експортером під час експорту до митниці </w:t>
            </w:r>
            <w:r w:rsidR="00647B99" w:rsidRPr="00D459E2">
              <w:rPr>
                <w:rFonts w:eastAsia="Times New Roman"/>
                <w:i/>
                <w:lang w:eastAsia="ru-RU"/>
              </w:rPr>
              <w:t xml:space="preserve">для отримання </w:t>
            </w:r>
            <w:r w:rsidR="00D459E2" w:rsidRPr="00D459E2">
              <w:rPr>
                <w:rFonts w:eastAsia="Times New Roman"/>
                <w:i/>
                <w:lang w:eastAsia="ru-RU"/>
              </w:rPr>
              <w:t>5</w:t>
            </w:r>
            <w:r w:rsidR="00D459E2" w:rsidRPr="00D459E2">
              <w:rPr>
                <w:i/>
              </w:rPr>
              <w:t xml:space="preserve"> документів, що підтверджують статус преференційного походження товарів </w:t>
            </w:r>
            <w:r w:rsidR="00647B99" w:rsidRPr="00D459E2">
              <w:rPr>
                <w:rFonts w:eastAsia="Times New Roman"/>
                <w:i/>
                <w:lang w:eastAsia="ru-RU"/>
              </w:rPr>
              <w:t>(</w:t>
            </w:r>
            <w:r w:rsidR="00D459E2" w:rsidRPr="00D459E2">
              <w:rPr>
                <w:i/>
              </w:rPr>
              <w:t>5</w:t>
            </w:r>
            <w:r w:rsidR="0089232F" w:rsidRPr="00D459E2">
              <w:rPr>
                <w:i/>
              </w:rPr>
              <w:t xml:space="preserve"> годин</w:t>
            </w:r>
            <w:r w:rsidR="004416B8" w:rsidRPr="00D459E2">
              <w:rPr>
                <w:i/>
              </w:rPr>
              <w:t xml:space="preserve"> </w:t>
            </w:r>
            <w:r w:rsidR="00DF09C6" w:rsidRPr="00D459E2">
              <w:rPr>
                <w:rFonts w:eastAsia="Times New Roman"/>
                <w:i/>
                <w:lang w:val="en-US" w:eastAsia="ru-RU"/>
              </w:rPr>
              <w:t>x</w:t>
            </w:r>
            <w:r w:rsidR="004416B8" w:rsidRPr="00D459E2">
              <w:rPr>
                <w:rFonts w:eastAsia="Times New Roman"/>
                <w:i/>
                <w:lang w:eastAsia="ru-RU"/>
              </w:rPr>
              <w:t xml:space="preserve"> </w:t>
            </w:r>
            <w:r w:rsidR="00C2443C" w:rsidRPr="00D459E2">
              <w:rPr>
                <w:rFonts w:eastAsia="Times New Roman"/>
                <w:i/>
                <w:lang w:eastAsia="ru-RU"/>
              </w:rPr>
              <w:t>52</w:t>
            </w:r>
            <w:r w:rsidR="00DF09C6" w:rsidRPr="00D459E2">
              <w:rPr>
                <w:rFonts w:eastAsia="Times New Roman"/>
                <w:i/>
                <w:lang w:eastAsia="ru-RU"/>
              </w:rPr>
              <w:t xml:space="preserve">* грн = </w:t>
            </w:r>
            <w:r w:rsidR="00D459E2" w:rsidRPr="00D459E2">
              <w:rPr>
                <w:rFonts w:eastAsia="Times New Roman"/>
                <w:i/>
                <w:lang w:eastAsia="ru-RU"/>
              </w:rPr>
              <w:t>260</w:t>
            </w:r>
            <w:r w:rsidR="00DF09C6" w:rsidRPr="00D459E2">
              <w:rPr>
                <w:rFonts w:eastAsia="Times New Roman"/>
                <w:i/>
                <w:lang w:eastAsia="ru-RU"/>
              </w:rPr>
              <w:t xml:space="preserve"> грн</w:t>
            </w:r>
            <w:r w:rsidR="00647B99" w:rsidRPr="00D459E2">
              <w:rPr>
                <w:rFonts w:eastAsia="Times New Roman"/>
                <w:i/>
                <w:lang w:eastAsia="ru-RU"/>
              </w:rPr>
              <w:t>)</w:t>
            </w:r>
          </w:p>
        </w:tc>
        <w:tc>
          <w:tcPr>
            <w:tcW w:w="799" w:type="pct"/>
            <w:vAlign w:val="center"/>
            <w:hideMark/>
          </w:tcPr>
          <w:p w14:paraId="72953A79" w14:textId="441F2257" w:rsidR="00C81928" w:rsidRPr="002D2D54" w:rsidRDefault="00C2443C" w:rsidP="00680545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260</w:t>
            </w:r>
            <w:r w:rsidR="009404F7" w:rsidRPr="002D2D54">
              <w:rPr>
                <w:rFonts w:eastAsia="Times New Roman"/>
                <w:lang w:val="ru-RU" w:eastAsia="ru-RU"/>
              </w:rPr>
              <w:t>*</w:t>
            </w:r>
            <w:r w:rsidR="008E4B01" w:rsidRPr="002D2D54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="008E4B01" w:rsidRPr="002D2D54">
              <w:rPr>
                <w:rFonts w:eastAsia="Times New Roman"/>
                <w:lang w:val="ru-RU" w:eastAsia="ru-RU"/>
              </w:rPr>
              <w:t>грн</w:t>
            </w:r>
            <w:proofErr w:type="spellEnd"/>
          </w:p>
        </w:tc>
        <w:tc>
          <w:tcPr>
            <w:tcW w:w="799" w:type="pct"/>
            <w:vAlign w:val="center"/>
            <w:hideMark/>
          </w:tcPr>
          <w:p w14:paraId="61F12579" w14:textId="4EF6B7A4" w:rsidR="00C81928" w:rsidRPr="002D2D54" w:rsidRDefault="00C2443C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260</w:t>
            </w:r>
            <w:r w:rsidR="009404F7" w:rsidRPr="002D2D54">
              <w:rPr>
                <w:rFonts w:eastAsia="Times New Roman"/>
                <w:lang w:eastAsia="ru-RU"/>
              </w:rPr>
              <w:t>*</w:t>
            </w:r>
            <w:r w:rsidR="00DF09C6" w:rsidRPr="002D2D54">
              <w:rPr>
                <w:rFonts w:eastAsia="Times New Roman"/>
                <w:lang w:eastAsia="ru-RU"/>
              </w:rPr>
              <w:t xml:space="preserve"> грн</w:t>
            </w:r>
          </w:p>
        </w:tc>
        <w:tc>
          <w:tcPr>
            <w:tcW w:w="718" w:type="pct"/>
            <w:vAlign w:val="center"/>
            <w:hideMark/>
          </w:tcPr>
          <w:p w14:paraId="7B3773FC" w14:textId="2DAC6A5C" w:rsidR="00C81928" w:rsidRPr="002D2D54" w:rsidRDefault="00C2443C" w:rsidP="00680545">
            <w:pPr>
              <w:jc w:val="center"/>
              <w:rPr>
                <w:rFonts w:eastAsia="Times New Roman"/>
                <w:lang w:eastAsia="ru-RU"/>
              </w:rPr>
            </w:pPr>
            <w:r>
              <w:t>1300</w:t>
            </w:r>
            <w:r w:rsidR="00680545">
              <w:t xml:space="preserve"> грн</w:t>
            </w:r>
          </w:p>
        </w:tc>
      </w:tr>
      <w:tr w:rsidR="00627DEE" w:rsidRPr="00C81928" w14:paraId="1F357943" w14:textId="77777777" w:rsidTr="00D043E0">
        <w:trPr>
          <w:trHeight w:val="12"/>
        </w:trPr>
        <w:tc>
          <w:tcPr>
            <w:tcW w:w="361" w:type="pct"/>
            <w:hideMark/>
          </w:tcPr>
          <w:p w14:paraId="02474AB4" w14:textId="4BF8107A" w:rsidR="00627DEE" w:rsidRPr="00C81928" w:rsidRDefault="00627DE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324" w:type="pct"/>
            <w:hideMark/>
          </w:tcPr>
          <w:p w14:paraId="04098ECC" w14:textId="77777777" w:rsidR="00627DEE" w:rsidRPr="00C81928" w:rsidRDefault="00627DE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офіційного звітування</w:t>
            </w:r>
          </w:p>
          <w:p w14:paraId="7DB7CC73" w14:textId="77777777" w:rsidR="00627DEE" w:rsidRPr="00C81928" w:rsidRDefault="00627DE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0F2B4C49" w14:textId="34F93227" w:rsidR="00627DEE" w:rsidRPr="00C81928" w:rsidRDefault="00627DE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вартість часу суб’єкта малого підприємництва (заробітна плата)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оціночна кількість оригінальних звітів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кількість періодів звітності за рік</w:t>
            </w:r>
          </w:p>
        </w:tc>
        <w:tc>
          <w:tcPr>
            <w:tcW w:w="799" w:type="pct"/>
            <w:vAlign w:val="center"/>
            <w:hideMark/>
          </w:tcPr>
          <w:p w14:paraId="0B1A4219" w14:textId="205BAE89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9" w:type="pct"/>
            <w:vAlign w:val="center"/>
            <w:hideMark/>
          </w:tcPr>
          <w:p w14:paraId="096667B1" w14:textId="52E87B2E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38A4A407" w14:textId="62A26BD2" w:rsidR="00627DEE" w:rsidRPr="00C81928" w:rsidRDefault="00627DEE" w:rsidP="0068054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9AD">
              <w:rPr>
                <w:rFonts w:eastAsia="Times New Roman"/>
                <w:lang w:eastAsia="ru-RU"/>
              </w:rPr>
              <w:t>–</w:t>
            </w:r>
          </w:p>
        </w:tc>
      </w:tr>
      <w:tr w:rsidR="00BE45DE" w:rsidRPr="00C81928" w14:paraId="2A8FF517" w14:textId="77777777" w:rsidTr="00D043E0">
        <w:trPr>
          <w:trHeight w:val="12"/>
        </w:trPr>
        <w:tc>
          <w:tcPr>
            <w:tcW w:w="361" w:type="pct"/>
            <w:hideMark/>
          </w:tcPr>
          <w:p w14:paraId="6179B536" w14:textId="77777777" w:rsidR="00BE45DE" w:rsidRPr="00C81928" w:rsidRDefault="00BE45DE" w:rsidP="00680545">
            <w:pPr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324" w:type="pct"/>
            <w:hideMark/>
          </w:tcPr>
          <w:p w14:paraId="1529C976" w14:textId="77777777" w:rsidR="00BE45DE" w:rsidRPr="00C81928" w:rsidRDefault="00BE45D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Процедури щодо забезпечення процесу перевірок</w:t>
            </w:r>
          </w:p>
          <w:p w14:paraId="7F227C78" w14:textId="77777777" w:rsidR="00BE45DE" w:rsidRPr="00C81928" w:rsidRDefault="00BE45D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690E082B" w14:textId="2FE4FA71" w:rsidR="00BE45DE" w:rsidRPr="00C81928" w:rsidRDefault="00BE45DE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lastRenderedPageBreak/>
              <w:t xml:space="preserve">витрати часу на забезпечення процесу перевірок з боку контролюючих органів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вартість часу суб’єкта малого підприємництва (заробітна плата) </w:t>
            </w:r>
            <w:r w:rsidR="004416B8" w:rsidRPr="00C81928">
              <w:rPr>
                <w:rFonts w:eastAsia="Times New Roman"/>
                <w:i/>
                <w:iCs/>
                <w:lang w:eastAsia="ru-RU"/>
              </w:rPr>
              <w:t>х</w:t>
            </w:r>
            <w:r w:rsidRPr="00C81928">
              <w:rPr>
                <w:rFonts w:eastAsia="Times New Roman"/>
                <w:i/>
                <w:iCs/>
                <w:lang w:eastAsia="ru-RU"/>
              </w:rPr>
              <w:t xml:space="preserve"> оціночна кількість перевірок за рік</w:t>
            </w:r>
          </w:p>
        </w:tc>
        <w:tc>
          <w:tcPr>
            <w:tcW w:w="799" w:type="pct"/>
            <w:vAlign w:val="center"/>
            <w:hideMark/>
          </w:tcPr>
          <w:p w14:paraId="5A5C4E22" w14:textId="26D218FF" w:rsidR="00BE45DE" w:rsidRPr="00C81928" w:rsidRDefault="00BE45DE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lastRenderedPageBreak/>
              <w:t>–</w:t>
            </w:r>
          </w:p>
        </w:tc>
        <w:tc>
          <w:tcPr>
            <w:tcW w:w="799" w:type="pct"/>
            <w:vAlign w:val="center"/>
            <w:hideMark/>
          </w:tcPr>
          <w:p w14:paraId="222E5980" w14:textId="0F40076D" w:rsidR="00BE45DE" w:rsidRPr="00C81928" w:rsidRDefault="00BE45DE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18" w:type="pct"/>
            <w:vAlign w:val="center"/>
            <w:hideMark/>
          </w:tcPr>
          <w:p w14:paraId="672C5399" w14:textId="3E424D78" w:rsidR="00BE45DE" w:rsidRPr="00C81928" w:rsidRDefault="00BE45DE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</w:tr>
      <w:tr w:rsidR="007E15D0" w:rsidRPr="00C81928" w14:paraId="6A06DD28" w14:textId="77777777" w:rsidTr="00D043E0">
        <w:trPr>
          <w:trHeight w:val="12"/>
        </w:trPr>
        <w:tc>
          <w:tcPr>
            <w:tcW w:w="361" w:type="pct"/>
            <w:hideMark/>
          </w:tcPr>
          <w:p w14:paraId="6FBA4B65" w14:textId="77777777" w:rsidR="007E15D0" w:rsidRPr="007E15D0" w:rsidRDefault="007E15D0" w:rsidP="00680545">
            <w:pPr>
              <w:jc w:val="center"/>
              <w:rPr>
                <w:rFonts w:eastAsia="Times New Roman"/>
                <w:lang w:eastAsia="ru-RU"/>
              </w:rPr>
            </w:pPr>
            <w:r w:rsidRPr="007E15D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324" w:type="pct"/>
            <w:hideMark/>
          </w:tcPr>
          <w:p w14:paraId="55CD25E8" w14:textId="46B098B4" w:rsidR="007E15D0" w:rsidRPr="007E15D0" w:rsidRDefault="007E15D0" w:rsidP="00680545">
            <w:pPr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7E15D0">
              <w:rPr>
                <w:rFonts w:eastAsia="Times New Roman"/>
                <w:lang w:eastAsia="ru-RU"/>
              </w:rPr>
              <w:t>Інші процедури (уточнити)</w:t>
            </w:r>
          </w:p>
        </w:tc>
        <w:tc>
          <w:tcPr>
            <w:tcW w:w="799" w:type="pct"/>
            <w:vAlign w:val="center"/>
            <w:hideMark/>
          </w:tcPr>
          <w:p w14:paraId="3A340874" w14:textId="3C219E52" w:rsidR="007E15D0" w:rsidRPr="007E15D0" w:rsidRDefault="007E15D0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9" w:type="pct"/>
            <w:vAlign w:val="center"/>
          </w:tcPr>
          <w:p w14:paraId="79351571" w14:textId="177B4310" w:rsidR="007E15D0" w:rsidRPr="007E15D0" w:rsidRDefault="007E15D0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18" w:type="pct"/>
            <w:vAlign w:val="center"/>
          </w:tcPr>
          <w:p w14:paraId="04847EF3" w14:textId="19D0A0D6" w:rsidR="007E15D0" w:rsidRPr="007E15D0" w:rsidRDefault="007E15D0" w:rsidP="00680545">
            <w:pPr>
              <w:jc w:val="center"/>
              <w:rPr>
                <w:rFonts w:eastAsia="Times New Roman"/>
                <w:lang w:eastAsia="ru-RU"/>
              </w:rPr>
            </w:pPr>
            <w:r w:rsidRPr="0037606D">
              <w:rPr>
                <w:rFonts w:eastAsia="Times New Roman"/>
                <w:lang w:eastAsia="ru-RU"/>
              </w:rPr>
              <w:t>–</w:t>
            </w:r>
          </w:p>
        </w:tc>
      </w:tr>
      <w:tr w:rsidR="008E4B01" w:rsidRPr="00C81928" w14:paraId="1A67C2FF" w14:textId="77777777" w:rsidTr="00D043E0">
        <w:trPr>
          <w:trHeight w:val="12"/>
        </w:trPr>
        <w:tc>
          <w:tcPr>
            <w:tcW w:w="361" w:type="pct"/>
            <w:hideMark/>
          </w:tcPr>
          <w:p w14:paraId="245F402B" w14:textId="311B59A0" w:rsidR="008E4B01" w:rsidRPr="00C81928" w:rsidRDefault="008E4B01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2324" w:type="pct"/>
            <w:hideMark/>
          </w:tcPr>
          <w:p w14:paraId="752D7607" w14:textId="77777777" w:rsidR="008E4B01" w:rsidRPr="00C81928" w:rsidRDefault="008E4B01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Разом, гривень</w:t>
            </w:r>
          </w:p>
          <w:p w14:paraId="6C15E486" w14:textId="77777777" w:rsidR="008E4B01" w:rsidRPr="00C81928" w:rsidRDefault="008E4B01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1EECDDCC" w14:textId="77777777" w:rsidR="008E4B01" w:rsidRPr="00C81928" w:rsidRDefault="008E4B01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(сума рядків 9 + 10 + 11 + 12 + 13)</w:t>
            </w:r>
          </w:p>
        </w:tc>
        <w:tc>
          <w:tcPr>
            <w:tcW w:w="799" w:type="pct"/>
            <w:vAlign w:val="center"/>
            <w:hideMark/>
          </w:tcPr>
          <w:p w14:paraId="6FB1E85E" w14:textId="32DD4D22" w:rsidR="008E4B01" w:rsidRPr="00010332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312</w:t>
            </w:r>
          </w:p>
        </w:tc>
        <w:tc>
          <w:tcPr>
            <w:tcW w:w="799" w:type="pct"/>
            <w:vAlign w:val="center"/>
            <w:hideMark/>
          </w:tcPr>
          <w:p w14:paraId="1D0138A9" w14:textId="065D1873" w:rsidR="008E4B01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260</w:t>
            </w:r>
          </w:p>
        </w:tc>
        <w:tc>
          <w:tcPr>
            <w:tcW w:w="718" w:type="pct"/>
            <w:vAlign w:val="center"/>
            <w:hideMark/>
          </w:tcPr>
          <w:p w14:paraId="14E11823" w14:textId="15154E5D" w:rsidR="008E4B01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1352</w:t>
            </w:r>
          </w:p>
        </w:tc>
      </w:tr>
      <w:tr w:rsidR="008E4B01" w:rsidRPr="00C81928" w14:paraId="00BDB7D9" w14:textId="77777777" w:rsidTr="00D043E0">
        <w:trPr>
          <w:trHeight w:val="12"/>
        </w:trPr>
        <w:tc>
          <w:tcPr>
            <w:tcW w:w="361" w:type="pct"/>
            <w:hideMark/>
          </w:tcPr>
          <w:p w14:paraId="19B060AB" w14:textId="77777777" w:rsidR="008E4B01" w:rsidRPr="00C81928" w:rsidRDefault="008E4B01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324" w:type="pct"/>
            <w:hideMark/>
          </w:tcPr>
          <w:p w14:paraId="1E794429" w14:textId="77777777" w:rsidR="008E4B01" w:rsidRPr="00C81928" w:rsidRDefault="008E4B01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799" w:type="pct"/>
            <w:vAlign w:val="center"/>
            <w:hideMark/>
          </w:tcPr>
          <w:p w14:paraId="2D3889AD" w14:textId="333C8E6F" w:rsidR="008E4B01" w:rsidRPr="00C81928" w:rsidRDefault="00D459E2" w:rsidP="00680545">
            <w:pPr>
              <w:widowControl w:val="0"/>
              <w:jc w:val="center"/>
              <w:rPr>
                <w:rFonts w:eastAsia="Times New Roman"/>
                <w:b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344BC0">
              <w:rPr>
                <w:rFonts w:eastAsia="Times New Roman"/>
                <w:lang w:eastAsia="ru-RU"/>
              </w:rPr>
              <w:t>**</w:t>
            </w:r>
          </w:p>
        </w:tc>
        <w:tc>
          <w:tcPr>
            <w:tcW w:w="799" w:type="pct"/>
            <w:vAlign w:val="center"/>
            <w:hideMark/>
          </w:tcPr>
          <w:p w14:paraId="6D066ED6" w14:textId="15D16EA5" w:rsidR="008E4B01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344BC0">
              <w:rPr>
                <w:rFonts w:eastAsia="Times New Roman"/>
                <w:lang w:eastAsia="ru-RU"/>
              </w:rPr>
              <w:t>**</w:t>
            </w:r>
          </w:p>
        </w:tc>
        <w:tc>
          <w:tcPr>
            <w:tcW w:w="718" w:type="pct"/>
            <w:vAlign w:val="center"/>
            <w:hideMark/>
          </w:tcPr>
          <w:p w14:paraId="7C9BFE4F" w14:textId="77777777" w:rsidR="00B16FC7" w:rsidRPr="00647B99" w:rsidRDefault="00B16FC7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14:paraId="2AD70267" w14:textId="1E8E5EA0" w:rsidR="008E4B01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  <w:r w:rsidR="00344BC0">
              <w:rPr>
                <w:rFonts w:eastAsia="Times New Roman"/>
                <w:lang w:eastAsia="ru-RU"/>
              </w:rPr>
              <w:t>**</w:t>
            </w:r>
          </w:p>
          <w:p w14:paraId="1583EA3C" w14:textId="77777777" w:rsidR="008E4B01" w:rsidRPr="00647B99" w:rsidRDefault="008E4B01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459E2" w:rsidRPr="00C81928" w14:paraId="7B838A16" w14:textId="77777777" w:rsidTr="00D043E0">
        <w:trPr>
          <w:trHeight w:val="12"/>
        </w:trPr>
        <w:tc>
          <w:tcPr>
            <w:tcW w:w="361" w:type="pct"/>
            <w:hideMark/>
          </w:tcPr>
          <w:p w14:paraId="0942AE37" w14:textId="77777777" w:rsidR="00D459E2" w:rsidRPr="00C81928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324" w:type="pct"/>
            <w:hideMark/>
          </w:tcPr>
          <w:p w14:paraId="5E22382A" w14:textId="77777777" w:rsidR="00D459E2" w:rsidRPr="00C81928" w:rsidRDefault="00D459E2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Сумарно, гривень</w:t>
            </w:r>
          </w:p>
          <w:p w14:paraId="61D193D6" w14:textId="77777777" w:rsidR="00D459E2" w:rsidRPr="00C81928" w:rsidRDefault="00D459E2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i/>
                <w:iCs/>
                <w:lang w:eastAsia="ru-RU"/>
              </w:rPr>
              <w:t>Формула:</w:t>
            </w:r>
          </w:p>
          <w:p w14:paraId="4021628B" w14:textId="2325F707" w:rsidR="00D459E2" w:rsidRPr="00C81928" w:rsidRDefault="00D459E2" w:rsidP="00680545">
            <w:pPr>
              <w:widowControl w:val="0"/>
              <w:ind w:left="152" w:right="8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відповідний стовпчик “разом</w:t>
            </w:r>
            <w:r w:rsidRPr="00C81928">
              <w:rPr>
                <w:rFonts w:eastAsia="Times New Roman"/>
                <w:i/>
                <w:iCs/>
                <w:lang w:eastAsia="ru-RU"/>
              </w:rPr>
              <w:t>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799" w:type="pct"/>
            <w:vAlign w:val="center"/>
            <w:hideMark/>
          </w:tcPr>
          <w:p w14:paraId="6AA5FBB2" w14:textId="21F5DD1E" w:rsidR="00D459E2" w:rsidRPr="00601A7A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43251">
              <w:t>6</w:t>
            </w:r>
            <w:r>
              <w:t xml:space="preserve"> </w:t>
            </w:r>
            <w:r w:rsidRPr="00D43251">
              <w:t>552</w:t>
            </w:r>
          </w:p>
        </w:tc>
        <w:tc>
          <w:tcPr>
            <w:tcW w:w="799" w:type="pct"/>
            <w:vAlign w:val="center"/>
            <w:hideMark/>
          </w:tcPr>
          <w:p w14:paraId="0DDA09C6" w14:textId="749E45EF" w:rsidR="00D459E2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43251">
              <w:t>5</w:t>
            </w:r>
            <w:r>
              <w:t xml:space="preserve"> </w:t>
            </w:r>
            <w:r w:rsidRPr="00D43251">
              <w:t>460</w:t>
            </w:r>
          </w:p>
        </w:tc>
        <w:tc>
          <w:tcPr>
            <w:tcW w:w="718" w:type="pct"/>
            <w:vAlign w:val="center"/>
            <w:hideMark/>
          </w:tcPr>
          <w:p w14:paraId="49C090E5" w14:textId="38DA6425" w:rsidR="00D459E2" w:rsidRPr="00647B99" w:rsidRDefault="00D459E2" w:rsidP="0068054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43251">
              <w:t>28</w:t>
            </w:r>
            <w:r>
              <w:t xml:space="preserve"> </w:t>
            </w:r>
            <w:r w:rsidRPr="00D43251">
              <w:t>392</w:t>
            </w:r>
          </w:p>
        </w:tc>
      </w:tr>
    </w:tbl>
    <w:p w14:paraId="04E6012D" w14:textId="77777777" w:rsidR="00B16FC7" w:rsidRDefault="00B16FC7" w:rsidP="00C81928">
      <w:pPr>
        <w:shd w:val="clear" w:color="auto" w:fill="FFFFFF"/>
        <w:ind w:left="448" w:right="448"/>
        <w:jc w:val="center"/>
        <w:rPr>
          <w:rFonts w:eastAsia="Times New Roman"/>
          <w:sz w:val="20"/>
          <w:szCs w:val="20"/>
          <w:lang w:eastAsia="ru-RU"/>
        </w:rPr>
      </w:pPr>
      <w:bookmarkStart w:id="14" w:name="n208"/>
      <w:bookmarkEnd w:id="14"/>
    </w:p>
    <w:p w14:paraId="52BFF3ED" w14:textId="674A43DA" w:rsidR="00B11CA2" w:rsidRPr="00FA59BC" w:rsidRDefault="00B11CA2" w:rsidP="00B16FC7">
      <w:pPr>
        <w:shd w:val="clear" w:color="auto" w:fill="FFFFFF"/>
        <w:tabs>
          <w:tab w:val="left" w:pos="9638"/>
        </w:tabs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76338D">
        <w:rPr>
          <w:rFonts w:eastAsia="Times New Roman"/>
          <w:sz w:val="20"/>
          <w:szCs w:val="20"/>
          <w:lang w:eastAsia="ru-RU"/>
        </w:rPr>
        <w:t xml:space="preserve">* </w:t>
      </w:r>
      <w:r w:rsidR="00DD2883" w:rsidRPr="0076338D">
        <w:rPr>
          <w:rFonts w:eastAsia="Times New Roman"/>
          <w:sz w:val="20"/>
          <w:szCs w:val="20"/>
          <w:lang w:eastAsia="ru-RU"/>
        </w:rPr>
        <w:t xml:space="preserve">Розрахунок відповідних витрат на одного суб’єкта господарювання  наведено </w:t>
      </w:r>
      <w:r w:rsidR="008878C3" w:rsidRPr="0076338D">
        <w:rPr>
          <w:rFonts w:eastAsia="Times New Roman"/>
          <w:sz w:val="20"/>
          <w:szCs w:val="20"/>
          <w:lang w:eastAsia="ru-RU"/>
        </w:rPr>
        <w:t>у п.</w:t>
      </w:r>
      <w:r w:rsidR="00DD2883" w:rsidRPr="0076338D">
        <w:rPr>
          <w:rFonts w:eastAsia="Times New Roman"/>
          <w:sz w:val="20"/>
          <w:szCs w:val="20"/>
          <w:lang w:eastAsia="ru-RU"/>
        </w:rPr>
        <w:t xml:space="preserve"> </w:t>
      </w:r>
      <w:r w:rsidR="008878C3" w:rsidRPr="0076338D">
        <w:rPr>
          <w:rFonts w:eastAsia="Times New Roman"/>
          <w:sz w:val="20"/>
          <w:szCs w:val="20"/>
          <w:lang w:eastAsia="ru-RU"/>
        </w:rPr>
        <w:t xml:space="preserve">п. </w:t>
      </w:r>
      <w:r w:rsidR="00DD2883" w:rsidRPr="0076338D">
        <w:rPr>
          <w:rFonts w:eastAsia="Times New Roman"/>
          <w:sz w:val="20"/>
          <w:szCs w:val="20"/>
          <w:lang w:eastAsia="ru-RU"/>
        </w:rPr>
        <w:t xml:space="preserve">5, 6 </w:t>
      </w:r>
      <w:r w:rsidRPr="0076338D">
        <w:rPr>
          <w:rFonts w:eastAsia="Times New Roman"/>
          <w:sz w:val="20"/>
          <w:szCs w:val="20"/>
          <w:lang w:eastAsia="ru-RU"/>
        </w:rPr>
        <w:t xml:space="preserve">таблиці </w:t>
      </w:r>
      <w:r w:rsidR="0076338D" w:rsidRPr="0076338D">
        <w:rPr>
          <w:rFonts w:eastAsia="Times New Roman"/>
          <w:sz w:val="20"/>
          <w:szCs w:val="20"/>
          <w:lang w:eastAsia="ru-RU"/>
        </w:rPr>
        <w:t>2</w:t>
      </w:r>
      <w:r w:rsidRPr="0076338D">
        <w:rPr>
          <w:rFonts w:eastAsia="Times New Roman"/>
          <w:sz w:val="20"/>
          <w:szCs w:val="20"/>
          <w:lang w:eastAsia="ru-RU"/>
        </w:rPr>
        <w:t xml:space="preserve"> </w:t>
      </w:r>
      <w:r w:rsidR="0076338D">
        <w:rPr>
          <w:rFonts w:eastAsia="Times New Roman"/>
          <w:sz w:val="20"/>
          <w:szCs w:val="20"/>
          <w:lang w:eastAsia="ru-RU"/>
        </w:rPr>
        <w:t xml:space="preserve">Додатку </w:t>
      </w:r>
      <w:r w:rsidR="00E44CA1">
        <w:rPr>
          <w:rFonts w:eastAsia="Times New Roman"/>
          <w:sz w:val="20"/>
          <w:szCs w:val="20"/>
          <w:lang w:val="en-US" w:eastAsia="ru-RU"/>
        </w:rPr>
        <w:t>1</w:t>
      </w:r>
      <w:r w:rsidR="0076338D">
        <w:rPr>
          <w:rFonts w:eastAsia="Times New Roman"/>
          <w:sz w:val="20"/>
          <w:szCs w:val="20"/>
          <w:lang w:eastAsia="ru-RU"/>
        </w:rPr>
        <w:t xml:space="preserve"> </w:t>
      </w:r>
      <w:r w:rsidRPr="0076338D">
        <w:rPr>
          <w:rFonts w:eastAsia="Times New Roman"/>
          <w:sz w:val="20"/>
          <w:szCs w:val="20"/>
          <w:lang w:eastAsia="ru-RU"/>
        </w:rPr>
        <w:t>для альтернативи 2.</w:t>
      </w:r>
    </w:p>
    <w:p w14:paraId="7449D8C7" w14:textId="3A8143EF" w:rsidR="00344BC0" w:rsidRPr="00344BC0" w:rsidRDefault="00B16FC7" w:rsidP="00B16FC7">
      <w:pPr>
        <w:shd w:val="clear" w:color="auto" w:fill="FFFFFF"/>
        <w:tabs>
          <w:tab w:val="left" w:pos="9638"/>
        </w:tabs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2D2D54">
        <w:rPr>
          <w:rFonts w:eastAsia="Times New Roman"/>
          <w:sz w:val="20"/>
          <w:szCs w:val="20"/>
          <w:lang w:eastAsia="ru-RU"/>
        </w:rPr>
        <w:t>*</w:t>
      </w:r>
      <w:r w:rsidR="00B11CA2" w:rsidRPr="002D2D54">
        <w:rPr>
          <w:rFonts w:eastAsia="Times New Roman"/>
          <w:sz w:val="20"/>
          <w:szCs w:val="20"/>
          <w:lang w:eastAsia="ru-RU"/>
        </w:rPr>
        <w:t>*</w:t>
      </w:r>
      <w:r w:rsidRPr="00344BC0">
        <w:rPr>
          <w:rFonts w:eastAsia="Times New Roman"/>
          <w:sz w:val="20"/>
          <w:szCs w:val="20"/>
          <w:lang w:eastAsia="ru-RU"/>
        </w:rPr>
        <w:t xml:space="preserve"> </w:t>
      </w:r>
      <w:r w:rsidR="00344BC0" w:rsidRPr="00344BC0">
        <w:rPr>
          <w:rFonts w:eastAsia="Times New Roman"/>
          <w:sz w:val="20"/>
          <w:szCs w:val="20"/>
          <w:lang w:eastAsia="ru-RU"/>
        </w:rPr>
        <w:t xml:space="preserve">Хоча розрахунок представлений для 21 суб’єкта господарювання, </w:t>
      </w:r>
      <w:r w:rsidR="00344BC0">
        <w:rPr>
          <w:rFonts w:eastAsia="Times New Roman"/>
          <w:sz w:val="20"/>
          <w:szCs w:val="20"/>
          <w:lang w:eastAsia="ru-RU"/>
        </w:rPr>
        <w:t>разом з тим,</w:t>
      </w:r>
      <w:r w:rsidR="00344BC0" w:rsidRPr="00344BC0">
        <w:rPr>
          <w:rFonts w:eastAsia="Times New Roman"/>
          <w:sz w:val="20"/>
          <w:szCs w:val="20"/>
          <w:lang w:eastAsia="ru-RU"/>
        </w:rPr>
        <w:t xml:space="preserve"> витрати розміром 4</w:t>
      </w:r>
      <w:r w:rsidR="00344BC0">
        <w:rPr>
          <w:rFonts w:eastAsia="Times New Roman"/>
          <w:sz w:val="20"/>
          <w:szCs w:val="20"/>
          <w:lang w:eastAsia="ru-RU"/>
        </w:rPr>
        <w:t> </w:t>
      </w:r>
      <w:r w:rsidR="00344BC0" w:rsidRPr="00344BC0">
        <w:rPr>
          <w:rFonts w:eastAsia="Times New Roman"/>
          <w:sz w:val="20"/>
          <w:szCs w:val="20"/>
          <w:lang w:eastAsia="ru-RU"/>
        </w:rPr>
        <w:t>003</w:t>
      </w:r>
      <w:r w:rsidR="00344BC0">
        <w:rPr>
          <w:rFonts w:eastAsia="Times New Roman"/>
          <w:sz w:val="20"/>
          <w:szCs w:val="20"/>
          <w:lang w:eastAsia="ru-RU"/>
        </w:rPr>
        <w:t> </w:t>
      </w:r>
      <w:r w:rsidR="00344BC0" w:rsidRPr="00344BC0">
        <w:rPr>
          <w:rFonts w:eastAsia="Times New Roman"/>
          <w:sz w:val="20"/>
          <w:szCs w:val="20"/>
          <w:lang w:eastAsia="ru-RU"/>
        </w:rPr>
        <w:t>421</w:t>
      </w:r>
      <w:r w:rsidR="00344BC0">
        <w:rPr>
          <w:rFonts w:eastAsia="Times New Roman"/>
          <w:sz w:val="20"/>
          <w:szCs w:val="20"/>
          <w:lang w:eastAsia="ru-RU"/>
        </w:rPr>
        <w:t> </w:t>
      </w:r>
      <w:r w:rsidR="00344BC0" w:rsidRPr="00344BC0">
        <w:rPr>
          <w:rFonts w:eastAsia="Times New Roman"/>
          <w:sz w:val="20"/>
          <w:szCs w:val="20"/>
          <w:lang w:eastAsia="ru-RU"/>
        </w:rPr>
        <w:t xml:space="preserve"> грн за рік або 20 017 105 грн за 5 років можуть бути понесені також одним суб’єктом господарювання, оскільки тарифна квота обсягом 2000 тон надаватиметься при експорті товарів з України до ОАЕ за принципом «перший прийшов – перший обслуговується».</w:t>
      </w:r>
    </w:p>
    <w:p w14:paraId="2595001E" w14:textId="1BF99594" w:rsidR="00B16FC7" w:rsidRDefault="00344BC0" w:rsidP="00B16FC7">
      <w:pPr>
        <w:shd w:val="clear" w:color="auto" w:fill="FFFFFF"/>
        <w:tabs>
          <w:tab w:val="left" w:pos="9638"/>
        </w:tabs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344BC0">
        <w:rPr>
          <w:rFonts w:eastAsia="Times New Roman"/>
          <w:sz w:val="20"/>
          <w:szCs w:val="20"/>
          <w:lang w:eastAsia="ru-RU"/>
        </w:rPr>
        <w:t xml:space="preserve">*** </w:t>
      </w:r>
      <w:r w:rsidR="00B16FC7" w:rsidRPr="00B16FC7">
        <w:rPr>
          <w:rFonts w:eastAsia="Times New Roman"/>
          <w:sz w:val="20"/>
          <w:szCs w:val="20"/>
          <w:lang w:eastAsia="ru-RU"/>
        </w:rPr>
        <w:t>Розрахунок середньої заробітної плати по Україні здійснено відповідно до Закону України «Про державний бюджет України на 202</w:t>
      </w:r>
      <w:r w:rsidR="00D459E2">
        <w:rPr>
          <w:rFonts w:eastAsia="Times New Roman"/>
          <w:sz w:val="20"/>
          <w:szCs w:val="20"/>
          <w:lang w:eastAsia="ru-RU"/>
        </w:rPr>
        <w:t>6</w:t>
      </w:r>
      <w:r w:rsidR="00B16FC7" w:rsidRPr="00B16FC7">
        <w:rPr>
          <w:rFonts w:eastAsia="Times New Roman"/>
          <w:sz w:val="20"/>
          <w:szCs w:val="20"/>
          <w:lang w:eastAsia="ru-RU"/>
        </w:rPr>
        <w:t xml:space="preserve"> рік», яким затверджено розмір мінімальної заробітної плати на 202</w:t>
      </w:r>
      <w:r w:rsidR="00D459E2">
        <w:rPr>
          <w:rFonts w:eastAsia="Times New Roman"/>
          <w:sz w:val="20"/>
          <w:szCs w:val="20"/>
          <w:lang w:eastAsia="ru-RU"/>
        </w:rPr>
        <w:t>6</w:t>
      </w:r>
      <w:r w:rsidR="00B16FC7" w:rsidRPr="00B16FC7">
        <w:rPr>
          <w:rFonts w:eastAsia="Times New Roman"/>
          <w:sz w:val="20"/>
          <w:szCs w:val="20"/>
          <w:lang w:eastAsia="ru-RU"/>
        </w:rPr>
        <w:t xml:space="preserve"> рік, у місячному розмірі з 1 січня 202</w:t>
      </w:r>
      <w:r w:rsidR="00D459E2">
        <w:rPr>
          <w:rFonts w:eastAsia="Times New Roman"/>
          <w:sz w:val="20"/>
          <w:szCs w:val="20"/>
          <w:lang w:eastAsia="ru-RU"/>
        </w:rPr>
        <w:t>6</w:t>
      </w:r>
      <w:r w:rsidR="00B16FC7" w:rsidRPr="00B16FC7">
        <w:rPr>
          <w:rFonts w:eastAsia="Times New Roman"/>
          <w:sz w:val="20"/>
          <w:szCs w:val="20"/>
          <w:lang w:eastAsia="ru-RU"/>
        </w:rPr>
        <w:t xml:space="preserve"> року становить </w:t>
      </w:r>
      <w:r w:rsidR="00D459E2">
        <w:rPr>
          <w:rFonts w:eastAsia="Times New Roman"/>
          <w:sz w:val="20"/>
          <w:szCs w:val="20"/>
          <w:lang w:eastAsia="ru-RU"/>
        </w:rPr>
        <w:t>8647</w:t>
      </w:r>
      <w:r w:rsidR="00B16FC7" w:rsidRPr="00B16FC7">
        <w:rPr>
          <w:rFonts w:eastAsia="Times New Roman"/>
          <w:sz w:val="20"/>
          <w:szCs w:val="20"/>
          <w:lang w:eastAsia="ru-RU"/>
        </w:rPr>
        <w:t xml:space="preserve"> гривень, погодинна – </w:t>
      </w:r>
      <w:r w:rsidR="00D459E2">
        <w:rPr>
          <w:rFonts w:eastAsia="Times New Roman"/>
          <w:sz w:val="20"/>
          <w:szCs w:val="20"/>
          <w:lang w:eastAsia="ru-RU"/>
        </w:rPr>
        <w:t>52</w:t>
      </w:r>
      <w:r w:rsidR="00B16FC7" w:rsidRPr="00B16FC7">
        <w:rPr>
          <w:rFonts w:eastAsia="Times New Roman"/>
          <w:sz w:val="20"/>
          <w:szCs w:val="20"/>
          <w:lang w:eastAsia="ru-RU"/>
        </w:rPr>
        <w:t>,0 гривень.</w:t>
      </w:r>
    </w:p>
    <w:p w14:paraId="1CD494D8" w14:textId="5A5D3242" w:rsidR="00DF78B3" w:rsidRDefault="00DF78B3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941CDCC" w14:textId="409DAA08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B90D82F" w14:textId="187BBD75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E1FE6C7" w14:textId="6A76F5A3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0BA5D8E" w14:textId="17DDC4DD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1D61473" w14:textId="23C221DB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99985DA" w14:textId="2B797723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DDC48D6" w14:textId="3EEBFF96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EB8E8B7" w14:textId="0368B29B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29894A3" w14:textId="2F292C86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99DEF50" w14:textId="4485FAAE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2EED048" w14:textId="0652FB94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88A09E0" w14:textId="77777777" w:rsidR="00A0085D" w:rsidRDefault="00A0085D" w:rsidP="008A46F0">
      <w:pPr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24049BE" w14:textId="5D90F359" w:rsidR="008A46F0" w:rsidRPr="008A46F0" w:rsidRDefault="008A46F0" w:rsidP="0076338D">
      <w:pPr>
        <w:widowControl w:val="0"/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  <w:r w:rsidRPr="008A46F0">
        <w:rPr>
          <w:rFonts w:eastAsia="Times New Roman"/>
          <w:b/>
          <w:sz w:val="28"/>
          <w:szCs w:val="28"/>
          <w:lang w:eastAsia="ru-RU"/>
        </w:rPr>
        <w:t xml:space="preserve">Бюджетні витрати </w:t>
      </w:r>
    </w:p>
    <w:p w14:paraId="5759D637" w14:textId="07C72A04" w:rsidR="008A46F0" w:rsidRPr="008A46F0" w:rsidRDefault="008A46F0" w:rsidP="0076338D">
      <w:pPr>
        <w:widowControl w:val="0"/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  <w:r w:rsidRPr="008A46F0">
        <w:rPr>
          <w:rFonts w:eastAsia="Times New Roman"/>
          <w:b/>
          <w:sz w:val="28"/>
          <w:szCs w:val="28"/>
          <w:lang w:eastAsia="ru-RU"/>
        </w:rPr>
        <w:t xml:space="preserve">на адміністрування регулювання суб’єктів </w:t>
      </w:r>
      <w:r w:rsidR="00217013">
        <w:rPr>
          <w:rFonts w:eastAsia="Times New Roman"/>
          <w:b/>
          <w:sz w:val="28"/>
          <w:szCs w:val="28"/>
          <w:lang w:eastAsia="ru-RU"/>
        </w:rPr>
        <w:t xml:space="preserve">малого </w:t>
      </w:r>
      <w:r w:rsidRPr="008A46F0">
        <w:rPr>
          <w:rFonts w:eastAsia="Times New Roman"/>
          <w:b/>
          <w:sz w:val="28"/>
          <w:szCs w:val="28"/>
          <w:lang w:eastAsia="ru-RU"/>
        </w:rPr>
        <w:t>підприємництва</w:t>
      </w:r>
    </w:p>
    <w:p w14:paraId="2C7BCDCE" w14:textId="77777777" w:rsidR="008A46F0" w:rsidRPr="008A46F0" w:rsidRDefault="008A46F0" w:rsidP="0076338D">
      <w:pPr>
        <w:widowControl w:val="0"/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49318CD" w14:textId="77777777" w:rsidR="008A46F0" w:rsidRDefault="008A46F0" w:rsidP="0076338D">
      <w:pPr>
        <w:widowControl w:val="0"/>
        <w:shd w:val="clear" w:color="auto" w:fill="FFFFFF"/>
        <w:spacing w:after="150"/>
        <w:ind w:firstLine="448"/>
        <w:jc w:val="both"/>
        <w:rPr>
          <w:rFonts w:eastAsia="Times New Roman"/>
          <w:sz w:val="28"/>
          <w:szCs w:val="28"/>
          <w:lang w:eastAsia="ru-RU"/>
        </w:rPr>
      </w:pPr>
      <w:bookmarkStart w:id="15" w:name="n209"/>
      <w:bookmarkEnd w:id="15"/>
      <w:r w:rsidRPr="008A46F0">
        <w:rPr>
          <w:rFonts w:eastAsia="Times New Roman"/>
          <w:sz w:val="28"/>
          <w:szCs w:val="28"/>
          <w:lang w:eastAsia="ru-RU"/>
        </w:rPr>
        <w:lastRenderedPageBreak/>
        <w:t>Розрахунок витрат на адміністрування регулювання здійснюється Державною митною службою України.</w:t>
      </w:r>
    </w:p>
    <w:tbl>
      <w:tblPr>
        <w:tblW w:w="5209" w:type="pc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5"/>
        <w:gridCol w:w="1135"/>
        <w:gridCol w:w="1703"/>
        <w:gridCol w:w="1135"/>
        <w:gridCol w:w="1418"/>
        <w:gridCol w:w="1394"/>
      </w:tblGrid>
      <w:tr w:rsidR="00F65EC8" w:rsidRPr="008A46F0" w14:paraId="79836120" w14:textId="77777777" w:rsidTr="00A0085D">
        <w:tc>
          <w:tcPr>
            <w:tcW w:w="1617" w:type="pct"/>
            <w:hideMark/>
          </w:tcPr>
          <w:p w14:paraId="3A2B3675" w14:textId="63EE4F49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bookmarkStart w:id="16" w:name="n210"/>
            <w:bookmarkStart w:id="17" w:name="n212"/>
            <w:bookmarkEnd w:id="16"/>
            <w:bookmarkEnd w:id="17"/>
            <w:r w:rsidRPr="00F65EC8">
              <w:rPr>
                <w:rFonts w:eastAsia="Times New Roman"/>
                <w:lang w:eastAsia="ru-RU"/>
              </w:rPr>
              <w:t xml:space="preserve">Процедура регулювання суб’єктів </w:t>
            </w:r>
            <w:r w:rsidR="00217013" w:rsidRPr="00F65EC8">
              <w:rPr>
                <w:rFonts w:eastAsia="Times New Roman"/>
                <w:lang w:eastAsia="ru-RU"/>
              </w:rPr>
              <w:t>малого</w:t>
            </w:r>
            <w:r w:rsidRPr="00F65EC8">
              <w:rPr>
                <w:rFonts w:eastAsia="Times New Roman"/>
                <w:lang w:eastAsia="ru-RU"/>
              </w:rPr>
              <w:t xml:space="preserve"> підприємництва (розрахунок на одного типового суб’єкта господарювання)</w:t>
            </w:r>
          </w:p>
        </w:tc>
        <w:tc>
          <w:tcPr>
            <w:tcW w:w="566" w:type="pct"/>
            <w:hideMark/>
          </w:tcPr>
          <w:p w14:paraId="26D4F302" w14:textId="77777777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65EC8">
              <w:rPr>
                <w:rFonts w:eastAsia="Times New Roman"/>
                <w:lang w:eastAsia="ru-RU"/>
              </w:rPr>
              <w:t>Планові витрати часу на процедуру</w:t>
            </w:r>
          </w:p>
        </w:tc>
        <w:tc>
          <w:tcPr>
            <w:tcW w:w="849" w:type="pct"/>
            <w:hideMark/>
          </w:tcPr>
          <w:p w14:paraId="527B58A9" w14:textId="77777777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65EC8">
              <w:rPr>
                <w:rFonts w:eastAsia="Times New Roman"/>
                <w:lang w:eastAsia="ru-RU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566" w:type="pct"/>
            <w:hideMark/>
          </w:tcPr>
          <w:p w14:paraId="6105296E" w14:textId="77777777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65EC8">
              <w:rPr>
                <w:rFonts w:eastAsia="Times New Roman"/>
                <w:lang w:eastAsia="ru-RU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707" w:type="pct"/>
            <w:hideMark/>
          </w:tcPr>
          <w:p w14:paraId="1E13393B" w14:textId="77777777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65EC8">
              <w:rPr>
                <w:rFonts w:eastAsia="Times New Roman"/>
                <w:lang w:eastAsia="ru-RU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695" w:type="pct"/>
            <w:hideMark/>
          </w:tcPr>
          <w:p w14:paraId="62873EDC" w14:textId="77777777" w:rsidR="008A46F0" w:rsidRPr="00F65EC8" w:rsidRDefault="008A46F0" w:rsidP="00F65EC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F65EC8">
              <w:rPr>
                <w:rFonts w:eastAsia="Times New Roman"/>
                <w:lang w:eastAsia="ru-RU"/>
              </w:rPr>
              <w:t>Витрати на адміністрування регулювання* (за рік), гривень</w:t>
            </w:r>
          </w:p>
        </w:tc>
      </w:tr>
      <w:tr w:rsidR="00F65EC8" w:rsidRPr="008A46F0" w14:paraId="3A792A96" w14:textId="77777777" w:rsidTr="00A0085D">
        <w:tc>
          <w:tcPr>
            <w:tcW w:w="1617" w:type="pct"/>
          </w:tcPr>
          <w:p w14:paraId="6C3918E0" w14:textId="77777777" w:rsidR="007F44E0" w:rsidRPr="00A60FB8" w:rsidRDefault="007F44E0" w:rsidP="007F44E0">
            <w:pPr>
              <w:ind w:left="130" w:right="156"/>
              <w:rPr>
                <w:rFonts w:eastAsia="Times New Roman"/>
                <w:lang w:eastAsia="ru-RU"/>
              </w:rPr>
            </w:pPr>
            <w:r w:rsidRPr="00A60FB8">
              <w:rPr>
                <w:rFonts w:eastAsia="Times New Roman"/>
                <w:lang w:eastAsia="ru-RU"/>
              </w:rPr>
              <w:t>7. Інші адміністративні процедури (уточнити):</w:t>
            </w:r>
          </w:p>
          <w:p w14:paraId="657C3F03" w14:textId="77777777" w:rsidR="007F44E0" w:rsidRPr="00A60FB8" w:rsidRDefault="007F44E0" w:rsidP="007F44E0">
            <w:pPr>
              <w:ind w:left="130" w:right="156"/>
              <w:jc w:val="both"/>
              <w:rPr>
                <w:rFonts w:eastAsia="Times New Roman"/>
                <w:lang w:eastAsia="ru-RU"/>
              </w:rPr>
            </w:pPr>
          </w:p>
          <w:p w14:paraId="6A8A36D2" w14:textId="2137AA39" w:rsidR="007F44E0" w:rsidRPr="00A60FB8" w:rsidRDefault="007F44E0" w:rsidP="007F44E0">
            <w:pPr>
              <w:ind w:left="130" w:right="156"/>
              <w:jc w:val="both"/>
              <w:rPr>
                <w:rStyle w:val="font141"/>
                <w:sz w:val="24"/>
                <w:szCs w:val="24"/>
              </w:rPr>
            </w:pPr>
            <w:r w:rsidRPr="00A60FB8">
              <w:rPr>
                <w:rFonts w:eastAsia="Times New Roman"/>
                <w:lang w:eastAsia="ru-RU"/>
              </w:rPr>
              <w:t>7.1. Розгляд заявки (</w:t>
            </w:r>
            <w:r w:rsidRPr="00A60FB8">
              <w:rPr>
                <w:rStyle w:val="font141"/>
                <w:sz w:val="24"/>
                <w:szCs w:val="24"/>
              </w:rPr>
              <w:t>подана митниці митна декларація за формою єдиного адміністративного документа)</w:t>
            </w:r>
            <w:r w:rsidRPr="00A60FB8">
              <w:rPr>
                <w:rFonts w:eastAsia="Times New Roman"/>
                <w:lang w:eastAsia="ru-RU"/>
              </w:rPr>
              <w:t xml:space="preserve"> на отримання тарифної квоти для остаточного вивезення товарів для вільного обігу за межами митної території України шляхом </w:t>
            </w:r>
            <w:r w:rsidRPr="00A60FB8">
              <w:rPr>
                <w:rStyle w:val="font141"/>
                <w:sz w:val="24"/>
                <w:szCs w:val="24"/>
              </w:rPr>
              <w:t xml:space="preserve">перевірки коду товару, країни призначення товарів, коду тарифної преференції, коду документа, що підтверджує статус преференційного походження товарів; </w:t>
            </w:r>
          </w:p>
          <w:p w14:paraId="5A24C87E" w14:textId="5366033C" w:rsidR="007F44E0" w:rsidRPr="00A60FB8" w:rsidRDefault="007F44E0" w:rsidP="007F44E0">
            <w:pPr>
              <w:ind w:left="130" w:right="156"/>
              <w:rPr>
                <w:rFonts w:eastAsia="Times New Roman"/>
                <w:lang w:eastAsia="ru-RU"/>
              </w:rPr>
            </w:pPr>
            <w:r w:rsidRPr="00A60FB8">
              <w:rPr>
                <w:rStyle w:val="font141"/>
                <w:sz w:val="24"/>
                <w:szCs w:val="24"/>
              </w:rPr>
              <w:t>надіслання на адресу експортера електронних повідомлень про розгляд заяви</w:t>
            </w:r>
          </w:p>
        </w:tc>
        <w:tc>
          <w:tcPr>
            <w:tcW w:w="566" w:type="pct"/>
            <w:vAlign w:val="center"/>
          </w:tcPr>
          <w:p w14:paraId="502C69D5" w14:textId="36A88A52" w:rsidR="007F44E0" w:rsidRDefault="007F44E0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49" w:type="pct"/>
            <w:vAlign w:val="center"/>
          </w:tcPr>
          <w:p w14:paraId="52E4E4F9" w14:textId="0F0D7CF8" w:rsidR="007F44E0" w:rsidRDefault="007F44E0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566" w:type="pct"/>
            <w:vAlign w:val="center"/>
          </w:tcPr>
          <w:p w14:paraId="32310112" w14:textId="4CECFE70" w:rsidR="007F44E0" w:rsidRDefault="007F44E0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7" w:type="pct"/>
            <w:vAlign w:val="center"/>
          </w:tcPr>
          <w:p w14:paraId="1D02D680" w14:textId="69A911E9" w:rsidR="007F44E0" w:rsidRPr="007852A3" w:rsidRDefault="007F44E0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695" w:type="pct"/>
            <w:vAlign w:val="center"/>
          </w:tcPr>
          <w:p w14:paraId="10EBA081" w14:textId="693E97F5" w:rsidR="007F44E0" w:rsidRDefault="007F44E0" w:rsidP="00601A7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10920</w:t>
            </w:r>
          </w:p>
        </w:tc>
      </w:tr>
      <w:tr w:rsidR="00F65EC8" w:rsidRPr="008A46F0" w14:paraId="65593FB2" w14:textId="77777777" w:rsidTr="00A0085D">
        <w:tc>
          <w:tcPr>
            <w:tcW w:w="1617" w:type="pct"/>
            <w:hideMark/>
          </w:tcPr>
          <w:p w14:paraId="4031F559" w14:textId="285A4214" w:rsidR="008A46F0" w:rsidRPr="00A60FB8" w:rsidRDefault="003B53E5" w:rsidP="00C66B52">
            <w:pPr>
              <w:ind w:left="130" w:right="156"/>
              <w:jc w:val="both"/>
            </w:pPr>
            <w:r w:rsidRPr="00A60FB8">
              <w:rPr>
                <w:rFonts w:eastAsia="Times New Roman"/>
                <w:lang w:eastAsia="ru-RU"/>
              </w:rPr>
              <w:t>7.</w:t>
            </w:r>
            <w:r w:rsidR="007F44E0" w:rsidRPr="00A60FB8">
              <w:rPr>
                <w:rFonts w:eastAsia="Times New Roman"/>
                <w:lang w:eastAsia="ru-RU"/>
              </w:rPr>
              <w:t>2</w:t>
            </w:r>
            <w:r w:rsidRPr="00A60FB8">
              <w:rPr>
                <w:rFonts w:eastAsia="Times New Roman"/>
                <w:lang w:eastAsia="ru-RU"/>
              </w:rPr>
              <w:t xml:space="preserve">. </w:t>
            </w:r>
            <w:r w:rsidR="0075208D" w:rsidRPr="00A60FB8">
              <w:rPr>
                <w:rFonts w:eastAsia="Times New Roman"/>
                <w:lang w:eastAsia="ru-RU"/>
              </w:rPr>
              <w:t xml:space="preserve">Розгляд </w:t>
            </w:r>
            <w:r w:rsidR="00B81BC8" w:rsidRPr="00A60FB8">
              <w:rPr>
                <w:rFonts w:eastAsia="Times New Roman"/>
                <w:lang w:eastAsia="ru-RU"/>
              </w:rPr>
              <w:t xml:space="preserve">додаткових документів до </w:t>
            </w:r>
            <w:r w:rsidR="0075208D" w:rsidRPr="00A60FB8">
              <w:rPr>
                <w:rFonts w:eastAsia="Times New Roman"/>
                <w:lang w:eastAsia="ru-RU"/>
              </w:rPr>
              <w:t xml:space="preserve">заяви експортера шляхом </w:t>
            </w:r>
            <w:r w:rsidR="0075208D" w:rsidRPr="00A60FB8">
              <w:rPr>
                <w:rStyle w:val="font141"/>
                <w:sz w:val="24"/>
                <w:szCs w:val="24"/>
              </w:rPr>
              <w:t xml:space="preserve">перевірки перед </w:t>
            </w:r>
            <w:proofErr w:type="spellStart"/>
            <w:r w:rsidR="0075208D" w:rsidRPr="00A60FB8">
              <w:rPr>
                <w:rStyle w:val="font141"/>
                <w:sz w:val="24"/>
                <w:szCs w:val="24"/>
              </w:rPr>
              <w:t>видачею</w:t>
            </w:r>
            <w:proofErr w:type="spellEnd"/>
            <w:r w:rsidR="0075208D" w:rsidRPr="00A60FB8">
              <w:rPr>
                <w:rStyle w:val="font141"/>
                <w:sz w:val="24"/>
                <w:szCs w:val="24"/>
              </w:rPr>
              <w:t xml:space="preserve"> </w:t>
            </w:r>
            <w:r w:rsidR="007F44E0" w:rsidRPr="00A60FB8">
              <w:rPr>
                <w:rStyle w:val="font141"/>
                <w:sz w:val="24"/>
                <w:szCs w:val="24"/>
              </w:rPr>
              <w:t>документа, що підтверджує статус преференційного походження товарів</w:t>
            </w:r>
            <w:r w:rsidR="00C66B52">
              <w:rPr>
                <w:rStyle w:val="font141"/>
                <w:sz w:val="24"/>
                <w:szCs w:val="24"/>
              </w:rPr>
              <w:t>,</w:t>
            </w:r>
            <w:r w:rsidR="007F44E0" w:rsidRPr="00A60FB8">
              <w:rPr>
                <w:rStyle w:val="font141"/>
                <w:sz w:val="24"/>
                <w:szCs w:val="24"/>
              </w:rPr>
              <w:t xml:space="preserve"> </w:t>
            </w:r>
            <w:r w:rsidR="0075208D" w:rsidRPr="00A60FB8">
              <w:rPr>
                <w:rStyle w:val="font141"/>
                <w:sz w:val="24"/>
                <w:szCs w:val="24"/>
              </w:rPr>
              <w:t xml:space="preserve">правильності </w:t>
            </w:r>
            <w:r w:rsidR="00C66B52">
              <w:rPr>
                <w:rStyle w:val="font141"/>
                <w:sz w:val="24"/>
                <w:szCs w:val="24"/>
              </w:rPr>
              <w:t>їх</w:t>
            </w:r>
            <w:r w:rsidR="00B81BC8" w:rsidRPr="00A60FB8">
              <w:rPr>
                <w:rStyle w:val="font141"/>
                <w:sz w:val="24"/>
                <w:szCs w:val="24"/>
              </w:rPr>
              <w:t xml:space="preserve"> складання</w:t>
            </w:r>
            <w:r w:rsidR="0075208D" w:rsidRPr="00A60FB8">
              <w:rPr>
                <w:rStyle w:val="font141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vAlign w:val="center"/>
            <w:hideMark/>
          </w:tcPr>
          <w:p w14:paraId="579E2063" w14:textId="3DAC271E" w:rsidR="008A46F0" w:rsidRPr="00684320" w:rsidRDefault="0044235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49" w:type="pct"/>
            <w:vAlign w:val="center"/>
            <w:hideMark/>
          </w:tcPr>
          <w:p w14:paraId="684D53A0" w14:textId="2FFAD235" w:rsidR="008A46F0" w:rsidRPr="001179A5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566" w:type="pct"/>
            <w:vAlign w:val="center"/>
            <w:hideMark/>
          </w:tcPr>
          <w:p w14:paraId="798DFCE9" w14:textId="0A4FFE04" w:rsidR="008A46F0" w:rsidRPr="008A46F0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7" w:type="pct"/>
            <w:vAlign w:val="center"/>
            <w:hideMark/>
          </w:tcPr>
          <w:p w14:paraId="572C640A" w14:textId="44645F6F" w:rsidR="008A46F0" w:rsidRPr="008A46F0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695" w:type="pct"/>
            <w:vAlign w:val="center"/>
            <w:hideMark/>
          </w:tcPr>
          <w:p w14:paraId="5D06B4F7" w14:textId="6DF879BD" w:rsidR="008A46F0" w:rsidRPr="008A46F0" w:rsidRDefault="009F6DFE" w:rsidP="00601A7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10920</w:t>
            </w:r>
          </w:p>
        </w:tc>
      </w:tr>
      <w:tr w:rsidR="00F65EC8" w:rsidRPr="008A46F0" w14:paraId="0BF6B94F" w14:textId="77777777" w:rsidTr="00A0085D">
        <w:tc>
          <w:tcPr>
            <w:tcW w:w="1617" w:type="pct"/>
            <w:hideMark/>
          </w:tcPr>
          <w:p w14:paraId="2BED72F2" w14:textId="41CC091C" w:rsidR="008A46F0" w:rsidRPr="00A60FB8" w:rsidRDefault="003B53E5" w:rsidP="009C5FDC">
            <w:pPr>
              <w:tabs>
                <w:tab w:val="left" w:pos="347"/>
              </w:tabs>
              <w:spacing w:before="150" w:after="150"/>
              <w:ind w:left="130" w:right="156"/>
              <w:jc w:val="both"/>
              <w:rPr>
                <w:rFonts w:eastAsia="Times New Roman"/>
                <w:lang w:eastAsia="ru-RU"/>
              </w:rPr>
            </w:pPr>
            <w:r w:rsidRPr="00A60FB8">
              <w:rPr>
                <w:rFonts w:eastAsia="Times New Roman"/>
                <w:lang w:val="ru-RU" w:eastAsia="ru-RU"/>
              </w:rPr>
              <w:t>7.</w:t>
            </w:r>
            <w:r w:rsidR="009F6DFE" w:rsidRPr="00A60FB8">
              <w:rPr>
                <w:rFonts w:eastAsia="Times New Roman"/>
                <w:lang w:val="ru-RU" w:eastAsia="ru-RU"/>
              </w:rPr>
              <w:t>3</w:t>
            </w:r>
            <w:r w:rsidR="00217013" w:rsidRPr="00A60FB8">
              <w:rPr>
                <w:rFonts w:eastAsia="Times New Roman"/>
                <w:lang w:val="ru-RU" w:eastAsia="ru-RU"/>
              </w:rPr>
              <w:t>.</w:t>
            </w:r>
            <w:r w:rsidR="00BE45DE" w:rsidRPr="00A60FB8">
              <w:rPr>
                <w:rFonts w:eastAsia="Times New Roman"/>
                <w:lang w:val="ru-RU" w:eastAsia="ru-RU"/>
              </w:rPr>
              <w:t xml:space="preserve"> </w:t>
            </w:r>
            <w:r w:rsidR="00217013" w:rsidRPr="00A60FB8">
              <w:rPr>
                <w:rFonts w:eastAsia="Times New Roman"/>
                <w:lang w:eastAsia="ru-RU"/>
              </w:rPr>
              <w:t xml:space="preserve">Проведення консультацій за зверненнями експортерів з питань </w:t>
            </w:r>
            <w:r w:rsidR="009C5FDC">
              <w:rPr>
                <w:rFonts w:eastAsia="Times New Roman"/>
                <w:lang w:eastAsia="ru-RU"/>
              </w:rPr>
              <w:t xml:space="preserve">отримання тарифної квоти, </w:t>
            </w:r>
            <w:r w:rsidR="00217013" w:rsidRPr="00A60FB8">
              <w:rPr>
                <w:rFonts w:eastAsia="Times New Roman"/>
                <w:lang w:eastAsia="ru-RU"/>
              </w:rPr>
              <w:t xml:space="preserve">застосування преференційних правил </w:t>
            </w:r>
            <w:r w:rsidR="00217013" w:rsidRPr="00A60FB8">
              <w:rPr>
                <w:rFonts w:eastAsia="Times New Roman"/>
                <w:lang w:eastAsia="ru-RU"/>
              </w:rPr>
              <w:lastRenderedPageBreak/>
              <w:t xml:space="preserve">походження та надання </w:t>
            </w:r>
            <w:r w:rsidR="009C5FDC">
              <w:rPr>
                <w:rFonts w:eastAsia="Times New Roman"/>
                <w:lang w:eastAsia="ru-RU"/>
              </w:rPr>
              <w:t>преференційного документа</w:t>
            </w:r>
          </w:p>
        </w:tc>
        <w:tc>
          <w:tcPr>
            <w:tcW w:w="566" w:type="pct"/>
            <w:vAlign w:val="center"/>
            <w:hideMark/>
          </w:tcPr>
          <w:p w14:paraId="4F5F7B3D" w14:textId="2AF2030D" w:rsidR="008A46F0" w:rsidRPr="008A46F0" w:rsidRDefault="007852A3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852A3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49" w:type="pct"/>
            <w:vAlign w:val="center"/>
            <w:hideMark/>
          </w:tcPr>
          <w:p w14:paraId="1D07BE63" w14:textId="24E324CA" w:rsidR="008A46F0" w:rsidRPr="008A46F0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566" w:type="pct"/>
            <w:vAlign w:val="center"/>
            <w:hideMark/>
          </w:tcPr>
          <w:p w14:paraId="4D1F8CAB" w14:textId="108A3BD6" w:rsidR="008A46F0" w:rsidRPr="008A46F0" w:rsidRDefault="00AF77B7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7" w:type="pct"/>
            <w:vAlign w:val="center"/>
            <w:hideMark/>
          </w:tcPr>
          <w:p w14:paraId="4E645882" w14:textId="3CED1429" w:rsidR="008A46F0" w:rsidRPr="008A46F0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695" w:type="pct"/>
            <w:vAlign w:val="center"/>
            <w:hideMark/>
          </w:tcPr>
          <w:p w14:paraId="7AA44BA4" w14:textId="3BE38B9C" w:rsidR="008A46F0" w:rsidRPr="008A46F0" w:rsidRDefault="009F6DFE" w:rsidP="008A46F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2184</w:t>
            </w:r>
          </w:p>
        </w:tc>
      </w:tr>
      <w:tr w:rsidR="00F65EC8" w:rsidRPr="008A46F0" w14:paraId="45EE7CEC" w14:textId="77777777" w:rsidTr="00A0085D">
        <w:tc>
          <w:tcPr>
            <w:tcW w:w="1617" w:type="pct"/>
            <w:hideMark/>
          </w:tcPr>
          <w:p w14:paraId="2C844328" w14:textId="77777777" w:rsidR="007852A3" w:rsidRPr="002D2D54" w:rsidRDefault="007852A3" w:rsidP="008A46F0">
            <w:pPr>
              <w:spacing w:before="150" w:after="150"/>
              <w:ind w:left="142" w:right="96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Разом за рік</w:t>
            </w:r>
          </w:p>
        </w:tc>
        <w:tc>
          <w:tcPr>
            <w:tcW w:w="566" w:type="pct"/>
            <w:hideMark/>
          </w:tcPr>
          <w:p w14:paraId="691120FB" w14:textId="7D01A628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49" w:type="pct"/>
            <w:hideMark/>
          </w:tcPr>
          <w:p w14:paraId="512B3A03" w14:textId="7732C15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66" w:type="pct"/>
            <w:hideMark/>
          </w:tcPr>
          <w:p w14:paraId="025D7676" w14:textId="754CC7A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07" w:type="pct"/>
            <w:hideMark/>
          </w:tcPr>
          <w:p w14:paraId="56963986" w14:textId="74962696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95" w:type="pct"/>
            <w:hideMark/>
          </w:tcPr>
          <w:p w14:paraId="5C29AD69" w14:textId="125B064C" w:rsidR="007852A3" w:rsidRPr="008A46F0" w:rsidRDefault="009F6DFE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24 024</w:t>
            </w:r>
          </w:p>
        </w:tc>
      </w:tr>
      <w:tr w:rsidR="00F65EC8" w:rsidRPr="008A46F0" w14:paraId="0E22AFC7" w14:textId="77777777" w:rsidTr="00A0085D">
        <w:tc>
          <w:tcPr>
            <w:tcW w:w="1617" w:type="pct"/>
            <w:hideMark/>
          </w:tcPr>
          <w:p w14:paraId="693B3329" w14:textId="77777777" w:rsidR="007852A3" w:rsidRPr="002D2D54" w:rsidRDefault="007852A3" w:rsidP="008A46F0">
            <w:pPr>
              <w:spacing w:before="150" w:after="150"/>
              <w:ind w:left="142" w:right="96"/>
              <w:rPr>
                <w:rFonts w:eastAsia="Times New Roman"/>
                <w:lang w:eastAsia="ru-RU"/>
              </w:rPr>
            </w:pPr>
            <w:r w:rsidRPr="002D2D54">
              <w:rPr>
                <w:rFonts w:eastAsia="Times New Roman"/>
                <w:lang w:eastAsia="ru-RU"/>
              </w:rPr>
              <w:t>Сумарно за п’ять років</w:t>
            </w:r>
          </w:p>
        </w:tc>
        <w:tc>
          <w:tcPr>
            <w:tcW w:w="566" w:type="pct"/>
            <w:hideMark/>
          </w:tcPr>
          <w:p w14:paraId="1F26AC66" w14:textId="458B89C2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49" w:type="pct"/>
            <w:hideMark/>
          </w:tcPr>
          <w:p w14:paraId="29B08C3D" w14:textId="096DF253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66" w:type="pct"/>
            <w:hideMark/>
          </w:tcPr>
          <w:p w14:paraId="7500C910" w14:textId="4EC932EB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07" w:type="pct"/>
            <w:hideMark/>
          </w:tcPr>
          <w:p w14:paraId="3A2E60E6" w14:textId="54717B94" w:rsidR="007852A3" w:rsidRPr="008A46F0" w:rsidRDefault="007852A3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 w:rsidRPr="008A46F0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95" w:type="pct"/>
            <w:hideMark/>
          </w:tcPr>
          <w:p w14:paraId="20483B96" w14:textId="75A036EB" w:rsidR="007852A3" w:rsidRPr="008A46F0" w:rsidRDefault="009F6DFE" w:rsidP="008A46F0">
            <w:pPr>
              <w:spacing w:before="150" w:after="15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Theme="minorHAnsi"/>
                <w:lang w:eastAsia="en-US"/>
              </w:rPr>
              <w:t>120 120</w:t>
            </w:r>
          </w:p>
        </w:tc>
      </w:tr>
    </w:tbl>
    <w:p w14:paraId="71ECC907" w14:textId="4B9D79A3" w:rsid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t xml:space="preserve">* Вартість витрат, пов’язаних з адмініструванням процесу регулювання державними органами, визначається шляхом множення фактичних витрат часу </w:t>
      </w:r>
      <w:r>
        <w:rPr>
          <w:rFonts w:eastAsia="Times New Roman"/>
        </w:rPr>
        <w:t>робочого часу</w:t>
      </w:r>
      <w:r w:rsidRPr="00562930">
        <w:rPr>
          <w:rFonts w:eastAsia="Times New Roman"/>
        </w:rPr>
        <w:t xml:space="preserve"> </w:t>
      </w:r>
      <w:r>
        <w:rPr>
          <w:rFonts w:eastAsia="Times New Roman"/>
        </w:rPr>
        <w:t>посадової особи митного органу</w:t>
      </w:r>
      <w:r w:rsidRPr="00562930">
        <w:rPr>
          <w:rFonts w:eastAsia="Times New Roman"/>
        </w:rPr>
        <w:t xml:space="preserve"> та на кількість суб’єктів, що підпадають під дію процедури регулювання, та на кількість процедур за рік. </w:t>
      </w:r>
    </w:p>
    <w:p w14:paraId="0515B699" w14:textId="4BDADD90" w:rsid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t>В основу для розрахунків взято показник середньої погодинної заробітної плати на 202</w:t>
      </w:r>
      <w:r w:rsidR="009F6DFE">
        <w:rPr>
          <w:rFonts w:eastAsia="Times New Roman"/>
        </w:rPr>
        <w:t>6</w:t>
      </w:r>
      <w:r w:rsidR="00E44CA1">
        <w:rPr>
          <w:rFonts w:eastAsia="Times New Roman"/>
          <w:lang w:val="en-US"/>
        </w:rPr>
        <w:t> </w:t>
      </w:r>
      <w:r w:rsidRPr="00562930">
        <w:rPr>
          <w:rFonts w:eastAsia="Times New Roman"/>
        </w:rPr>
        <w:t xml:space="preserve"> рік. </w:t>
      </w:r>
    </w:p>
    <w:p w14:paraId="2566C052" w14:textId="45A75E27" w:rsidR="00562930" w:rsidRPr="00562930" w:rsidRDefault="00562930" w:rsidP="00562930">
      <w:pPr>
        <w:ind w:firstLine="709"/>
        <w:jc w:val="both"/>
        <w:rPr>
          <w:rFonts w:eastAsia="Times New Roman"/>
        </w:rPr>
      </w:pPr>
      <w:r w:rsidRPr="00562930">
        <w:rPr>
          <w:rFonts w:eastAsia="Times New Roman"/>
        </w:rPr>
        <w:t>Державне регулювання не передбачає утворення нового державного органу (або нового структурног</w:t>
      </w:r>
      <w:r w:rsidR="00E44CA1">
        <w:rPr>
          <w:rFonts w:eastAsia="Times New Roman"/>
        </w:rPr>
        <w:t>о підрозділу діючого органу).</w:t>
      </w:r>
    </w:p>
    <w:p w14:paraId="101096F3" w14:textId="77777777" w:rsidR="0076338D" w:rsidRDefault="0076338D" w:rsidP="0076338D">
      <w:pPr>
        <w:widowControl w:val="0"/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D1A6C81" w14:textId="240FDFFC" w:rsidR="008A46F0" w:rsidRPr="00C81928" w:rsidRDefault="0076338D" w:rsidP="0076338D">
      <w:pPr>
        <w:widowControl w:val="0"/>
        <w:shd w:val="clear" w:color="auto" w:fill="FFFFFF"/>
        <w:ind w:left="448" w:right="448"/>
        <w:jc w:val="center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77"/>
        <w:gridCol w:w="3812"/>
        <w:gridCol w:w="2111"/>
        <w:gridCol w:w="2116"/>
      </w:tblGrid>
      <w:tr w:rsidR="00C81928" w:rsidRPr="00C81928" w14:paraId="0BA1EC72" w14:textId="77777777" w:rsidTr="0076338D">
        <w:trPr>
          <w:tblHeader/>
        </w:trPr>
        <w:tc>
          <w:tcPr>
            <w:tcW w:w="1577" w:type="dxa"/>
            <w:hideMark/>
          </w:tcPr>
          <w:p w14:paraId="5662BB62" w14:textId="2978889F" w:rsidR="00C81928" w:rsidRPr="00C81928" w:rsidRDefault="00C8192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bookmarkStart w:id="18" w:name="n217"/>
            <w:bookmarkEnd w:id="18"/>
            <w:r w:rsidRPr="00C81928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3812" w:type="dxa"/>
            <w:hideMark/>
          </w:tcPr>
          <w:p w14:paraId="24BB89AD" w14:textId="77777777" w:rsidR="00C81928" w:rsidRPr="00C81928" w:rsidRDefault="00C8192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Показник</w:t>
            </w:r>
          </w:p>
        </w:tc>
        <w:tc>
          <w:tcPr>
            <w:tcW w:w="2111" w:type="dxa"/>
            <w:hideMark/>
          </w:tcPr>
          <w:p w14:paraId="499D7AFA" w14:textId="1C91C204" w:rsidR="00C81928" w:rsidRPr="00A14E96" w:rsidRDefault="00C81928" w:rsidP="00D043E0">
            <w:pPr>
              <w:spacing w:before="60" w:after="60"/>
              <w:jc w:val="center"/>
              <w:rPr>
                <w:rFonts w:eastAsia="Times New Roman"/>
                <w:highlight w:val="red"/>
                <w:lang w:eastAsia="ru-RU"/>
              </w:rPr>
            </w:pPr>
            <w:r w:rsidRPr="00D94006">
              <w:rPr>
                <w:rFonts w:eastAsia="Times New Roman"/>
                <w:lang w:eastAsia="ru-RU"/>
              </w:rPr>
              <w:t>Перший рік регулювання (стартовий)</w:t>
            </w:r>
            <w:r w:rsidR="00E37A98">
              <w:rPr>
                <w:rFonts w:eastAsia="Times New Roman"/>
                <w:lang w:eastAsia="ru-RU"/>
              </w:rPr>
              <w:t>, гривень</w:t>
            </w:r>
          </w:p>
        </w:tc>
        <w:tc>
          <w:tcPr>
            <w:tcW w:w="2116" w:type="dxa"/>
            <w:hideMark/>
          </w:tcPr>
          <w:p w14:paraId="3983AD73" w14:textId="4F7AD2DF" w:rsidR="00C81928" w:rsidRPr="00075A7A" w:rsidRDefault="00C8192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075A7A">
              <w:rPr>
                <w:rFonts w:eastAsia="Times New Roman"/>
                <w:lang w:eastAsia="ru-RU"/>
              </w:rPr>
              <w:t>За п’ять років</w:t>
            </w:r>
            <w:r w:rsidR="00E37A98">
              <w:rPr>
                <w:rFonts w:eastAsia="Times New Roman"/>
                <w:lang w:eastAsia="ru-RU"/>
              </w:rPr>
              <w:t>, гривень</w:t>
            </w:r>
          </w:p>
        </w:tc>
      </w:tr>
      <w:tr w:rsidR="00CA0798" w:rsidRPr="00C81928" w14:paraId="6317CB77" w14:textId="77777777" w:rsidTr="0076338D">
        <w:tc>
          <w:tcPr>
            <w:tcW w:w="1577" w:type="dxa"/>
            <w:hideMark/>
          </w:tcPr>
          <w:p w14:paraId="5DF898D2" w14:textId="77777777" w:rsidR="00CA0798" w:rsidRPr="00C81928" w:rsidRDefault="00CA07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12" w:type="dxa"/>
            <w:hideMark/>
          </w:tcPr>
          <w:p w14:paraId="250B8E1A" w14:textId="77777777" w:rsidR="00CA0798" w:rsidRPr="00C81928" w:rsidRDefault="00CA0798" w:rsidP="00D043E0">
            <w:pPr>
              <w:spacing w:before="60" w:after="6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11" w:type="dxa"/>
            <w:vAlign w:val="center"/>
          </w:tcPr>
          <w:p w14:paraId="791149FC" w14:textId="3C86E1FF" w:rsidR="00CA0798" w:rsidRPr="00C81928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>
              <w:t>611,1</w:t>
            </w:r>
          </w:p>
        </w:tc>
        <w:tc>
          <w:tcPr>
            <w:tcW w:w="2116" w:type="dxa"/>
            <w:vAlign w:val="center"/>
          </w:tcPr>
          <w:p w14:paraId="4F3FF145" w14:textId="3363558C" w:rsidR="00CA0798" w:rsidRPr="00075A7A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3 055,5</w:t>
            </w:r>
          </w:p>
        </w:tc>
      </w:tr>
      <w:tr w:rsidR="00CA0798" w:rsidRPr="00C81928" w14:paraId="35CA72DA" w14:textId="77777777" w:rsidTr="0076338D">
        <w:tc>
          <w:tcPr>
            <w:tcW w:w="1577" w:type="dxa"/>
            <w:hideMark/>
          </w:tcPr>
          <w:p w14:paraId="22E5878C" w14:textId="77777777" w:rsidR="00CA0798" w:rsidRPr="00C81928" w:rsidRDefault="00CA07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12" w:type="dxa"/>
            <w:hideMark/>
          </w:tcPr>
          <w:p w14:paraId="5A8DCE3D" w14:textId="77777777" w:rsidR="00CA0798" w:rsidRPr="00C81928" w:rsidRDefault="00CA0798" w:rsidP="00D043E0">
            <w:pPr>
              <w:spacing w:before="60" w:after="6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11" w:type="dxa"/>
            <w:vAlign w:val="center"/>
          </w:tcPr>
          <w:p w14:paraId="0D2DE5D6" w14:textId="2500CF43" w:rsidR="00CA0798" w:rsidRPr="00C81928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6 552</w:t>
            </w:r>
          </w:p>
        </w:tc>
        <w:tc>
          <w:tcPr>
            <w:tcW w:w="2116" w:type="dxa"/>
            <w:vAlign w:val="center"/>
          </w:tcPr>
          <w:p w14:paraId="34D6F6E5" w14:textId="70A1109F" w:rsidR="00E37A98" w:rsidRPr="00075A7A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28 392</w:t>
            </w:r>
          </w:p>
        </w:tc>
      </w:tr>
      <w:tr w:rsidR="00E37A98" w:rsidRPr="00C81928" w14:paraId="5BB1551A" w14:textId="77777777" w:rsidTr="00E37A98">
        <w:tc>
          <w:tcPr>
            <w:tcW w:w="1577" w:type="dxa"/>
            <w:hideMark/>
          </w:tcPr>
          <w:p w14:paraId="32A4EFDC" w14:textId="77777777" w:rsidR="00E37A98" w:rsidRPr="00C81928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12" w:type="dxa"/>
            <w:hideMark/>
          </w:tcPr>
          <w:p w14:paraId="7C929C84" w14:textId="77777777" w:rsidR="00E37A98" w:rsidRPr="00C81928" w:rsidRDefault="00E37A98" w:rsidP="00D043E0">
            <w:pPr>
              <w:spacing w:before="60" w:after="6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111" w:type="dxa"/>
            <w:vAlign w:val="center"/>
          </w:tcPr>
          <w:p w14:paraId="1F8B6CBD" w14:textId="35C839DE" w:rsidR="00E37A98" w:rsidRPr="007E2B4E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2F295D">
              <w:t>7</w:t>
            </w:r>
            <w:r>
              <w:t> </w:t>
            </w:r>
            <w:r w:rsidRPr="002F295D">
              <w:t>163,1</w:t>
            </w:r>
          </w:p>
        </w:tc>
        <w:tc>
          <w:tcPr>
            <w:tcW w:w="2116" w:type="dxa"/>
            <w:vAlign w:val="center"/>
          </w:tcPr>
          <w:p w14:paraId="42D76102" w14:textId="01CAA8F4" w:rsidR="00E37A98" w:rsidRPr="007E2B4E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2F295D">
              <w:t>31</w:t>
            </w:r>
            <w:r>
              <w:t> </w:t>
            </w:r>
            <w:r w:rsidRPr="002F295D">
              <w:t>447,5</w:t>
            </w:r>
          </w:p>
        </w:tc>
      </w:tr>
      <w:tr w:rsidR="00C81928" w:rsidRPr="00C81928" w14:paraId="6E292D4C" w14:textId="77777777" w:rsidTr="0076338D">
        <w:tc>
          <w:tcPr>
            <w:tcW w:w="1577" w:type="dxa"/>
            <w:hideMark/>
          </w:tcPr>
          <w:p w14:paraId="3D1ABC4F" w14:textId="77777777" w:rsidR="00C81928" w:rsidRPr="00C81928" w:rsidRDefault="00C8192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12" w:type="dxa"/>
            <w:hideMark/>
          </w:tcPr>
          <w:p w14:paraId="45B6F1D3" w14:textId="77777777" w:rsidR="00C81928" w:rsidRPr="00C81928" w:rsidRDefault="00C81928" w:rsidP="00D043E0">
            <w:pPr>
              <w:spacing w:before="60" w:after="6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111" w:type="dxa"/>
            <w:vAlign w:val="center"/>
          </w:tcPr>
          <w:p w14:paraId="1667FE4D" w14:textId="336DCB02" w:rsidR="00D562F2" w:rsidRPr="005F6C6A" w:rsidRDefault="00E37A98" w:rsidP="00D043E0">
            <w:pPr>
              <w:spacing w:before="60" w:after="60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37A98">
              <w:rPr>
                <w:rFonts w:eastAsia="Times New Roman"/>
                <w:lang w:eastAsia="ru-RU"/>
              </w:rPr>
              <w:t>24 024</w:t>
            </w:r>
          </w:p>
        </w:tc>
        <w:tc>
          <w:tcPr>
            <w:tcW w:w="2116" w:type="dxa"/>
            <w:vAlign w:val="center"/>
          </w:tcPr>
          <w:p w14:paraId="2E9390DD" w14:textId="6F0BDDF1" w:rsidR="00C81928" w:rsidRPr="00075A7A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E37A98">
              <w:rPr>
                <w:rFonts w:eastAsiaTheme="minorHAnsi"/>
                <w:lang w:eastAsia="en-US"/>
              </w:rPr>
              <w:t>120 120</w:t>
            </w:r>
          </w:p>
        </w:tc>
      </w:tr>
      <w:tr w:rsidR="00E37A98" w:rsidRPr="00C81928" w14:paraId="1149AA21" w14:textId="77777777" w:rsidTr="00E37A98">
        <w:tc>
          <w:tcPr>
            <w:tcW w:w="1577" w:type="dxa"/>
            <w:hideMark/>
          </w:tcPr>
          <w:p w14:paraId="3CBBB399" w14:textId="77777777" w:rsidR="00E37A98" w:rsidRPr="00C81928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812" w:type="dxa"/>
            <w:hideMark/>
          </w:tcPr>
          <w:p w14:paraId="07E5B925" w14:textId="77777777" w:rsidR="00E37A98" w:rsidRPr="00C81928" w:rsidRDefault="00E37A98" w:rsidP="00D043E0">
            <w:pPr>
              <w:spacing w:before="60" w:after="60"/>
              <w:ind w:left="137" w:right="133"/>
              <w:jc w:val="both"/>
              <w:rPr>
                <w:rFonts w:eastAsia="Times New Roman"/>
                <w:lang w:eastAsia="ru-RU"/>
              </w:rPr>
            </w:pPr>
            <w:r w:rsidRPr="00C81928">
              <w:rPr>
                <w:rFonts w:eastAsia="Times New Roman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111" w:type="dxa"/>
            <w:vAlign w:val="center"/>
          </w:tcPr>
          <w:p w14:paraId="12FC7BA3" w14:textId="3FAAD5B4" w:rsidR="00E37A98" w:rsidRPr="00C81928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841602">
              <w:t>38350,2</w:t>
            </w:r>
          </w:p>
        </w:tc>
        <w:tc>
          <w:tcPr>
            <w:tcW w:w="2116" w:type="dxa"/>
            <w:vAlign w:val="center"/>
          </w:tcPr>
          <w:p w14:paraId="7B1FE2B8" w14:textId="50D7DED6" w:rsidR="00E37A98" w:rsidRPr="00075A7A" w:rsidRDefault="00E37A98" w:rsidP="00D043E0">
            <w:pPr>
              <w:spacing w:before="60" w:after="60"/>
              <w:jc w:val="center"/>
              <w:rPr>
                <w:rFonts w:eastAsia="Times New Roman"/>
                <w:lang w:eastAsia="ru-RU"/>
              </w:rPr>
            </w:pPr>
            <w:r w:rsidRPr="00841602">
              <w:t>183015</w:t>
            </w:r>
            <w:r>
              <w:t>,0</w:t>
            </w:r>
          </w:p>
        </w:tc>
      </w:tr>
    </w:tbl>
    <w:p w14:paraId="3856749B" w14:textId="71D674BC" w:rsidR="00487105" w:rsidRDefault="00487105" w:rsidP="00487105">
      <w:pPr>
        <w:shd w:val="clear" w:color="auto" w:fill="FFFFFF"/>
        <w:spacing w:before="100" w:after="150"/>
        <w:ind w:firstLine="448"/>
        <w:jc w:val="both"/>
        <w:rPr>
          <w:rFonts w:eastAsia="Times New Roman"/>
          <w:b/>
          <w:sz w:val="28"/>
          <w:szCs w:val="28"/>
          <w:lang w:eastAsia="ru-RU"/>
        </w:rPr>
      </w:pPr>
      <w:bookmarkStart w:id="19" w:name="n218"/>
      <w:bookmarkEnd w:id="19"/>
    </w:p>
    <w:p w14:paraId="4B4950A6" w14:textId="77777777" w:rsidR="00A0085D" w:rsidRDefault="00A0085D" w:rsidP="00487105">
      <w:pPr>
        <w:shd w:val="clear" w:color="auto" w:fill="FFFFFF"/>
        <w:spacing w:before="100" w:after="150"/>
        <w:ind w:firstLine="448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2105C13" w14:textId="77777777" w:rsidR="00C81928" w:rsidRPr="00C81928" w:rsidRDefault="00C81928" w:rsidP="00487105">
      <w:pPr>
        <w:shd w:val="clear" w:color="auto" w:fill="FFFFFF"/>
        <w:spacing w:before="100" w:after="150"/>
        <w:ind w:firstLine="448"/>
        <w:jc w:val="both"/>
        <w:rPr>
          <w:rFonts w:eastAsia="Times New Roman"/>
          <w:b/>
          <w:sz w:val="28"/>
          <w:szCs w:val="28"/>
          <w:lang w:eastAsia="ru-RU"/>
        </w:rPr>
      </w:pPr>
      <w:r w:rsidRPr="00C81928">
        <w:rPr>
          <w:rFonts w:eastAsia="Times New Roman"/>
          <w:b/>
          <w:sz w:val="28"/>
          <w:szCs w:val="28"/>
          <w:lang w:eastAsia="ru-RU"/>
        </w:rPr>
        <w:t>5. Розроблення коригуючих (пом’якшувальних) заходів для малого підприємництва щодо запропонованого регулювання</w:t>
      </w:r>
    </w:p>
    <w:p w14:paraId="6FB16864" w14:textId="3EAA4E1C" w:rsidR="00C81928" w:rsidRPr="00506DA3" w:rsidRDefault="00C81928" w:rsidP="00487105">
      <w:pPr>
        <w:shd w:val="clear" w:color="auto" w:fill="FFFFFF"/>
        <w:spacing w:after="150"/>
        <w:ind w:firstLine="450"/>
        <w:jc w:val="both"/>
        <w:rPr>
          <w:rStyle w:val="font171"/>
        </w:rPr>
      </w:pPr>
      <w:r w:rsidRPr="00C81928">
        <w:rPr>
          <w:rFonts w:eastAsia="Times New Roman"/>
          <w:sz w:val="28"/>
          <w:szCs w:val="28"/>
          <w:lang w:eastAsia="ru-RU"/>
        </w:rPr>
        <w:t xml:space="preserve">Не передбачається розроблення коригуючих заходів, оскільки нове регулювання спрямоване виключно на скасування недосконалих інструментів </w:t>
      </w:r>
      <w:r w:rsidRPr="00C81928">
        <w:rPr>
          <w:rFonts w:eastAsia="Times New Roman"/>
          <w:sz w:val="28"/>
          <w:szCs w:val="28"/>
          <w:lang w:eastAsia="ru-RU"/>
        </w:rPr>
        <w:lastRenderedPageBreak/>
        <w:t>державного регулювання у сфері господарськ</w:t>
      </w:r>
      <w:r w:rsidR="00487105">
        <w:rPr>
          <w:rFonts w:eastAsia="Times New Roman"/>
          <w:sz w:val="28"/>
          <w:szCs w:val="28"/>
          <w:lang w:eastAsia="ru-RU"/>
        </w:rPr>
        <w:t>ої діяльності або їх оптимізацію</w:t>
      </w:r>
      <w:r w:rsidRPr="00C81928">
        <w:rPr>
          <w:rFonts w:eastAsia="Times New Roman"/>
          <w:sz w:val="28"/>
          <w:szCs w:val="28"/>
          <w:lang w:eastAsia="ru-RU"/>
        </w:rPr>
        <w:t xml:space="preserve"> та відповідно зменшення фінансового навантаження на суб’єктів господарювання.</w:t>
      </w:r>
    </w:p>
    <w:sectPr w:rsidR="00C81928" w:rsidRPr="00506DA3" w:rsidSect="00457BBE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86BB" w14:textId="77777777" w:rsidR="002A3D9E" w:rsidRDefault="002A3D9E" w:rsidP="00C12599">
      <w:r>
        <w:separator/>
      </w:r>
    </w:p>
  </w:endnote>
  <w:endnote w:type="continuationSeparator" w:id="0">
    <w:p w14:paraId="3F13DF11" w14:textId="77777777" w:rsidR="002A3D9E" w:rsidRDefault="002A3D9E" w:rsidP="00C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B2BA" w14:textId="77777777" w:rsidR="002A3D9E" w:rsidRDefault="002A3D9E" w:rsidP="00C12599">
      <w:r>
        <w:separator/>
      </w:r>
    </w:p>
  </w:footnote>
  <w:footnote w:type="continuationSeparator" w:id="0">
    <w:p w14:paraId="3B724692" w14:textId="77777777" w:rsidR="002A3D9E" w:rsidRDefault="002A3D9E" w:rsidP="00C1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677185"/>
      <w:docPartObj>
        <w:docPartGallery w:val="Page Numbers (Top of Page)"/>
        <w:docPartUnique/>
      </w:docPartObj>
    </w:sdtPr>
    <w:sdtEndPr/>
    <w:sdtContent>
      <w:p w14:paraId="1BAC5E44" w14:textId="5208ACF9" w:rsidR="0076338D" w:rsidRDefault="007633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CA5" w:rsidRPr="00F72CA5">
          <w:rPr>
            <w:noProof/>
            <w:lang w:val="ru-RU"/>
          </w:rPr>
          <w:t>12</w:t>
        </w:r>
        <w:r>
          <w:fldChar w:fldCharType="end"/>
        </w:r>
      </w:p>
    </w:sdtContent>
  </w:sdt>
  <w:p w14:paraId="3EA91F62" w14:textId="77777777" w:rsidR="0076338D" w:rsidRDefault="007633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CE41F3"/>
    <w:multiLevelType w:val="hybridMultilevel"/>
    <w:tmpl w:val="223EEE7C"/>
    <w:lvl w:ilvl="0" w:tplc="95E87350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3019"/>
    <w:multiLevelType w:val="hybridMultilevel"/>
    <w:tmpl w:val="E698EFFE"/>
    <w:lvl w:ilvl="0" w:tplc="B3984DB8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AA0570"/>
    <w:multiLevelType w:val="hybridMultilevel"/>
    <w:tmpl w:val="79341ACA"/>
    <w:lvl w:ilvl="0" w:tplc="8944832A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ED83052"/>
    <w:multiLevelType w:val="hybridMultilevel"/>
    <w:tmpl w:val="CE5E9B7E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D440E"/>
    <w:multiLevelType w:val="hybridMultilevel"/>
    <w:tmpl w:val="30268FC8"/>
    <w:lvl w:ilvl="0" w:tplc="5FEC4F50">
      <w:start w:val="2"/>
      <w:numFmt w:val="bullet"/>
      <w:lvlText w:val=""/>
      <w:lvlJc w:val="left"/>
      <w:pPr>
        <w:ind w:left="164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9AC7D0A"/>
    <w:multiLevelType w:val="hybridMultilevel"/>
    <w:tmpl w:val="0FC8C2EE"/>
    <w:lvl w:ilvl="0" w:tplc="3A1A74F4">
      <w:start w:val="10"/>
      <w:numFmt w:val="bullet"/>
      <w:lvlText w:val=""/>
      <w:lvlJc w:val="left"/>
      <w:pPr>
        <w:ind w:left="80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584051E5"/>
    <w:multiLevelType w:val="hybridMultilevel"/>
    <w:tmpl w:val="B53E78BC"/>
    <w:lvl w:ilvl="0" w:tplc="7A8A786E">
      <w:start w:val="10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1D90A00"/>
    <w:multiLevelType w:val="hybridMultilevel"/>
    <w:tmpl w:val="570CEC00"/>
    <w:lvl w:ilvl="0" w:tplc="30D014DA">
      <w:start w:val="10"/>
      <w:numFmt w:val="bullet"/>
      <w:lvlText w:val=""/>
      <w:lvlJc w:val="left"/>
      <w:pPr>
        <w:ind w:left="808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67A5621B"/>
    <w:multiLevelType w:val="hybridMultilevel"/>
    <w:tmpl w:val="F8545C8A"/>
    <w:lvl w:ilvl="0" w:tplc="3CA880B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83E3569"/>
    <w:multiLevelType w:val="hybridMultilevel"/>
    <w:tmpl w:val="65862D46"/>
    <w:lvl w:ilvl="0" w:tplc="D4008784">
      <w:start w:val="2"/>
      <w:numFmt w:val="bullet"/>
      <w:lvlText w:val=""/>
      <w:lvlJc w:val="left"/>
      <w:pPr>
        <w:ind w:left="1287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6A"/>
    <w:rsid w:val="00000227"/>
    <w:rsid w:val="00002E5C"/>
    <w:rsid w:val="00003064"/>
    <w:rsid w:val="00003D3F"/>
    <w:rsid w:val="00004404"/>
    <w:rsid w:val="00010229"/>
    <w:rsid w:val="00010332"/>
    <w:rsid w:val="00011B17"/>
    <w:rsid w:val="00012551"/>
    <w:rsid w:val="000129EF"/>
    <w:rsid w:val="00020C58"/>
    <w:rsid w:val="000220A7"/>
    <w:rsid w:val="000235A5"/>
    <w:rsid w:val="000237A0"/>
    <w:rsid w:val="00025458"/>
    <w:rsid w:val="00027DF6"/>
    <w:rsid w:val="00030808"/>
    <w:rsid w:val="00040BB4"/>
    <w:rsid w:val="000412AC"/>
    <w:rsid w:val="0004137F"/>
    <w:rsid w:val="00043263"/>
    <w:rsid w:val="00044AE7"/>
    <w:rsid w:val="00054ABD"/>
    <w:rsid w:val="0005521A"/>
    <w:rsid w:val="000571D9"/>
    <w:rsid w:val="00057B38"/>
    <w:rsid w:val="000623EB"/>
    <w:rsid w:val="0006455B"/>
    <w:rsid w:val="0007041B"/>
    <w:rsid w:val="00071126"/>
    <w:rsid w:val="00071BCE"/>
    <w:rsid w:val="000742A6"/>
    <w:rsid w:val="000745D0"/>
    <w:rsid w:val="000756D5"/>
    <w:rsid w:val="00075A7A"/>
    <w:rsid w:val="0008350C"/>
    <w:rsid w:val="00084B76"/>
    <w:rsid w:val="000856CE"/>
    <w:rsid w:val="000A2D15"/>
    <w:rsid w:val="000B5306"/>
    <w:rsid w:val="000C0C9D"/>
    <w:rsid w:val="000C0D69"/>
    <w:rsid w:val="000C67AC"/>
    <w:rsid w:val="000D0A92"/>
    <w:rsid w:val="000D0DC0"/>
    <w:rsid w:val="000D4ECA"/>
    <w:rsid w:val="000E2DB1"/>
    <w:rsid w:val="000E72E6"/>
    <w:rsid w:val="000F0AA3"/>
    <w:rsid w:val="000F1CF9"/>
    <w:rsid w:val="000F6A47"/>
    <w:rsid w:val="00100E7B"/>
    <w:rsid w:val="00101E58"/>
    <w:rsid w:val="0010624F"/>
    <w:rsid w:val="00107BA7"/>
    <w:rsid w:val="00112A55"/>
    <w:rsid w:val="00113C01"/>
    <w:rsid w:val="001170F1"/>
    <w:rsid w:val="00117527"/>
    <w:rsid w:val="001179A5"/>
    <w:rsid w:val="00125538"/>
    <w:rsid w:val="00125796"/>
    <w:rsid w:val="00126711"/>
    <w:rsid w:val="001301FE"/>
    <w:rsid w:val="00131580"/>
    <w:rsid w:val="00134EA6"/>
    <w:rsid w:val="001367D8"/>
    <w:rsid w:val="00141405"/>
    <w:rsid w:val="00145120"/>
    <w:rsid w:val="0014646C"/>
    <w:rsid w:val="0015426C"/>
    <w:rsid w:val="00154783"/>
    <w:rsid w:val="001559B9"/>
    <w:rsid w:val="00155FF3"/>
    <w:rsid w:val="00165016"/>
    <w:rsid w:val="00180740"/>
    <w:rsid w:val="00181FB2"/>
    <w:rsid w:val="001825E1"/>
    <w:rsid w:val="00183CF6"/>
    <w:rsid w:val="00186622"/>
    <w:rsid w:val="00187405"/>
    <w:rsid w:val="001909CF"/>
    <w:rsid w:val="00195A8B"/>
    <w:rsid w:val="001A000F"/>
    <w:rsid w:val="001A1D84"/>
    <w:rsid w:val="001A353D"/>
    <w:rsid w:val="001A3668"/>
    <w:rsid w:val="001B12C1"/>
    <w:rsid w:val="001B3C1E"/>
    <w:rsid w:val="001B4761"/>
    <w:rsid w:val="001C0D1D"/>
    <w:rsid w:val="001C4BCE"/>
    <w:rsid w:val="001C7311"/>
    <w:rsid w:val="001D4825"/>
    <w:rsid w:val="001E0565"/>
    <w:rsid w:val="001E0CBC"/>
    <w:rsid w:val="001E5A11"/>
    <w:rsid w:val="001F0C30"/>
    <w:rsid w:val="001F2DDA"/>
    <w:rsid w:val="001F5669"/>
    <w:rsid w:val="001F57B5"/>
    <w:rsid w:val="001F5D2D"/>
    <w:rsid w:val="001F699F"/>
    <w:rsid w:val="001F6EC9"/>
    <w:rsid w:val="00207B2C"/>
    <w:rsid w:val="002123EB"/>
    <w:rsid w:val="0021293F"/>
    <w:rsid w:val="00216B75"/>
    <w:rsid w:val="00217013"/>
    <w:rsid w:val="00220ECD"/>
    <w:rsid w:val="002341CE"/>
    <w:rsid w:val="00234A0A"/>
    <w:rsid w:val="002375DC"/>
    <w:rsid w:val="00240535"/>
    <w:rsid w:val="00242366"/>
    <w:rsid w:val="00245539"/>
    <w:rsid w:val="00255707"/>
    <w:rsid w:val="00255A25"/>
    <w:rsid w:val="00257BA8"/>
    <w:rsid w:val="002665FF"/>
    <w:rsid w:val="00267174"/>
    <w:rsid w:val="0028248A"/>
    <w:rsid w:val="00287251"/>
    <w:rsid w:val="002A3D9E"/>
    <w:rsid w:val="002A6F4D"/>
    <w:rsid w:val="002A786C"/>
    <w:rsid w:val="002B1D9E"/>
    <w:rsid w:val="002B2D74"/>
    <w:rsid w:val="002B418C"/>
    <w:rsid w:val="002B74EA"/>
    <w:rsid w:val="002C1F4B"/>
    <w:rsid w:val="002D16AD"/>
    <w:rsid w:val="002D2D54"/>
    <w:rsid w:val="002D46FA"/>
    <w:rsid w:val="002D4CF3"/>
    <w:rsid w:val="002D60FA"/>
    <w:rsid w:val="002E0184"/>
    <w:rsid w:val="002E17F8"/>
    <w:rsid w:val="002E5B9C"/>
    <w:rsid w:val="002E6DD5"/>
    <w:rsid w:val="002F3E15"/>
    <w:rsid w:val="002F4BC0"/>
    <w:rsid w:val="003065B6"/>
    <w:rsid w:val="003164B2"/>
    <w:rsid w:val="00320046"/>
    <w:rsid w:val="00320779"/>
    <w:rsid w:val="003251C2"/>
    <w:rsid w:val="00327480"/>
    <w:rsid w:val="00327DCD"/>
    <w:rsid w:val="00336141"/>
    <w:rsid w:val="003367ED"/>
    <w:rsid w:val="00336EBF"/>
    <w:rsid w:val="00341072"/>
    <w:rsid w:val="00341D5B"/>
    <w:rsid w:val="003420A6"/>
    <w:rsid w:val="00344BC0"/>
    <w:rsid w:val="00344E65"/>
    <w:rsid w:val="00344EAE"/>
    <w:rsid w:val="00345AAB"/>
    <w:rsid w:val="00346EF8"/>
    <w:rsid w:val="00351942"/>
    <w:rsid w:val="00356D69"/>
    <w:rsid w:val="00362793"/>
    <w:rsid w:val="003679A9"/>
    <w:rsid w:val="00371309"/>
    <w:rsid w:val="00372135"/>
    <w:rsid w:val="0037244E"/>
    <w:rsid w:val="00377EE4"/>
    <w:rsid w:val="00380957"/>
    <w:rsid w:val="00382B18"/>
    <w:rsid w:val="00387C6E"/>
    <w:rsid w:val="00391657"/>
    <w:rsid w:val="003916D1"/>
    <w:rsid w:val="00392588"/>
    <w:rsid w:val="00393589"/>
    <w:rsid w:val="00395CB3"/>
    <w:rsid w:val="003A46B2"/>
    <w:rsid w:val="003B53E5"/>
    <w:rsid w:val="003B765C"/>
    <w:rsid w:val="003C004B"/>
    <w:rsid w:val="003C10E8"/>
    <w:rsid w:val="003C634E"/>
    <w:rsid w:val="003E4106"/>
    <w:rsid w:val="003E5062"/>
    <w:rsid w:val="003E54FF"/>
    <w:rsid w:val="003F03EC"/>
    <w:rsid w:val="003F457D"/>
    <w:rsid w:val="003F5971"/>
    <w:rsid w:val="00400684"/>
    <w:rsid w:val="00400AD4"/>
    <w:rsid w:val="00401E80"/>
    <w:rsid w:val="00406977"/>
    <w:rsid w:val="00406F3B"/>
    <w:rsid w:val="00407A22"/>
    <w:rsid w:val="00407B8D"/>
    <w:rsid w:val="00411838"/>
    <w:rsid w:val="00412175"/>
    <w:rsid w:val="004148FD"/>
    <w:rsid w:val="00426DF9"/>
    <w:rsid w:val="00430304"/>
    <w:rsid w:val="004347A3"/>
    <w:rsid w:val="00435F7D"/>
    <w:rsid w:val="0043737D"/>
    <w:rsid w:val="0044011D"/>
    <w:rsid w:val="004416B8"/>
    <w:rsid w:val="00441950"/>
    <w:rsid w:val="004419DE"/>
    <w:rsid w:val="00442353"/>
    <w:rsid w:val="00443EEF"/>
    <w:rsid w:val="0044543A"/>
    <w:rsid w:val="0044683F"/>
    <w:rsid w:val="00447DD5"/>
    <w:rsid w:val="00450A5C"/>
    <w:rsid w:val="00456E69"/>
    <w:rsid w:val="00457BBE"/>
    <w:rsid w:val="00461F03"/>
    <w:rsid w:val="00466B02"/>
    <w:rsid w:val="00471CEC"/>
    <w:rsid w:val="00477F0C"/>
    <w:rsid w:val="00487105"/>
    <w:rsid w:val="00494E87"/>
    <w:rsid w:val="00495741"/>
    <w:rsid w:val="004A1D7F"/>
    <w:rsid w:val="004A49E8"/>
    <w:rsid w:val="004B5857"/>
    <w:rsid w:val="004B60B0"/>
    <w:rsid w:val="004B70F5"/>
    <w:rsid w:val="004C031A"/>
    <w:rsid w:val="004C7C50"/>
    <w:rsid w:val="004D16A5"/>
    <w:rsid w:val="004D4A87"/>
    <w:rsid w:val="004D6C12"/>
    <w:rsid w:val="004E33BC"/>
    <w:rsid w:val="004E4D59"/>
    <w:rsid w:val="004E6C15"/>
    <w:rsid w:val="004F6314"/>
    <w:rsid w:val="00503C9F"/>
    <w:rsid w:val="005045F0"/>
    <w:rsid w:val="00505C94"/>
    <w:rsid w:val="005068A5"/>
    <w:rsid w:val="00506DA3"/>
    <w:rsid w:val="005271EA"/>
    <w:rsid w:val="005307BB"/>
    <w:rsid w:val="00531A04"/>
    <w:rsid w:val="005328C6"/>
    <w:rsid w:val="005345E1"/>
    <w:rsid w:val="005352D4"/>
    <w:rsid w:val="005367B0"/>
    <w:rsid w:val="00557B85"/>
    <w:rsid w:val="00562930"/>
    <w:rsid w:val="00564758"/>
    <w:rsid w:val="00564B14"/>
    <w:rsid w:val="00565825"/>
    <w:rsid w:val="00566CC7"/>
    <w:rsid w:val="005711A0"/>
    <w:rsid w:val="005762FD"/>
    <w:rsid w:val="005801E9"/>
    <w:rsid w:val="005829CF"/>
    <w:rsid w:val="005835B0"/>
    <w:rsid w:val="005842CD"/>
    <w:rsid w:val="00584496"/>
    <w:rsid w:val="00591357"/>
    <w:rsid w:val="005946A1"/>
    <w:rsid w:val="00596121"/>
    <w:rsid w:val="005977A2"/>
    <w:rsid w:val="005A0374"/>
    <w:rsid w:val="005A13ED"/>
    <w:rsid w:val="005A65AA"/>
    <w:rsid w:val="005A6F2C"/>
    <w:rsid w:val="005B2E53"/>
    <w:rsid w:val="005B6155"/>
    <w:rsid w:val="005C3C13"/>
    <w:rsid w:val="005D057E"/>
    <w:rsid w:val="005D0BF0"/>
    <w:rsid w:val="005D1899"/>
    <w:rsid w:val="005D1B25"/>
    <w:rsid w:val="005D2E47"/>
    <w:rsid w:val="005D3E9D"/>
    <w:rsid w:val="005D4B71"/>
    <w:rsid w:val="005D5FF2"/>
    <w:rsid w:val="005D6FC8"/>
    <w:rsid w:val="005D7B95"/>
    <w:rsid w:val="005E1C39"/>
    <w:rsid w:val="005E1C78"/>
    <w:rsid w:val="005E3275"/>
    <w:rsid w:val="005E5665"/>
    <w:rsid w:val="005E59E3"/>
    <w:rsid w:val="005E5C6B"/>
    <w:rsid w:val="005E6FE5"/>
    <w:rsid w:val="005F3DB5"/>
    <w:rsid w:val="005F6C6A"/>
    <w:rsid w:val="00600257"/>
    <w:rsid w:val="00601A7A"/>
    <w:rsid w:val="00604CB1"/>
    <w:rsid w:val="00607924"/>
    <w:rsid w:val="0061026E"/>
    <w:rsid w:val="006103B9"/>
    <w:rsid w:val="00611344"/>
    <w:rsid w:val="006124E2"/>
    <w:rsid w:val="00612D04"/>
    <w:rsid w:val="00626D1E"/>
    <w:rsid w:val="00627DEE"/>
    <w:rsid w:val="00630840"/>
    <w:rsid w:val="006317BC"/>
    <w:rsid w:val="00637AAA"/>
    <w:rsid w:val="00641CBD"/>
    <w:rsid w:val="0064234F"/>
    <w:rsid w:val="00644F00"/>
    <w:rsid w:val="006451DC"/>
    <w:rsid w:val="006459FC"/>
    <w:rsid w:val="00647B99"/>
    <w:rsid w:val="00651B55"/>
    <w:rsid w:val="00657A69"/>
    <w:rsid w:val="00657B59"/>
    <w:rsid w:val="00657D76"/>
    <w:rsid w:val="006621FC"/>
    <w:rsid w:val="00670710"/>
    <w:rsid w:val="0067265D"/>
    <w:rsid w:val="00672DFF"/>
    <w:rsid w:val="00673C16"/>
    <w:rsid w:val="00675645"/>
    <w:rsid w:val="00680545"/>
    <w:rsid w:val="00682D71"/>
    <w:rsid w:val="00684320"/>
    <w:rsid w:val="00687A2D"/>
    <w:rsid w:val="00696AC4"/>
    <w:rsid w:val="006977E5"/>
    <w:rsid w:val="006A0308"/>
    <w:rsid w:val="006A0849"/>
    <w:rsid w:val="006A2014"/>
    <w:rsid w:val="006A3BA3"/>
    <w:rsid w:val="006B0603"/>
    <w:rsid w:val="006B0623"/>
    <w:rsid w:val="006B1D4A"/>
    <w:rsid w:val="006B2B06"/>
    <w:rsid w:val="006B317B"/>
    <w:rsid w:val="006B3BE6"/>
    <w:rsid w:val="006B6EA3"/>
    <w:rsid w:val="006C1CF5"/>
    <w:rsid w:val="006C4F5E"/>
    <w:rsid w:val="006D0ED7"/>
    <w:rsid w:val="006D4076"/>
    <w:rsid w:val="006D51EA"/>
    <w:rsid w:val="006D53AF"/>
    <w:rsid w:val="006D6000"/>
    <w:rsid w:val="006D77B4"/>
    <w:rsid w:val="006E4829"/>
    <w:rsid w:val="006E5749"/>
    <w:rsid w:val="006E76A6"/>
    <w:rsid w:val="006F2125"/>
    <w:rsid w:val="006F763F"/>
    <w:rsid w:val="00701430"/>
    <w:rsid w:val="0070189C"/>
    <w:rsid w:val="0070189F"/>
    <w:rsid w:val="007022A6"/>
    <w:rsid w:val="00704228"/>
    <w:rsid w:val="00704A6C"/>
    <w:rsid w:val="00704E0A"/>
    <w:rsid w:val="00710A92"/>
    <w:rsid w:val="00710B5E"/>
    <w:rsid w:val="007121AB"/>
    <w:rsid w:val="00723DED"/>
    <w:rsid w:val="007270DA"/>
    <w:rsid w:val="007315EE"/>
    <w:rsid w:val="007346B3"/>
    <w:rsid w:val="00736833"/>
    <w:rsid w:val="00737394"/>
    <w:rsid w:val="00741039"/>
    <w:rsid w:val="0074176B"/>
    <w:rsid w:val="00741ECD"/>
    <w:rsid w:val="007434D8"/>
    <w:rsid w:val="007437DC"/>
    <w:rsid w:val="00744605"/>
    <w:rsid w:val="00746E9D"/>
    <w:rsid w:val="0075208D"/>
    <w:rsid w:val="007520A0"/>
    <w:rsid w:val="00757A2C"/>
    <w:rsid w:val="0076338D"/>
    <w:rsid w:val="007650CF"/>
    <w:rsid w:val="00773E23"/>
    <w:rsid w:val="007761E7"/>
    <w:rsid w:val="0077713C"/>
    <w:rsid w:val="00777361"/>
    <w:rsid w:val="007775B4"/>
    <w:rsid w:val="0078211D"/>
    <w:rsid w:val="00782339"/>
    <w:rsid w:val="00784C65"/>
    <w:rsid w:val="007852A3"/>
    <w:rsid w:val="00791E57"/>
    <w:rsid w:val="00796B00"/>
    <w:rsid w:val="007A0A75"/>
    <w:rsid w:val="007A3166"/>
    <w:rsid w:val="007A352A"/>
    <w:rsid w:val="007A5280"/>
    <w:rsid w:val="007B18E8"/>
    <w:rsid w:val="007B3358"/>
    <w:rsid w:val="007C2D85"/>
    <w:rsid w:val="007C34EF"/>
    <w:rsid w:val="007C3C1C"/>
    <w:rsid w:val="007D49FB"/>
    <w:rsid w:val="007D67CC"/>
    <w:rsid w:val="007E15D0"/>
    <w:rsid w:val="007E2B4E"/>
    <w:rsid w:val="007E3A4C"/>
    <w:rsid w:val="007E6BB8"/>
    <w:rsid w:val="007F44E0"/>
    <w:rsid w:val="007F516D"/>
    <w:rsid w:val="007F58C1"/>
    <w:rsid w:val="007F5A05"/>
    <w:rsid w:val="00800551"/>
    <w:rsid w:val="00806AEC"/>
    <w:rsid w:val="00812031"/>
    <w:rsid w:val="0081327D"/>
    <w:rsid w:val="00821394"/>
    <w:rsid w:val="00823235"/>
    <w:rsid w:val="00823415"/>
    <w:rsid w:val="008264C0"/>
    <w:rsid w:val="00826746"/>
    <w:rsid w:val="00830243"/>
    <w:rsid w:val="00830C28"/>
    <w:rsid w:val="00832E4E"/>
    <w:rsid w:val="00836B92"/>
    <w:rsid w:val="008372FE"/>
    <w:rsid w:val="008402FD"/>
    <w:rsid w:val="008417B8"/>
    <w:rsid w:val="00843EDA"/>
    <w:rsid w:val="008463E5"/>
    <w:rsid w:val="00852724"/>
    <w:rsid w:val="00852B85"/>
    <w:rsid w:val="00856A14"/>
    <w:rsid w:val="00861D0D"/>
    <w:rsid w:val="008637BC"/>
    <w:rsid w:val="00866B00"/>
    <w:rsid w:val="008703AE"/>
    <w:rsid w:val="00871221"/>
    <w:rsid w:val="00871CCA"/>
    <w:rsid w:val="00872F4F"/>
    <w:rsid w:val="008740F6"/>
    <w:rsid w:val="008756A3"/>
    <w:rsid w:val="00875A50"/>
    <w:rsid w:val="00876138"/>
    <w:rsid w:val="008854F0"/>
    <w:rsid w:val="008878C3"/>
    <w:rsid w:val="0089232F"/>
    <w:rsid w:val="00892FC3"/>
    <w:rsid w:val="00893BE6"/>
    <w:rsid w:val="00894961"/>
    <w:rsid w:val="00894D57"/>
    <w:rsid w:val="008971A3"/>
    <w:rsid w:val="008A2D71"/>
    <w:rsid w:val="008A3105"/>
    <w:rsid w:val="008A46F0"/>
    <w:rsid w:val="008A4CB0"/>
    <w:rsid w:val="008B2B30"/>
    <w:rsid w:val="008B2E37"/>
    <w:rsid w:val="008B4146"/>
    <w:rsid w:val="008C1EE9"/>
    <w:rsid w:val="008C2035"/>
    <w:rsid w:val="008C42E1"/>
    <w:rsid w:val="008D4101"/>
    <w:rsid w:val="008D4F2B"/>
    <w:rsid w:val="008D506E"/>
    <w:rsid w:val="008E0D59"/>
    <w:rsid w:val="008E295A"/>
    <w:rsid w:val="008E3386"/>
    <w:rsid w:val="008E4A88"/>
    <w:rsid w:val="008E4B01"/>
    <w:rsid w:val="008F62EB"/>
    <w:rsid w:val="008F6624"/>
    <w:rsid w:val="009002C6"/>
    <w:rsid w:val="009021E6"/>
    <w:rsid w:val="00905B28"/>
    <w:rsid w:val="00907E5E"/>
    <w:rsid w:val="00910ADF"/>
    <w:rsid w:val="00910C0C"/>
    <w:rsid w:val="00915164"/>
    <w:rsid w:val="00922684"/>
    <w:rsid w:val="00923CE9"/>
    <w:rsid w:val="0092505D"/>
    <w:rsid w:val="009329FA"/>
    <w:rsid w:val="00932E5D"/>
    <w:rsid w:val="009345FA"/>
    <w:rsid w:val="009361D1"/>
    <w:rsid w:val="00936487"/>
    <w:rsid w:val="009404F7"/>
    <w:rsid w:val="0094484C"/>
    <w:rsid w:val="00944BB1"/>
    <w:rsid w:val="00946F93"/>
    <w:rsid w:val="00947165"/>
    <w:rsid w:val="00952CDF"/>
    <w:rsid w:val="00953CCA"/>
    <w:rsid w:val="0095454C"/>
    <w:rsid w:val="00962378"/>
    <w:rsid w:val="00962D04"/>
    <w:rsid w:val="0096499D"/>
    <w:rsid w:val="00966200"/>
    <w:rsid w:val="009700C0"/>
    <w:rsid w:val="00972D00"/>
    <w:rsid w:val="00973B80"/>
    <w:rsid w:val="0097458A"/>
    <w:rsid w:val="0097613B"/>
    <w:rsid w:val="00976216"/>
    <w:rsid w:val="00982943"/>
    <w:rsid w:val="00984297"/>
    <w:rsid w:val="00985801"/>
    <w:rsid w:val="00990683"/>
    <w:rsid w:val="00994F06"/>
    <w:rsid w:val="009A0155"/>
    <w:rsid w:val="009A02C1"/>
    <w:rsid w:val="009A5E97"/>
    <w:rsid w:val="009A602A"/>
    <w:rsid w:val="009A66A3"/>
    <w:rsid w:val="009A7CC3"/>
    <w:rsid w:val="009B3241"/>
    <w:rsid w:val="009B5C98"/>
    <w:rsid w:val="009C0185"/>
    <w:rsid w:val="009C0F02"/>
    <w:rsid w:val="009C147F"/>
    <w:rsid w:val="009C1FBB"/>
    <w:rsid w:val="009C5FDC"/>
    <w:rsid w:val="009D0793"/>
    <w:rsid w:val="009D22B1"/>
    <w:rsid w:val="009D2A45"/>
    <w:rsid w:val="009D3A0A"/>
    <w:rsid w:val="009D5D5F"/>
    <w:rsid w:val="009D7177"/>
    <w:rsid w:val="009D71F0"/>
    <w:rsid w:val="009D73BE"/>
    <w:rsid w:val="009E150A"/>
    <w:rsid w:val="009E17B7"/>
    <w:rsid w:val="009E277B"/>
    <w:rsid w:val="009F05AB"/>
    <w:rsid w:val="009F6DFE"/>
    <w:rsid w:val="00A0085D"/>
    <w:rsid w:val="00A00886"/>
    <w:rsid w:val="00A02146"/>
    <w:rsid w:val="00A040EF"/>
    <w:rsid w:val="00A06E31"/>
    <w:rsid w:val="00A13298"/>
    <w:rsid w:val="00A14E96"/>
    <w:rsid w:val="00A167C8"/>
    <w:rsid w:val="00A2256E"/>
    <w:rsid w:val="00A251C7"/>
    <w:rsid w:val="00A275EA"/>
    <w:rsid w:val="00A354E9"/>
    <w:rsid w:val="00A418D5"/>
    <w:rsid w:val="00A423B9"/>
    <w:rsid w:val="00A43019"/>
    <w:rsid w:val="00A43BA9"/>
    <w:rsid w:val="00A45649"/>
    <w:rsid w:val="00A50C88"/>
    <w:rsid w:val="00A52430"/>
    <w:rsid w:val="00A54969"/>
    <w:rsid w:val="00A553BA"/>
    <w:rsid w:val="00A56027"/>
    <w:rsid w:val="00A562AC"/>
    <w:rsid w:val="00A56B5E"/>
    <w:rsid w:val="00A5778C"/>
    <w:rsid w:val="00A60FB8"/>
    <w:rsid w:val="00A61A55"/>
    <w:rsid w:val="00A622E0"/>
    <w:rsid w:val="00A62E4F"/>
    <w:rsid w:val="00A64BE5"/>
    <w:rsid w:val="00A71231"/>
    <w:rsid w:val="00A7441D"/>
    <w:rsid w:val="00A77C99"/>
    <w:rsid w:val="00A80982"/>
    <w:rsid w:val="00A815CB"/>
    <w:rsid w:val="00A85C74"/>
    <w:rsid w:val="00A91617"/>
    <w:rsid w:val="00A92969"/>
    <w:rsid w:val="00A93C8B"/>
    <w:rsid w:val="00A95395"/>
    <w:rsid w:val="00AB727A"/>
    <w:rsid w:val="00AC1B9E"/>
    <w:rsid w:val="00AC50A0"/>
    <w:rsid w:val="00AC60F9"/>
    <w:rsid w:val="00AE7AF8"/>
    <w:rsid w:val="00AF04CA"/>
    <w:rsid w:val="00AF1A57"/>
    <w:rsid w:val="00AF2C57"/>
    <w:rsid w:val="00AF5777"/>
    <w:rsid w:val="00AF77B7"/>
    <w:rsid w:val="00B00002"/>
    <w:rsid w:val="00B0452E"/>
    <w:rsid w:val="00B06F8B"/>
    <w:rsid w:val="00B10F5B"/>
    <w:rsid w:val="00B11C5A"/>
    <w:rsid w:val="00B11CA2"/>
    <w:rsid w:val="00B15C99"/>
    <w:rsid w:val="00B16D2B"/>
    <w:rsid w:val="00B16FC7"/>
    <w:rsid w:val="00B17150"/>
    <w:rsid w:val="00B201F1"/>
    <w:rsid w:val="00B20712"/>
    <w:rsid w:val="00B22DD2"/>
    <w:rsid w:val="00B243E4"/>
    <w:rsid w:val="00B32758"/>
    <w:rsid w:val="00B3359C"/>
    <w:rsid w:val="00B3788E"/>
    <w:rsid w:val="00B52AA1"/>
    <w:rsid w:val="00B55986"/>
    <w:rsid w:val="00B64A88"/>
    <w:rsid w:val="00B66BA5"/>
    <w:rsid w:val="00B66D03"/>
    <w:rsid w:val="00B67160"/>
    <w:rsid w:val="00B676F1"/>
    <w:rsid w:val="00B81BC8"/>
    <w:rsid w:val="00B87ED2"/>
    <w:rsid w:val="00B9066B"/>
    <w:rsid w:val="00B91048"/>
    <w:rsid w:val="00B91E6A"/>
    <w:rsid w:val="00B94E3D"/>
    <w:rsid w:val="00B9620B"/>
    <w:rsid w:val="00B97866"/>
    <w:rsid w:val="00BA11A0"/>
    <w:rsid w:val="00BA17EB"/>
    <w:rsid w:val="00BA6FF1"/>
    <w:rsid w:val="00BB16C8"/>
    <w:rsid w:val="00BB4039"/>
    <w:rsid w:val="00BB4093"/>
    <w:rsid w:val="00BB7A11"/>
    <w:rsid w:val="00BC416E"/>
    <w:rsid w:val="00BC5838"/>
    <w:rsid w:val="00BD140C"/>
    <w:rsid w:val="00BD373F"/>
    <w:rsid w:val="00BE2D1F"/>
    <w:rsid w:val="00BE34BF"/>
    <w:rsid w:val="00BE45DE"/>
    <w:rsid w:val="00BE4B69"/>
    <w:rsid w:val="00BE63DB"/>
    <w:rsid w:val="00BE6CB1"/>
    <w:rsid w:val="00BF07C3"/>
    <w:rsid w:val="00BF09A2"/>
    <w:rsid w:val="00BF51C7"/>
    <w:rsid w:val="00BF7ACA"/>
    <w:rsid w:val="00C00E10"/>
    <w:rsid w:val="00C0122A"/>
    <w:rsid w:val="00C04493"/>
    <w:rsid w:val="00C12599"/>
    <w:rsid w:val="00C15A56"/>
    <w:rsid w:val="00C217F9"/>
    <w:rsid w:val="00C2443C"/>
    <w:rsid w:val="00C24D6F"/>
    <w:rsid w:val="00C3031F"/>
    <w:rsid w:val="00C5027F"/>
    <w:rsid w:val="00C50907"/>
    <w:rsid w:val="00C53FFF"/>
    <w:rsid w:val="00C55DB8"/>
    <w:rsid w:val="00C57EFC"/>
    <w:rsid w:val="00C66B52"/>
    <w:rsid w:val="00C66B54"/>
    <w:rsid w:val="00C73E49"/>
    <w:rsid w:val="00C75B51"/>
    <w:rsid w:val="00C77D80"/>
    <w:rsid w:val="00C81928"/>
    <w:rsid w:val="00C90863"/>
    <w:rsid w:val="00C90ABA"/>
    <w:rsid w:val="00C91F89"/>
    <w:rsid w:val="00C92BBC"/>
    <w:rsid w:val="00C970E1"/>
    <w:rsid w:val="00CA0798"/>
    <w:rsid w:val="00CA0B4C"/>
    <w:rsid w:val="00CB0021"/>
    <w:rsid w:val="00CB04E1"/>
    <w:rsid w:val="00CD101B"/>
    <w:rsid w:val="00CE3524"/>
    <w:rsid w:val="00CE3A55"/>
    <w:rsid w:val="00CF1460"/>
    <w:rsid w:val="00CF1605"/>
    <w:rsid w:val="00CF2376"/>
    <w:rsid w:val="00CF45C8"/>
    <w:rsid w:val="00CF4D7C"/>
    <w:rsid w:val="00D01AA1"/>
    <w:rsid w:val="00D043E0"/>
    <w:rsid w:val="00D053EC"/>
    <w:rsid w:val="00D070AA"/>
    <w:rsid w:val="00D078F4"/>
    <w:rsid w:val="00D176A4"/>
    <w:rsid w:val="00D24CFB"/>
    <w:rsid w:val="00D267BC"/>
    <w:rsid w:val="00D30DD0"/>
    <w:rsid w:val="00D34CAE"/>
    <w:rsid w:val="00D35234"/>
    <w:rsid w:val="00D358DB"/>
    <w:rsid w:val="00D35CF1"/>
    <w:rsid w:val="00D35E0D"/>
    <w:rsid w:val="00D374E6"/>
    <w:rsid w:val="00D37839"/>
    <w:rsid w:val="00D432CB"/>
    <w:rsid w:val="00D45994"/>
    <w:rsid w:val="00D459E2"/>
    <w:rsid w:val="00D45ABA"/>
    <w:rsid w:val="00D51B11"/>
    <w:rsid w:val="00D528A5"/>
    <w:rsid w:val="00D54552"/>
    <w:rsid w:val="00D562F2"/>
    <w:rsid w:val="00D576C6"/>
    <w:rsid w:val="00D605D0"/>
    <w:rsid w:val="00D61639"/>
    <w:rsid w:val="00D643AD"/>
    <w:rsid w:val="00D73321"/>
    <w:rsid w:val="00D750DA"/>
    <w:rsid w:val="00D75EF8"/>
    <w:rsid w:val="00D77340"/>
    <w:rsid w:val="00D80D9F"/>
    <w:rsid w:val="00D92319"/>
    <w:rsid w:val="00D92683"/>
    <w:rsid w:val="00D92A59"/>
    <w:rsid w:val="00D94006"/>
    <w:rsid w:val="00DA1AA1"/>
    <w:rsid w:val="00DA1AEA"/>
    <w:rsid w:val="00DA2978"/>
    <w:rsid w:val="00DB2F93"/>
    <w:rsid w:val="00DC2961"/>
    <w:rsid w:val="00DC58FB"/>
    <w:rsid w:val="00DC687E"/>
    <w:rsid w:val="00DD001F"/>
    <w:rsid w:val="00DD00E4"/>
    <w:rsid w:val="00DD2883"/>
    <w:rsid w:val="00DD2FAA"/>
    <w:rsid w:val="00DD3CAB"/>
    <w:rsid w:val="00DD44C0"/>
    <w:rsid w:val="00DD5931"/>
    <w:rsid w:val="00DD5A44"/>
    <w:rsid w:val="00DD68C0"/>
    <w:rsid w:val="00DE0EE7"/>
    <w:rsid w:val="00DE607C"/>
    <w:rsid w:val="00DF02C1"/>
    <w:rsid w:val="00DF09C6"/>
    <w:rsid w:val="00DF78B3"/>
    <w:rsid w:val="00E00BCF"/>
    <w:rsid w:val="00E021E1"/>
    <w:rsid w:val="00E027C4"/>
    <w:rsid w:val="00E111A7"/>
    <w:rsid w:val="00E174F6"/>
    <w:rsid w:val="00E201FC"/>
    <w:rsid w:val="00E20501"/>
    <w:rsid w:val="00E20DDE"/>
    <w:rsid w:val="00E22F1D"/>
    <w:rsid w:val="00E23F06"/>
    <w:rsid w:val="00E262E6"/>
    <w:rsid w:val="00E337C3"/>
    <w:rsid w:val="00E35042"/>
    <w:rsid w:val="00E37A98"/>
    <w:rsid w:val="00E40D88"/>
    <w:rsid w:val="00E44CA1"/>
    <w:rsid w:val="00E47E80"/>
    <w:rsid w:val="00E50237"/>
    <w:rsid w:val="00E543CE"/>
    <w:rsid w:val="00E70524"/>
    <w:rsid w:val="00E77BFF"/>
    <w:rsid w:val="00E809B6"/>
    <w:rsid w:val="00E81AB2"/>
    <w:rsid w:val="00E83604"/>
    <w:rsid w:val="00E84F7F"/>
    <w:rsid w:val="00E85D0B"/>
    <w:rsid w:val="00E86E8E"/>
    <w:rsid w:val="00E878EB"/>
    <w:rsid w:val="00E90F0B"/>
    <w:rsid w:val="00E93066"/>
    <w:rsid w:val="00E939A3"/>
    <w:rsid w:val="00EA0B32"/>
    <w:rsid w:val="00EA4B0F"/>
    <w:rsid w:val="00EA4F0B"/>
    <w:rsid w:val="00EA631B"/>
    <w:rsid w:val="00EA6430"/>
    <w:rsid w:val="00EB48B3"/>
    <w:rsid w:val="00EB500C"/>
    <w:rsid w:val="00EB5657"/>
    <w:rsid w:val="00EB5B64"/>
    <w:rsid w:val="00EB6DD9"/>
    <w:rsid w:val="00EB75E9"/>
    <w:rsid w:val="00EC27AA"/>
    <w:rsid w:val="00EC5444"/>
    <w:rsid w:val="00ED5DA1"/>
    <w:rsid w:val="00ED612E"/>
    <w:rsid w:val="00EE1BE7"/>
    <w:rsid w:val="00EE2428"/>
    <w:rsid w:val="00EE34A6"/>
    <w:rsid w:val="00EE4EA8"/>
    <w:rsid w:val="00EE73C9"/>
    <w:rsid w:val="00EF0AC0"/>
    <w:rsid w:val="00EF3062"/>
    <w:rsid w:val="00EF61B6"/>
    <w:rsid w:val="00EF713A"/>
    <w:rsid w:val="00F0162A"/>
    <w:rsid w:val="00F017AB"/>
    <w:rsid w:val="00F03CBD"/>
    <w:rsid w:val="00F06B92"/>
    <w:rsid w:val="00F07DFB"/>
    <w:rsid w:val="00F11C27"/>
    <w:rsid w:val="00F1219E"/>
    <w:rsid w:val="00F12409"/>
    <w:rsid w:val="00F1615B"/>
    <w:rsid w:val="00F268B4"/>
    <w:rsid w:val="00F3222A"/>
    <w:rsid w:val="00F33369"/>
    <w:rsid w:val="00F35BBD"/>
    <w:rsid w:val="00F3625C"/>
    <w:rsid w:val="00F36C1F"/>
    <w:rsid w:val="00F446F7"/>
    <w:rsid w:val="00F44C52"/>
    <w:rsid w:val="00F523C1"/>
    <w:rsid w:val="00F525EC"/>
    <w:rsid w:val="00F6211D"/>
    <w:rsid w:val="00F641CB"/>
    <w:rsid w:val="00F65EC8"/>
    <w:rsid w:val="00F72CA5"/>
    <w:rsid w:val="00F72CEC"/>
    <w:rsid w:val="00F72D7E"/>
    <w:rsid w:val="00F7765B"/>
    <w:rsid w:val="00F81330"/>
    <w:rsid w:val="00F8754C"/>
    <w:rsid w:val="00F906CB"/>
    <w:rsid w:val="00F91528"/>
    <w:rsid w:val="00F9439A"/>
    <w:rsid w:val="00FA09E4"/>
    <w:rsid w:val="00FA211B"/>
    <w:rsid w:val="00FA3917"/>
    <w:rsid w:val="00FA59BC"/>
    <w:rsid w:val="00FA7A34"/>
    <w:rsid w:val="00FA7F99"/>
    <w:rsid w:val="00FB2A96"/>
    <w:rsid w:val="00FB6020"/>
    <w:rsid w:val="00FC0678"/>
    <w:rsid w:val="00FC4BB1"/>
    <w:rsid w:val="00FC6D9A"/>
    <w:rsid w:val="00FD3EA2"/>
    <w:rsid w:val="00FD56D5"/>
    <w:rsid w:val="00FD5E87"/>
    <w:rsid w:val="00FE4047"/>
    <w:rsid w:val="00FE6C0C"/>
    <w:rsid w:val="00FE78F0"/>
    <w:rsid w:val="00FF1790"/>
    <w:rsid w:val="00FF29BC"/>
    <w:rsid w:val="00FF426E"/>
    <w:rsid w:val="00FF61CA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C8B2"/>
  <w15:docId w15:val="{0FD6E837-AB1D-46D4-95F0-195B36A4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7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0"/>
    <w:link w:val="20"/>
    <w:qFormat/>
    <w:rsid w:val="00A06E31"/>
    <w:pPr>
      <w:numPr>
        <w:ilvl w:val="1"/>
        <w:numId w:val="1"/>
      </w:numPr>
      <w:suppressAutoHyphens/>
      <w:spacing w:before="280" w:after="280"/>
      <w:outlineLvl w:val="1"/>
    </w:pPr>
    <w:rPr>
      <w:rFonts w:eastAsia="Times New Roman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91E6A"/>
    <w:pPr>
      <w:spacing w:before="100" w:beforeAutospacing="1" w:after="100" w:afterAutospacing="1"/>
    </w:pPr>
  </w:style>
  <w:style w:type="character" w:customStyle="1" w:styleId="font141">
    <w:name w:val="font141"/>
    <w:basedOn w:val="a1"/>
    <w:rsid w:val="00B91E6A"/>
    <w:rPr>
      <w:rFonts w:ascii="Times New Roman" w:hAnsi="Times New Roman" w:cs="Times New Roman" w:hint="default"/>
      <w:sz w:val="22"/>
      <w:szCs w:val="22"/>
    </w:rPr>
  </w:style>
  <w:style w:type="character" w:customStyle="1" w:styleId="font171">
    <w:name w:val="font171"/>
    <w:basedOn w:val="a1"/>
    <w:rsid w:val="00B91E6A"/>
    <w:rPr>
      <w:rFonts w:ascii="Times New Roman" w:hAnsi="Times New Roman" w:cs="Times New Roman" w:hint="default"/>
      <w:sz w:val="28"/>
      <w:szCs w:val="28"/>
    </w:rPr>
  </w:style>
  <w:style w:type="character" w:customStyle="1" w:styleId="font151">
    <w:name w:val="font151"/>
    <w:basedOn w:val="a1"/>
    <w:rsid w:val="00B91E6A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1E6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91E6A"/>
    <w:rPr>
      <w:rFonts w:ascii="Tahoma" w:eastAsiaTheme="minorEastAsia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C1259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1"/>
    <w:link w:val="a9"/>
    <w:uiPriority w:val="99"/>
    <w:rsid w:val="00C1259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6317BC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1"/>
    <w:link w:val="2"/>
    <w:rsid w:val="00A06E31"/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paragraph" w:styleId="a0">
    <w:name w:val="Body Text"/>
    <w:basedOn w:val="a"/>
    <w:link w:val="ab"/>
    <w:uiPriority w:val="99"/>
    <w:semiHidden/>
    <w:unhideWhenUsed/>
    <w:rsid w:val="00A06E3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A06E31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c">
    <w:name w:val="Table Grid"/>
    <w:basedOn w:val="a2"/>
    <w:uiPriority w:val="59"/>
    <w:rsid w:val="002B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826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customStyle="1" w:styleId="rvps2">
    <w:name w:val="rvps2"/>
    <w:basedOn w:val="a"/>
    <w:rsid w:val="00027DF6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d">
    <w:name w:val="List Paragraph"/>
    <w:basedOn w:val="a"/>
    <w:uiPriority w:val="34"/>
    <w:qFormat/>
    <w:rsid w:val="005946A1"/>
    <w:pPr>
      <w:ind w:left="720"/>
      <w:contextualSpacing/>
    </w:pPr>
  </w:style>
  <w:style w:type="table" w:customStyle="1" w:styleId="1">
    <w:name w:val="Сетка таблицы1"/>
    <w:basedOn w:val="a2"/>
    <w:next w:val="ac"/>
    <w:uiPriority w:val="59"/>
    <w:rsid w:val="00F11C27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627DEE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602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A602A"/>
    <w:rPr>
      <w:sz w:val="20"/>
      <w:szCs w:val="20"/>
    </w:rPr>
  </w:style>
  <w:style w:type="character" w:customStyle="1" w:styleId="af1">
    <w:name w:val="Текст примітки Знак"/>
    <w:basedOn w:val="a1"/>
    <w:link w:val="af0"/>
    <w:uiPriority w:val="99"/>
    <w:semiHidden/>
    <w:rsid w:val="009A602A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602A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9A602A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f4">
    <w:name w:val="footnote text"/>
    <w:basedOn w:val="a"/>
    <w:link w:val="af5"/>
    <w:uiPriority w:val="99"/>
    <w:semiHidden/>
    <w:unhideWhenUsed/>
    <w:rsid w:val="00457B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виноски Знак"/>
    <w:basedOn w:val="a1"/>
    <w:link w:val="af4"/>
    <w:uiPriority w:val="99"/>
    <w:semiHidden/>
    <w:rsid w:val="00457BBE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457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F8B8-5253-4AC0-98B9-B727EA1F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10742</Words>
  <Characters>6123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СТОРОЖЧУК ВОЛОДИМИР МИКОЛАЙОВИЧ</dc:creator>
  <cp:keywords/>
  <dc:description/>
  <cp:lastModifiedBy>Микитюк Ілона Віталіївна</cp:lastModifiedBy>
  <cp:revision>3</cp:revision>
  <cp:lastPrinted>2026-05-19T07:51:00Z</cp:lastPrinted>
  <dcterms:created xsi:type="dcterms:W3CDTF">2026-06-03T12:20:00Z</dcterms:created>
  <dcterms:modified xsi:type="dcterms:W3CDTF">2026-07-07T08:07:00Z</dcterms:modified>
</cp:coreProperties>
</file>