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3BD7F" w14:textId="77777777" w:rsidR="00B062FD" w:rsidRPr="00A17746" w:rsidRDefault="00B062FD" w:rsidP="00B062F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746">
        <w:rPr>
          <w:rFonts w:ascii="Times New Roman" w:eastAsia="Times New Roman" w:hAnsi="Times New Roman"/>
          <w:b/>
          <w:sz w:val="28"/>
          <w:szCs w:val="28"/>
          <w:lang w:eastAsia="ru-RU"/>
        </w:rPr>
        <w:t>АНАЛІЗ РЕГУЛЯТОРНОГО ВПЛИВУ</w:t>
      </w:r>
    </w:p>
    <w:p w14:paraId="5BF950C1" w14:textId="43B216B7" w:rsidR="00B062FD" w:rsidRPr="00A17746" w:rsidRDefault="00B062FD" w:rsidP="00B062F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до про</w:t>
      </w:r>
      <w:r w:rsidR="002D61BC" w:rsidRPr="00A1774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е</w:t>
      </w:r>
      <w:r w:rsidRPr="00A17746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кту </w:t>
      </w:r>
      <w:r w:rsidRPr="00A17746">
        <w:rPr>
          <w:rFonts w:ascii="Times New Roman" w:hAnsi="Times New Roman"/>
          <w:b/>
          <w:bCs/>
          <w:sz w:val="28"/>
          <w:szCs w:val="28"/>
        </w:rPr>
        <w:t>наказу Міністерства фінансів України «</w:t>
      </w:r>
      <w:r w:rsidRPr="00A17746">
        <w:rPr>
          <w:rFonts w:ascii="Times New Roman" w:hAnsi="Times New Roman"/>
          <w:b/>
          <w:sz w:val="28"/>
          <w:szCs w:val="28"/>
        </w:rPr>
        <w:t>Про внесення змін до наказу Міністерства фінансів України від 02 жовтня 2015 року № 859»</w:t>
      </w:r>
      <w:r w:rsidRPr="00A17746">
        <w:rPr>
          <w:b/>
        </w:rPr>
        <w:t xml:space="preserve">                              </w:t>
      </w:r>
    </w:p>
    <w:p w14:paraId="069BEEFC" w14:textId="77777777" w:rsidR="00B062FD" w:rsidRPr="00A17746" w:rsidRDefault="00B062FD" w:rsidP="00B062F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2BE681" w14:textId="77777777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17746">
        <w:rPr>
          <w:rFonts w:ascii="Times New Roman" w:hAnsi="Times New Roman"/>
          <w:b/>
          <w:sz w:val="28"/>
          <w:szCs w:val="28"/>
        </w:rPr>
        <w:t>І. Визначення проблеми</w:t>
      </w:r>
    </w:p>
    <w:p w14:paraId="5A36BC1A" w14:textId="361D7A96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 xml:space="preserve">Подання податкової декларації про майновий стан і доходи (далі – декларація) передбачено Конституцією України та Податковим кодексом України (далі – Кодекс). У випадках, передбачених розділом </w:t>
      </w:r>
      <w:r w:rsidRPr="00A17746">
        <w:rPr>
          <w:rFonts w:ascii="Times New Roman" w:hAnsi="Times New Roman"/>
          <w:sz w:val="28"/>
          <w:szCs w:val="28"/>
          <w:lang w:val="en-US"/>
        </w:rPr>
        <w:t>IV</w:t>
      </w:r>
      <w:r w:rsidRPr="00A17746">
        <w:rPr>
          <w:rFonts w:ascii="Times New Roman" w:hAnsi="Times New Roman"/>
          <w:sz w:val="28"/>
          <w:szCs w:val="28"/>
        </w:rPr>
        <w:t xml:space="preserve"> Кодексу, платники податку – фізичні особи, зокрема фізичні особи – підприємці, зобов’язані подавати податкову декларацію, форма якої затверджена наказом Міністерства фінансів України від 02 жовтня 2015 року № 859 «Про затвердження форми податкової декларації про майновий стан і доходи та Інструкції щодо заповнення податкової декларації про майновий стан і доходи». Крім того, ст</w:t>
      </w:r>
      <w:r w:rsidR="002D61BC" w:rsidRPr="00A17746">
        <w:rPr>
          <w:rFonts w:ascii="Times New Roman" w:hAnsi="Times New Roman"/>
          <w:sz w:val="28"/>
          <w:szCs w:val="28"/>
        </w:rPr>
        <w:t>аттею</w:t>
      </w:r>
      <w:r w:rsidRPr="00A17746">
        <w:rPr>
          <w:rFonts w:ascii="Times New Roman" w:hAnsi="Times New Roman"/>
          <w:sz w:val="28"/>
          <w:szCs w:val="28"/>
        </w:rPr>
        <w:t xml:space="preserve"> 166 Кодексу визначені випадки, за яких платник податку має право подати податкову декларацію при застосуванні права на податкову знижку.</w:t>
      </w:r>
    </w:p>
    <w:p w14:paraId="00DB181A" w14:textId="4B27E943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 xml:space="preserve">У зв’язку з внесенням змін до розділу ІV Кодексу Законом України                від 16 січня 2020 року № 466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(далі – Закон № 466) у частині оподаткування прибутку контрольованих іноземних компаній та у зв’язку із впровадженням подання звітності про нарахування </w:t>
      </w:r>
      <w:r w:rsidRPr="00A17746">
        <w:rPr>
          <w:rFonts w:ascii="Times New Roman" w:hAnsi="Times New Roman"/>
          <w:sz w:val="28"/>
          <w:szCs w:val="28"/>
          <w:lang w:eastAsia="ar-SA"/>
        </w:rPr>
        <w:t xml:space="preserve">єдиного внеску на загальнообов’язкове державне соціальне страхування (далі – єдиний внесок) </w:t>
      </w:r>
      <w:r w:rsidRPr="00A17746">
        <w:rPr>
          <w:rFonts w:ascii="Times New Roman" w:hAnsi="Times New Roman"/>
          <w:sz w:val="28"/>
          <w:szCs w:val="28"/>
        </w:rPr>
        <w:t>у складі звітності з податку на доходи фізичних осіб,</w:t>
      </w:r>
      <w:r w:rsidR="002D61BC" w:rsidRPr="00A17746">
        <w:rPr>
          <w:rFonts w:ascii="Times New Roman" w:hAnsi="Times New Roman"/>
          <w:sz w:val="28"/>
          <w:szCs w:val="28"/>
        </w:rPr>
        <w:t xml:space="preserve"> що передбачено</w:t>
      </w:r>
      <w:r w:rsidRPr="00A17746">
        <w:rPr>
          <w:rFonts w:ascii="Times New Roman" w:hAnsi="Times New Roman"/>
          <w:sz w:val="28"/>
          <w:szCs w:val="28"/>
        </w:rPr>
        <w:t xml:space="preserve"> Закон</w:t>
      </w:r>
      <w:r w:rsidR="002D61BC" w:rsidRPr="00A17746">
        <w:rPr>
          <w:rFonts w:ascii="Times New Roman" w:hAnsi="Times New Roman"/>
          <w:sz w:val="28"/>
          <w:szCs w:val="28"/>
        </w:rPr>
        <w:t>ом</w:t>
      </w:r>
      <w:r w:rsidRPr="00A17746">
        <w:rPr>
          <w:rFonts w:ascii="Times New Roman" w:hAnsi="Times New Roman"/>
          <w:sz w:val="28"/>
          <w:szCs w:val="28"/>
        </w:rPr>
        <w:t xml:space="preserve"> України від 19 вересня 2019 року № 115 «Про внесення змін до Закону України «Про збір та облік єдиного внеску на загальнообов’язкове державне соціальне страхування» та Закон</w:t>
      </w:r>
      <w:r w:rsidR="002D61BC" w:rsidRPr="00A17746">
        <w:rPr>
          <w:rFonts w:ascii="Times New Roman" w:hAnsi="Times New Roman"/>
          <w:sz w:val="28"/>
          <w:szCs w:val="28"/>
        </w:rPr>
        <w:t>ом</w:t>
      </w:r>
      <w:r w:rsidRPr="00A17746">
        <w:rPr>
          <w:rFonts w:ascii="Times New Roman" w:hAnsi="Times New Roman"/>
          <w:sz w:val="28"/>
          <w:szCs w:val="28"/>
        </w:rPr>
        <w:t xml:space="preserve"> України від 19 вересня 2019 року № 116 «Про внесення змін до Податкового кодексу України щодо подання єдиної звітності з єдиного внеску на загальнообов’язкове державне соціальне страхування і податку на доходи фізичних осіб» (далі – Закони №№ 115 та  116), на підставі Положення про Міністерство фінансів України, затвердженого постановою Кабінету Міністрів України від 20 серпня 2014 року № 375, розроблено про</w:t>
      </w:r>
      <w:r w:rsidR="002D61BC" w:rsidRPr="00A17746">
        <w:rPr>
          <w:rFonts w:ascii="Times New Roman" w:hAnsi="Times New Roman"/>
          <w:sz w:val="28"/>
          <w:szCs w:val="28"/>
        </w:rPr>
        <w:t>е</w:t>
      </w:r>
      <w:r w:rsidRPr="00A17746">
        <w:rPr>
          <w:rFonts w:ascii="Times New Roman" w:hAnsi="Times New Roman"/>
          <w:sz w:val="28"/>
          <w:szCs w:val="28"/>
        </w:rPr>
        <w:t>кт наказу Міністерства фінансів України «Про внесення змін до наказу Міністерства фінансів України від 02 жовтня 2015 року № 859» (далі – про</w:t>
      </w:r>
      <w:r w:rsidR="002D61BC" w:rsidRPr="00A17746">
        <w:rPr>
          <w:rFonts w:ascii="Times New Roman" w:hAnsi="Times New Roman"/>
          <w:sz w:val="28"/>
          <w:szCs w:val="28"/>
        </w:rPr>
        <w:t>е</w:t>
      </w:r>
      <w:r w:rsidRPr="00A17746">
        <w:rPr>
          <w:rFonts w:ascii="Times New Roman" w:hAnsi="Times New Roman"/>
          <w:sz w:val="28"/>
          <w:szCs w:val="28"/>
        </w:rPr>
        <w:t>кт наказу).</w:t>
      </w:r>
    </w:p>
    <w:p w14:paraId="70384B13" w14:textId="50E243E2" w:rsidR="00B062FD" w:rsidRPr="00A17746" w:rsidRDefault="00B062FD" w:rsidP="00B062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7746">
        <w:rPr>
          <w:lang w:eastAsia="uk-UA"/>
        </w:rPr>
        <w:t xml:space="preserve">           </w:t>
      </w:r>
      <w:r w:rsidRPr="00A17746">
        <w:rPr>
          <w:rFonts w:ascii="Times New Roman" w:hAnsi="Times New Roman"/>
          <w:bCs/>
          <w:sz w:val="28"/>
          <w:szCs w:val="28"/>
        </w:rPr>
        <w:t>Згідно з пунктом 179.9 статті 179 Кодексу форма податкової декларації встановлюється центральним органом виконавчої влади, що забезпечує формування та реалізує державну фінансову політику</w:t>
      </w:r>
      <w:r w:rsidR="002D61BC" w:rsidRPr="00A17746">
        <w:rPr>
          <w:rFonts w:ascii="Times New Roman" w:hAnsi="Times New Roman"/>
          <w:bCs/>
          <w:sz w:val="28"/>
          <w:szCs w:val="28"/>
        </w:rPr>
        <w:t>. При цьому</w:t>
      </w:r>
      <w:r w:rsidRPr="00A17746">
        <w:rPr>
          <w:rFonts w:ascii="Times New Roman" w:hAnsi="Times New Roman"/>
          <w:bCs/>
          <w:sz w:val="28"/>
          <w:szCs w:val="28"/>
        </w:rPr>
        <w:t xml:space="preserve"> розрахунки окремих видів доходів (витрат) мають міститися в додатках до податкової декларації, що заповнюються виключно платниками податку за наявності таких доходів (витрат).</w:t>
      </w:r>
    </w:p>
    <w:p w14:paraId="3AA5097F" w14:textId="06DDE6F7" w:rsidR="00B062FD" w:rsidRPr="00A17746" w:rsidRDefault="00B062FD" w:rsidP="00B062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      На сьогодні фізичні особи – платники податків, на яких поширюються вищезазначені зміни, не мають можливості реалізувати </w:t>
      </w:r>
      <w:r w:rsidR="00F42842"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виконання своїх  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обов’язк</w:t>
      </w:r>
      <w:r w:rsidR="00F42842" w:rsidRPr="00A17746">
        <w:rPr>
          <w:rFonts w:ascii="Times New Roman" w:eastAsia="Times New Roman" w:hAnsi="Times New Roman"/>
          <w:sz w:val="28"/>
          <w:szCs w:val="28"/>
          <w:lang w:eastAsia="uk-UA"/>
        </w:rPr>
        <w:t>ів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.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тже, </w:t>
      </w:r>
      <w:r w:rsidRPr="00A17746">
        <w:rPr>
          <w:rFonts w:ascii="Times New Roman" w:hAnsi="Times New Roman"/>
          <w:sz w:val="28"/>
          <w:szCs w:val="28"/>
        </w:rPr>
        <w:t xml:space="preserve">у зв’язку з необхідністю вирішення питань, не врегульованих чинним наказом, та </w:t>
      </w:r>
      <w:r w:rsidRPr="00A17746">
        <w:rPr>
          <w:rFonts w:ascii="Times New Roman" w:hAnsi="Times New Roman"/>
          <w:sz w:val="28"/>
          <w:szCs w:val="28"/>
          <w:lang w:eastAsia="ru-RU"/>
        </w:rPr>
        <w:t>забезпечення виконання норм актів вищої юридичної сили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розроблен</w:t>
      </w:r>
      <w:r w:rsidR="00F42842" w:rsidRPr="00A17746">
        <w:rPr>
          <w:rFonts w:ascii="Times New Roman" w:eastAsia="Times New Roman" w:hAnsi="Times New Roman"/>
          <w:sz w:val="28"/>
          <w:szCs w:val="28"/>
          <w:lang w:eastAsia="uk-UA"/>
        </w:rPr>
        <w:t>о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про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кт наказу</w:t>
      </w:r>
      <w:r w:rsidRPr="00A17746">
        <w:rPr>
          <w:rFonts w:ascii="Times New Roman" w:hAnsi="Times New Roman"/>
          <w:sz w:val="28"/>
          <w:szCs w:val="28"/>
          <w:lang w:eastAsia="ru-RU"/>
        </w:rPr>
        <w:t>.</w:t>
      </w:r>
    </w:p>
    <w:p w14:paraId="686A1A3C" w14:textId="77777777" w:rsidR="00B062FD" w:rsidRPr="00A17746" w:rsidRDefault="00B062FD" w:rsidP="00B062FD">
      <w:pPr>
        <w:pStyle w:val="2"/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A17746">
        <w:rPr>
          <w:color w:val="auto"/>
          <w:sz w:val="28"/>
          <w:szCs w:val="28"/>
        </w:rPr>
        <w:lastRenderedPageBreak/>
        <w:t>Для реалізації зазначених змін у формі декларації введено окремі рядки для відображення:</w:t>
      </w:r>
    </w:p>
    <w:p w14:paraId="497D6C7A" w14:textId="77777777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7746">
        <w:rPr>
          <w:rFonts w:ascii="Times New Roman" w:hAnsi="Times New Roman"/>
          <w:bCs/>
          <w:sz w:val="28"/>
          <w:szCs w:val="28"/>
        </w:rPr>
        <w:t>частини прибутку контрольованої іноземної компанії та податкових зобов’язань з таких доходів;</w:t>
      </w:r>
    </w:p>
    <w:p w14:paraId="6BB767BF" w14:textId="77777777" w:rsidR="00B062FD" w:rsidRPr="00A17746" w:rsidRDefault="00B062FD" w:rsidP="00B062FD">
      <w:pPr>
        <w:pStyle w:val="2"/>
        <w:spacing w:after="0"/>
        <w:ind w:firstLine="567"/>
        <w:jc w:val="both"/>
        <w:rPr>
          <w:color w:val="auto"/>
          <w:sz w:val="28"/>
          <w:szCs w:val="28"/>
          <w:lang w:eastAsia="ar-SA"/>
        </w:rPr>
      </w:pPr>
      <w:r w:rsidRPr="00A17746">
        <w:rPr>
          <w:bCs/>
          <w:color w:val="auto"/>
          <w:sz w:val="28"/>
          <w:szCs w:val="28"/>
        </w:rPr>
        <w:t>зобов’язань з єдиного внеску для самозайнятих осіб або для фізичних осіб, які сплачують єдиний внесок на умовах договору про добровільну участь у загальнообов’язковому державному пенсійному страхуванні,</w:t>
      </w:r>
      <w:r w:rsidRPr="00A17746">
        <w:rPr>
          <w:bCs/>
          <w:color w:val="auto"/>
          <w:sz w:val="28"/>
          <w:szCs w:val="28"/>
          <w:lang w:val="ru-RU"/>
        </w:rPr>
        <w:t xml:space="preserve"> або для </w:t>
      </w:r>
      <w:r w:rsidRPr="00A17746">
        <w:rPr>
          <w:color w:val="auto"/>
          <w:sz w:val="28"/>
          <w:szCs w:val="28"/>
          <w:lang w:eastAsia="ar-SA"/>
        </w:rPr>
        <w:t>членів фермерського господарства, якщо вони не належать до осіб, які підлягають страхуванню на інших підставах;</w:t>
      </w:r>
    </w:p>
    <w:p w14:paraId="76140C02" w14:textId="77777777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7746">
        <w:rPr>
          <w:rFonts w:ascii="Times New Roman" w:hAnsi="Times New Roman"/>
          <w:bCs/>
          <w:sz w:val="28"/>
          <w:szCs w:val="28"/>
        </w:rPr>
        <w:t>уточнення попередньо задекларованих зобов</w:t>
      </w:r>
      <w:r w:rsidRPr="00A17746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A17746">
        <w:rPr>
          <w:rFonts w:ascii="Times New Roman" w:hAnsi="Times New Roman"/>
          <w:bCs/>
          <w:sz w:val="28"/>
          <w:szCs w:val="28"/>
        </w:rPr>
        <w:t>язань перед бюджетами та цільовими фондами.</w:t>
      </w:r>
    </w:p>
    <w:p w14:paraId="7A1DB237" w14:textId="741FF0F1" w:rsidR="00B062FD" w:rsidRPr="00A17746" w:rsidRDefault="00B062FD" w:rsidP="00B0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bCs/>
          <w:sz w:val="28"/>
          <w:szCs w:val="28"/>
        </w:rPr>
        <w:t xml:space="preserve">        Крім того, до декларації передбачено </w:t>
      </w:r>
      <w:r w:rsidR="00AF6416" w:rsidRPr="00A17746">
        <w:rPr>
          <w:rFonts w:ascii="Times New Roman" w:hAnsi="Times New Roman"/>
          <w:bCs/>
          <w:sz w:val="28"/>
          <w:szCs w:val="28"/>
        </w:rPr>
        <w:t xml:space="preserve">долучити </w:t>
      </w:r>
      <w:r w:rsidRPr="00A17746">
        <w:rPr>
          <w:rFonts w:ascii="Times New Roman" w:hAnsi="Times New Roman"/>
          <w:bCs/>
          <w:sz w:val="28"/>
          <w:szCs w:val="28"/>
        </w:rPr>
        <w:t>додатков</w:t>
      </w:r>
      <w:r w:rsidR="00AF6416" w:rsidRPr="00A17746">
        <w:rPr>
          <w:rFonts w:ascii="Times New Roman" w:hAnsi="Times New Roman"/>
          <w:bCs/>
          <w:sz w:val="28"/>
          <w:szCs w:val="28"/>
        </w:rPr>
        <w:t>о</w:t>
      </w:r>
      <w:r w:rsidRPr="00A17746">
        <w:rPr>
          <w:rFonts w:ascii="Times New Roman" w:hAnsi="Times New Roman"/>
          <w:bCs/>
          <w:sz w:val="28"/>
          <w:szCs w:val="28"/>
        </w:rPr>
        <w:t xml:space="preserve"> окремі додатки КІК, ЄСВ 1, ЄСВ 2 та ЄСВ 3, що надають можливість платникам податків окремо розрахувати свої податкові зобов’язання з частини </w:t>
      </w:r>
      <w:r w:rsidRPr="00A17746">
        <w:rPr>
          <w:rFonts w:ascii="Times New Roman" w:hAnsi="Times New Roman"/>
          <w:sz w:val="28"/>
          <w:szCs w:val="28"/>
        </w:rPr>
        <w:t xml:space="preserve">прибутку контрольованих іноземних компаній та </w:t>
      </w:r>
      <w:r w:rsidRPr="00A17746">
        <w:rPr>
          <w:rFonts w:ascii="Times New Roman" w:hAnsi="Times New Roman"/>
          <w:bCs/>
          <w:sz w:val="28"/>
          <w:szCs w:val="28"/>
        </w:rPr>
        <w:t>зобов’язання з єдиного внеску.</w:t>
      </w:r>
    </w:p>
    <w:p w14:paraId="604AF42B" w14:textId="4C560E2A" w:rsidR="00B062FD" w:rsidRPr="00A17746" w:rsidRDefault="00B062FD" w:rsidP="00B0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 xml:space="preserve">        За даними інформаційних систем ДПС</w:t>
      </w:r>
      <w:r w:rsidR="00AF6416" w:rsidRPr="00A17746">
        <w:rPr>
          <w:rFonts w:ascii="Times New Roman" w:hAnsi="Times New Roman"/>
          <w:sz w:val="28"/>
          <w:szCs w:val="28"/>
        </w:rPr>
        <w:t>,</w:t>
      </w:r>
      <w:r w:rsidRPr="00A17746">
        <w:rPr>
          <w:rFonts w:ascii="Times New Roman" w:hAnsi="Times New Roman"/>
          <w:sz w:val="28"/>
          <w:szCs w:val="28"/>
        </w:rPr>
        <w:t xml:space="preserve"> протягом 2020 року (станом на 01.09.2020)  платниками податків подано </w:t>
      </w:r>
      <w:r w:rsidRPr="00A17746">
        <w:rPr>
          <w:rFonts w:ascii="Times New Roman" w:hAnsi="Times New Roman"/>
          <w:sz w:val="28"/>
          <w:szCs w:val="28"/>
          <w:lang w:val="ru-RU"/>
        </w:rPr>
        <w:t>776346</w:t>
      </w:r>
      <w:r w:rsidRPr="00A17746">
        <w:rPr>
          <w:rFonts w:ascii="Times New Roman" w:hAnsi="Times New Roman"/>
          <w:sz w:val="28"/>
          <w:szCs w:val="28"/>
        </w:rPr>
        <w:t xml:space="preserve"> </w:t>
      </w:r>
      <w:r w:rsidRPr="00A17746">
        <w:rPr>
          <w:rFonts w:ascii="Times New Roman" w:hAnsi="Times New Roman"/>
          <w:sz w:val="28"/>
          <w:szCs w:val="28"/>
          <w:lang w:val="ru-RU"/>
        </w:rPr>
        <w:t xml:space="preserve">річних </w:t>
      </w:r>
      <w:r w:rsidRPr="00A17746">
        <w:rPr>
          <w:rFonts w:ascii="Times New Roman" w:hAnsi="Times New Roman"/>
          <w:sz w:val="28"/>
          <w:szCs w:val="28"/>
        </w:rPr>
        <w:t xml:space="preserve">декларацій, у т. ч. </w:t>
      </w:r>
      <w:r w:rsidR="00E734FF" w:rsidRPr="00A17746">
        <w:rPr>
          <w:rFonts w:ascii="Times New Roman" w:hAnsi="Times New Roman"/>
          <w:sz w:val="28"/>
          <w:szCs w:val="28"/>
        </w:rPr>
        <w:br/>
      </w:r>
      <w:r w:rsidRPr="00A17746">
        <w:rPr>
          <w:rFonts w:ascii="Times New Roman" w:hAnsi="Times New Roman"/>
          <w:sz w:val="28"/>
          <w:szCs w:val="28"/>
        </w:rPr>
        <w:t>226011 – фізичними особами – підприємцями та 550335</w:t>
      </w:r>
      <w:r w:rsidR="00AF6416" w:rsidRPr="00A17746">
        <w:rPr>
          <w:rFonts w:ascii="Times New Roman" w:hAnsi="Times New Roman"/>
          <w:sz w:val="28"/>
          <w:szCs w:val="28"/>
        </w:rPr>
        <w:t xml:space="preserve"> –</w:t>
      </w:r>
      <w:r w:rsidRPr="00A17746">
        <w:rPr>
          <w:rFonts w:ascii="Times New Roman" w:hAnsi="Times New Roman"/>
          <w:sz w:val="28"/>
          <w:szCs w:val="28"/>
        </w:rPr>
        <w:t xml:space="preserve"> фізичними особами та особами, які провадять незалежну професійну діяльність.</w:t>
      </w:r>
    </w:p>
    <w:p w14:paraId="3E4F36DF" w14:textId="77777777" w:rsidR="00E734FF" w:rsidRPr="00A17746" w:rsidRDefault="00B062FD" w:rsidP="00B062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Відповідно до п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ункту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177.11 ст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атті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 Кодексу фізичні особи </w:t>
      </w:r>
      <w:r w:rsidRPr="00A17746">
        <w:rPr>
          <w:rFonts w:ascii="Times New Roman" w:hAnsi="Times New Roman"/>
          <w:sz w:val="28"/>
          <w:szCs w:val="28"/>
        </w:rPr>
        <w:t>–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підприємці (крім осіб, що обрали спрощену систему оподаткування) подають річну декларацію, у якій поряд з доходами від підприємницької діяльності мають зазначатися інші доходи з джерел їх походження з України та іноземні доходи. </w:t>
      </w:r>
    </w:p>
    <w:p w14:paraId="57A03E2C" w14:textId="53D6CA39" w:rsidR="00311B03" w:rsidRPr="00A17746" w:rsidRDefault="00B062FD" w:rsidP="00B062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Крім того, фізичні особи </w:t>
      </w:r>
      <w:r w:rsidRPr="00A17746">
        <w:rPr>
          <w:rFonts w:ascii="Times New Roman" w:hAnsi="Times New Roman"/>
          <w:sz w:val="28"/>
          <w:szCs w:val="28"/>
        </w:rPr>
        <w:t>–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підприємці, які зареєстровані протягом року </w:t>
      </w:r>
      <w:r w:rsidR="00AF6416" w:rsidRPr="00A17746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законом порядку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або переходять на спрощену систему оподаткування, обліку та звітності, або перейшли зі спрощеної системи оподаткування, обліку та звітності, подають декларацію за результатами звітного року, у якому розпочата така діяльність або відбувся перехід на (зі) спрощену(ої) систему(и) оподаткування, обліку та звітності (п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ідпункт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177.5.2 п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ункту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177.5 ст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атті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 Кодексу). </w:t>
      </w:r>
    </w:p>
    <w:p w14:paraId="36861021" w14:textId="57CFBD5B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Фізичні особи, стосовно яких проведено державну реєстрацію припинення підприємницької діяльності фізичної особи </w:t>
      </w:r>
      <w:r w:rsidRPr="00A17746">
        <w:rPr>
          <w:rFonts w:ascii="Times New Roman" w:hAnsi="Times New Roman"/>
          <w:sz w:val="28"/>
          <w:szCs w:val="28"/>
        </w:rPr>
        <w:t>–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підприємця за її рішенням, подають податкову декларацію за останній базовий податковий (звітний) період, у якій відображаються виключно доходи від проведення підприємницької діяльності (п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ункт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177.11 ст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атті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177 Кодексу).</w:t>
      </w:r>
    </w:p>
    <w:p w14:paraId="50259B27" w14:textId="2B1DCB43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Згідно з п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унктом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76.1 ст</w:t>
      </w:r>
      <w:r w:rsidR="00E734FF" w:rsidRPr="00A17746">
        <w:rPr>
          <w:rFonts w:ascii="Times New Roman" w:eastAsia="Times New Roman" w:hAnsi="Times New Roman"/>
          <w:sz w:val="28"/>
          <w:szCs w:val="28"/>
          <w:lang w:eastAsia="uk-UA"/>
        </w:rPr>
        <w:t>атті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76 Кодексу камеральній перевірці підлягає вся податкова звітність суцільним порядком.</w:t>
      </w:r>
    </w:p>
    <w:p w14:paraId="4DBE06DA" w14:textId="77777777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 xml:space="preserve">Враховуючи, що звітність подається раз на рік, а перевірці підлягає вся податкова звітність, процедура опрацювання для суб’єктів управління без внесення змін до наказу № 859 потребує додаткових витрат. </w:t>
      </w:r>
    </w:p>
    <w:p w14:paraId="0E19B150" w14:textId="24D84A81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Протягом 2020 року (станом на 01.09.2020) в електронному вигляді подано 124054 податков</w:t>
      </w:r>
      <w:r w:rsidR="00AF6416" w:rsidRPr="00A17746">
        <w:rPr>
          <w:rFonts w:ascii="Times New Roman" w:hAnsi="Times New Roman"/>
          <w:sz w:val="28"/>
          <w:szCs w:val="28"/>
        </w:rPr>
        <w:t>і</w:t>
      </w:r>
      <w:r w:rsidRPr="00A17746">
        <w:rPr>
          <w:rFonts w:ascii="Times New Roman" w:hAnsi="Times New Roman"/>
          <w:sz w:val="28"/>
          <w:szCs w:val="28"/>
        </w:rPr>
        <w:t xml:space="preserve"> декларації, з них 114247 – фізичними особами – підприємцями, або 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33 відсотки </w:t>
      </w:r>
      <w:r w:rsidR="00AF6416"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 – 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від суб</w:t>
      </w:r>
      <w:r w:rsidRPr="00A17746">
        <w:rPr>
          <w:rFonts w:ascii="Times New Roman" w:eastAsia="Times New Roman" w:hAnsi="Times New Roman"/>
          <w:sz w:val="28"/>
          <w:szCs w:val="28"/>
          <w:lang w:val="ru-RU" w:eastAsia="uk-UA"/>
        </w:rPr>
        <w:t>’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єктів господарювання.</w:t>
      </w:r>
    </w:p>
    <w:p w14:paraId="0AB414EB" w14:textId="684F05E2" w:rsidR="00B062FD" w:rsidRPr="00A17746" w:rsidRDefault="00B062FD" w:rsidP="00B06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  <w:lang w:eastAsia="uk-UA"/>
        </w:rPr>
        <w:lastRenderedPageBreak/>
        <w:t xml:space="preserve">Вартість часових витрат працівників органів ДПС на опрацювання звітів суб’єктів господарювання </w:t>
      </w:r>
      <w:r w:rsidRPr="00A17746">
        <w:rPr>
          <w:rFonts w:ascii="Times New Roman" w:hAnsi="Times New Roman"/>
          <w:sz w:val="28"/>
          <w:szCs w:val="28"/>
        </w:rPr>
        <w:t xml:space="preserve">без внесення змін становитиме </w:t>
      </w:r>
      <w:r w:rsidRPr="00A17746">
        <w:rPr>
          <w:rFonts w:ascii="Times New Roman" w:hAnsi="Times New Roman"/>
          <w:sz w:val="28"/>
          <w:szCs w:val="28"/>
          <w:lang w:eastAsia="ru-RU"/>
        </w:rPr>
        <w:t xml:space="preserve">1,1 млн грн (0,2 год. * 25,20 грн/год. * 226011 осіб), де </w:t>
      </w:r>
      <w:r w:rsidRPr="00A17746">
        <w:rPr>
          <w:rFonts w:ascii="Times New Roman" w:hAnsi="Times New Roman"/>
          <w:sz w:val="28"/>
          <w:szCs w:val="28"/>
        </w:rPr>
        <w:t>0,25 год. – це п</w:t>
      </w:r>
      <w:r w:rsidRPr="00A17746">
        <w:rPr>
          <w:rFonts w:ascii="Times New Roman" w:hAnsi="Times New Roman"/>
          <w:sz w:val="28"/>
          <w:szCs w:val="28"/>
          <w:lang w:eastAsia="ru-RU"/>
        </w:rPr>
        <w:t>ланові витрати часу на процедуру</w:t>
      </w:r>
      <w:r w:rsidRPr="00A17746">
        <w:rPr>
          <w:rFonts w:ascii="Times New Roman" w:hAnsi="Times New Roman"/>
          <w:sz w:val="28"/>
          <w:szCs w:val="28"/>
        </w:rPr>
        <w:t xml:space="preserve"> (0,1 год. приймання та опрацювання звіту + 0,1 год. аналіз інформаційних баз даних ДПС щодо правильності визначення доходів). </w:t>
      </w:r>
    </w:p>
    <w:p w14:paraId="39934075" w14:textId="1D80FA53" w:rsidR="00B062FD" w:rsidRPr="00A17746" w:rsidRDefault="00B062FD" w:rsidP="00B06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  <w:lang w:eastAsia="ru-RU"/>
        </w:rPr>
        <w:t>При прийнятті про</w:t>
      </w:r>
      <w:r w:rsidR="00311B03" w:rsidRPr="00A17746">
        <w:rPr>
          <w:rFonts w:ascii="Times New Roman" w:hAnsi="Times New Roman"/>
          <w:sz w:val="28"/>
          <w:szCs w:val="28"/>
          <w:lang w:eastAsia="ru-RU"/>
        </w:rPr>
        <w:t>е</w:t>
      </w:r>
      <w:r w:rsidRPr="00A17746">
        <w:rPr>
          <w:rFonts w:ascii="Times New Roman" w:hAnsi="Times New Roman"/>
          <w:sz w:val="28"/>
          <w:szCs w:val="28"/>
          <w:lang w:eastAsia="ru-RU"/>
        </w:rPr>
        <w:t>кту наказу в</w:t>
      </w:r>
      <w:r w:rsidRPr="00A17746">
        <w:rPr>
          <w:rFonts w:ascii="Times New Roman" w:hAnsi="Times New Roman"/>
          <w:sz w:val="28"/>
          <w:szCs w:val="28"/>
          <w:lang w:eastAsia="uk-UA"/>
        </w:rPr>
        <w:t xml:space="preserve">артість часових витрат працівників органів ДПС на опрацювання звітів суб’єктів господарювання </w:t>
      </w:r>
      <w:r w:rsidRPr="00A17746">
        <w:rPr>
          <w:rFonts w:ascii="Times New Roman" w:hAnsi="Times New Roman"/>
          <w:sz w:val="28"/>
          <w:szCs w:val="28"/>
        </w:rPr>
        <w:t>без внесення змін становитиме 569,5 тис. грн</w:t>
      </w:r>
      <w:r w:rsidRPr="00A17746">
        <w:t xml:space="preserve"> </w:t>
      </w:r>
      <w:r w:rsidRPr="00A17746">
        <w:rPr>
          <w:rFonts w:ascii="Times New Roman" w:hAnsi="Times New Roman"/>
          <w:sz w:val="28"/>
          <w:szCs w:val="28"/>
        </w:rPr>
        <w:t xml:space="preserve"> </w:t>
      </w:r>
      <w:r w:rsidRPr="00A17746">
        <w:rPr>
          <w:rFonts w:ascii="Times New Roman" w:hAnsi="Times New Roman"/>
          <w:sz w:val="28"/>
          <w:szCs w:val="28"/>
          <w:lang w:eastAsia="ru-RU"/>
        </w:rPr>
        <w:t xml:space="preserve">(0,1 год. * 25,20 грн./год. * 226011 осіб). </w:t>
      </w:r>
    </w:p>
    <w:p w14:paraId="611C8E1C" w14:textId="60929121" w:rsidR="00B062FD" w:rsidRPr="00A17746" w:rsidRDefault="00B062FD" w:rsidP="00B062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Економія витрат у разі прийняття про</w:t>
      </w:r>
      <w:r w:rsidR="00311B03" w:rsidRPr="00A17746">
        <w:rPr>
          <w:rFonts w:ascii="Times New Roman" w:hAnsi="Times New Roman"/>
          <w:sz w:val="28"/>
          <w:szCs w:val="28"/>
        </w:rPr>
        <w:t>е</w:t>
      </w:r>
      <w:r w:rsidRPr="00A17746">
        <w:rPr>
          <w:rFonts w:ascii="Times New Roman" w:hAnsi="Times New Roman"/>
          <w:sz w:val="28"/>
          <w:szCs w:val="28"/>
        </w:rPr>
        <w:t xml:space="preserve">кту наказу приведе до щорічної економії бюджетних коштів у розмірі близько 0,5 млн грн/рік. </w:t>
      </w:r>
    </w:p>
    <w:p w14:paraId="1F84BE90" w14:textId="77777777" w:rsidR="00B062FD" w:rsidRPr="00A17746" w:rsidRDefault="00B062FD" w:rsidP="00B062FD">
      <w:pPr>
        <w:pStyle w:val="a6"/>
        <w:widowControl w:val="0"/>
        <w:spacing w:before="120"/>
        <w:ind w:firstLine="567"/>
        <w:rPr>
          <w:rFonts w:ascii="Times New Roman" w:hAnsi="Times New Roman"/>
          <w:sz w:val="28"/>
          <w:szCs w:val="28"/>
          <w:lang w:val="ru-RU"/>
        </w:rPr>
      </w:pPr>
      <w:r w:rsidRPr="00A17746">
        <w:rPr>
          <w:rFonts w:ascii="Times New Roman" w:hAnsi="Times New Roman"/>
          <w:sz w:val="28"/>
          <w:szCs w:val="28"/>
          <w:lang w:val="uk-UA"/>
        </w:rPr>
        <w:t>Основні групи (підгрупи), на які проблема справляє вплив:</w:t>
      </w:r>
    </w:p>
    <w:p w14:paraId="428F4D7D" w14:textId="77777777" w:rsidR="00B062FD" w:rsidRPr="00A17746" w:rsidRDefault="00B062FD" w:rsidP="00B062FD">
      <w:pPr>
        <w:pStyle w:val="a6"/>
        <w:widowControl w:val="0"/>
        <w:spacing w:before="120"/>
        <w:ind w:firstLine="56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3072"/>
        <w:gridCol w:w="3071"/>
      </w:tblGrid>
      <w:tr w:rsidR="00A17746" w:rsidRPr="00A17746" w14:paraId="135BB924" w14:textId="77777777" w:rsidTr="0027286F">
        <w:trPr>
          <w:cantSplit/>
          <w:trHeight w:val="479"/>
        </w:trPr>
        <w:tc>
          <w:tcPr>
            <w:tcW w:w="3107" w:type="dxa"/>
            <w:shd w:val="clear" w:color="auto" w:fill="auto"/>
            <w:vAlign w:val="center"/>
          </w:tcPr>
          <w:p w14:paraId="0E9C9093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Групи (підгрупи)</w:t>
            </w:r>
          </w:p>
        </w:tc>
        <w:tc>
          <w:tcPr>
            <w:tcW w:w="3107" w:type="dxa"/>
            <w:shd w:val="clear" w:color="auto" w:fill="auto"/>
            <w:vAlign w:val="center"/>
          </w:tcPr>
          <w:p w14:paraId="27631AEA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Так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00C4FBD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</w:tr>
      <w:tr w:rsidR="00A17746" w:rsidRPr="00A17746" w14:paraId="53938945" w14:textId="77777777" w:rsidTr="0027286F">
        <w:trPr>
          <w:cantSplit/>
          <w:trHeight w:val="415"/>
        </w:trPr>
        <w:tc>
          <w:tcPr>
            <w:tcW w:w="3107" w:type="dxa"/>
            <w:shd w:val="clear" w:color="auto" w:fill="auto"/>
          </w:tcPr>
          <w:p w14:paraId="40DA4563" w14:textId="77777777" w:rsidR="00B062FD" w:rsidRPr="00A17746" w:rsidRDefault="00B062FD" w:rsidP="0027286F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 xml:space="preserve">Громадяни </w:t>
            </w:r>
          </w:p>
        </w:tc>
        <w:tc>
          <w:tcPr>
            <w:tcW w:w="3107" w:type="dxa"/>
            <w:shd w:val="clear" w:color="auto" w:fill="auto"/>
          </w:tcPr>
          <w:p w14:paraId="10A4C05C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14:paraId="1B743149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  <w:tr w:rsidR="00A17746" w:rsidRPr="00A17746" w14:paraId="191ABB70" w14:textId="77777777" w:rsidTr="0027286F">
        <w:trPr>
          <w:cantSplit/>
          <w:trHeight w:val="421"/>
        </w:trPr>
        <w:tc>
          <w:tcPr>
            <w:tcW w:w="3107" w:type="dxa"/>
            <w:shd w:val="clear" w:color="auto" w:fill="auto"/>
          </w:tcPr>
          <w:p w14:paraId="5E060E68" w14:textId="77777777" w:rsidR="00B062FD" w:rsidRPr="00A17746" w:rsidRDefault="00B062FD" w:rsidP="0027286F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Держава</w:t>
            </w:r>
          </w:p>
        </w:tc>
        <w:tc>
          <w:tcPr>
            <w:tcW w:w="3107" w:type="dxa"/>
            <w:shd w:val="clear" w:color="auto" w:fill="auto"/>
          </w:tcPr>
          <w:p w14:paraId="29638CAA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14:paraId="6B182A46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  <w:tr w:rsidR="00A17746" w:rsidRPr="00A17746" w14:paraId="67A2237E" w14:textId="77777777" w:rsidTr="0027286F">
        <w:trPr>
          <w:cantSplit/>
          <w:trHeight w:val="413"/>
        </w:trPr>
        <w:tc>
          <w:tcPr>
            <w:tcW w:w="3107" w:type="dxa"/>
            <w:shd w:val="clear" w:color="auto" w:fill="auto"/>
          </w:tcPr>
          <w:p w14:paraId="319582D7" w14:textId="77777777" w:rsidR="00B062FD" w:rsidRPr="00A17746" w:rsidRDefault="00B062FD" w:rsidP="0027286F">
            <w:pPr>
              <w:widowControl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3107" w:type="dxa"/>
            <w:shd w:val="clear" w:color="auto" w:fill="auto"/>
          </w:tcPr>
          <w:p w14:paraId="4FC95310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14:paraId="7984684C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  <w:tr w:rsidR="00B062FD" w:rsidRPr="00A17746" w14:paraId="7D9D618C" w14:textId="77777777" w:rsidTr="0027286F">
        <w:trPr>
          <w:cantSplit/>
          <w:trHeight w:val="562"/>
        </w:trPr>
        <w:tc>
          <w:tcPr>
            <w:tcW w:w="3107" w:type="dxa"/>
            <w:shd w:val="clear" w:color="auto" w:fill="auto"/>
          </w:tcPr>
          <w:p w14:paraId="52388A97" w14:textId="77777777" w:rsidR="00B062FD" w:rsidRPr="00A17746" w:rsidRDefault="00B062FD" w:rsidP="0027286F">
            <w:pPr>
              <w:widowControl w:val="0"/>
              <w:spacing w:before="120"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У тому числі суб’єкти малого підприємництва</w:t>
            </w:r>
          </w:p>
        </w:tc>
        <w:tc>
          <w:tcPr>
            <w:tcW w:w="3107" w:type="dxa"/>
            <w:shd w:val="clear" w:color="auto" w:fill="auto"/>
          </w:tcPr>
          <w:p w14:paraId="5E299952" w14:textId="77777777" w:rsidR="00B062FD" w:rsidRPr="00A17746" w:rsidRDefault="00B062FD" w:rsidP="0027286F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3108" w:type="dxa"/>
            <w:shd w:val="clear" w:color="auto" w:fill="auto"/>
          </w:tcPr>
          <w:p w14:paraId="7CEBD027" w14:textId="77777777" w:rsidR="00B062FD" w:rsidRPr="00A17746" w:rsidRDefault="00B062FD" w:rsidP="0027286F">
            <w:pPr>
              <w:widowControl w:val="0"/>
              <w:spacing w:before="120"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</w:p>
        </w:tc>
      </w:tr>
    </w:tbl>
    <w:p w14:paraId="19B441F4" w14:textId="77777777" w:rsidR="00B062FD" w:rsidRPr="00A17746" w:rsidRDefault="00B062FD" w:rsidP="00B062F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352FE7D" w14:textId="77777777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Врегулювання зазначеного питання не може бути вирішено за допомогою ринкових механізмів, оскільки у цьому випадку регулюються відносини, що виникають у сфері справляння податків і зборів. За допомогою чинних регуляторних актів вирішити проблему також не є можливим, оскільки форма декларації має бути затверджена одним нормативно-правовим актом Міністерства фінансів України, до якого і вносяться зміни.</w:t>
      </w:r>
    </w:p>
    <w:p w14:paraId="11F9DAE1" w14:textId="77777777" w:rsidR="00B062FD" w:rsidRPr="00A17746" w:rsidRDefault="00B062FD" w:rsidP="00B062F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4E9892" w14:textId="77777777" w:rsidR="00B062FD" w:rsidRPr="00A17746" w:rsidRDefault="00B062FD" w:rsidP="00B062FD">
      <w:pPr>
        <w:pStyle w:val="a3"/>
        <w:widowControl w:val="0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A17746">
        <w:rPr>
          <w:b/>
          <w:sz w:val="28"/>
          <w:szCs w:val="28"/>
        </w:rPr>
        <w:t>ІІ. Цілі державного регулювання</w:t>
      </w:r>
    </w:p>
    <w:p w14:paraId="173FE0AC" w14:textId="77777777" w:rsidR="00B062FD" w:rsidRPr="00A17746" w:rsidRDefault="00B062FD" w:rsidP="00B062FD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746">
        <w:rPr>
          <w:rFonts w:ascii="Times New Roman" w:eastAsia="Times New Roman" w:hAnsi="Times New Roman"/>
          <w:sz w:val="28"/>
          <w:szCs w:val="28"/>
          <w:lang w:eastAsia="ru-RU"/>
        </w:rPr>
        <w:t xml:space="preserve">Ціллю державного регулювання є </w:t>
      </w:r>
      <w:r w:rsidRPr="00A17746">
        <w:rPr>
          <w:rFonts w:ascii="Times New Roman" w:hAnsi="Times New Roman"/>
          <w:sz w:val="28"/>
          <w:szCs w:val="28"/>
          <w:lang w:eastAsia="ru-RU"/>
        </w:rPr>
        <w:t>забезпечення виконання норм актів вищої юридичної сили, а саме</w:t>
      </w:r>
      <w:r w:rsidRPr="00A1774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089AF2D7" w14:textId="3BC88132" w:rsidR="00B062FD" w:rsidRPr="00A17746" w:rsidRDefault="00B062FD" w:rsidP="00B062FD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  <w:lang w:val="ru-RU"/>
        </w:rPr>
      </w:pPr>
      <w:r w:rsidRPr="00A17746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надання можливості фізичним особам подавати звітність, у якій визначати свої податкові зобов’язання з </w:t>
      </w:r>
      <w:r w:rsidRPr="00A17746">
        <w:rPr>
          <w:rFonts w:ascii="Times New Roman" w:hAnsi="Times New Roman"/>
          <w:sz w:val="28"/>
          <w:szCs w:val="28"/>
        </w:rPr>
        <w:t xml:space="preserve">доходів у вигляді </w:t>
      </w:r>
      <w:r w:rsidRPr="00A17746">
        <w:rPr>
          <w:rFonts w:ascii="Times New Roman" w:hAnsi="Times New Roman"/>
          <w:bCs/>
          <w:sz w:val="28"/>
          <w:szCs w:val="28"/>
        </w:rPr>
        <w:t>частин</w:t>
      </w:r>
      <w:r w:rsidR="00AF6416" w:rsidRPr="00A17746">
        <w:rPr>
          <w:rFonts w:ascii="Times New Roman" w:hAnsi="Times New Roman"/>
          <w:bCs/>
          <w:sz w:val="28"/>
          <w:szCs w:val="28"/>
        </w:rPr>
        <w:t>и</w:t>
      </w:r>
      <w:r w:rsidRPr="00A17746">
        <w:rPr>
          <w:rFonts w:ascii="Times New Roman" w:hAnsi="Times New Roman"/>
          <w:bCs/>
          <w:sz w:val="28"/>
          <w:szCs w:val="28"/>
        </w:rPr>
        <w:t xml:space="preserve"> прибутку контрольованої іноземної компанії;</w:t>
      </w:r>
    </w:p>
    <w:p w14:paraId="3B62D91A" w14:textId="63BF2885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A17746">
        <w:rPr>
          <w:rFonts w:ascii="Times New Roman" w:hAnsi="Times New Roman"/>
          <w:bCs/>
          <w:sz w:val="28"/>
          <w:szCs w:val="28"/>
        </w:rPr>
        <w:t>врегул</w:t>
      </w:r>
      <w:r w:rsidR="00AF6416" w:rsidRPr="00A17746">
        <w:rPr>
          <w:rFonts w:ascii="Times New Roman" w:hAnsi="Times New Roman"/>
          <w:bCs/>
          <w:sz w:val="28"/>
          <w:szCs w:val="28"/>
        </w:rPr>
        <w:t>ювання</w:t>
      </w:r>
      <w:r w:rsidRPr="00A17746">
        <w:rPr>
          <w:rFonts w:ascii="Times New Roman" w:hAnsi="Times New Roman"/>
          <w:bCs/>
          <w:sz w:val="28"/>
          <w:szCs w:val="28"/>
        </w:rPr>
        <w:t xml:space="preserve"> питання щодо визначення суми зобов’язань з єдиного внеску самозайнятими особами або фізичними особами, які сплачують єдиний внесок на умовах договору про добровільну участь у загальнообов</w:t>
      </w:r>
      <w:r w:rsidRPr="00A17746">
        <w:rPr>
          <w:rFonts w:ascii="Times New Roman" w:hAnsi="Times New Roman"/>
          <w:bCs/>
          <w:sz w:val="28"/>
          <w:szCs w:val="28"/>
          <w:lang w:val="ru-RU"/>
        </w:rPr>
        <w:t>’</w:t>
      </w:r>
      <w:r w:rsidRPr="00A17746">
        <w:rPr>
          <w:rFonts w:ascii="Times New Roman" w:hAnsi="Times New Roman"/>
          <w:bCs/>
          <w:sz w:val="28"/>
          <w:szCs w:val="28"/>
        </w:rPr>
        <w:t>язковому державному пенсійному страхуванні</w:t>
      </w:r>
      <w:r w:rsidR="00AF6416" w:rsidRPr="00A17746">
        <w:rPr>
          <w:rFonts w:ascii="Times New Roman" w:hAnsi="Times New Roman"/>
          <w:bCs/>
          <w:sz w:val="28"/>
          <w:szCs w:val="28"/>
        </w:rPr>
        <w:t>,</w:t>
      </w:r>
      <w:r w:rsidRPr="00A17746">
        <w:rPr>
          <w:rFonts w:ascii="Times New Roman" w:hAnsi="Times New Roman"/>
          <w:bCs/>
          <w:sz w:val="28"/>
          <w:szCs w:val="28"/>
          <w:lang w:val="ru-RU"/>
        </w:rPr>
        <w:t xml:space="preserve"> або </w:t>
      </w:r>
      <w:r w:rsidRPr="00A17746">
        <w:rPr>
          <w:rFonts w:ascii="Times New Roman" w:hAnsi="Times New Roman"/>
          <w:sz w:val="28"/>
          <w:szCs w:val="28"/>
          <w:lang w:eastAsia="ar-SA"/>
        </w:rPr>
        <w:t>членами фермерського господарства, якщо вони не належать до осіб, які підлягають страхуванню на інших підставах;</w:t>
      </w:r>
    </w:p>
    <w:p w14:paraId="5A2FA0B9" w14:textId="77777777" w:rsidR="00B062FD" w:rsidRPr="00A17746" w:rsidRDefault="00B062FD" w:rsidP="00B062F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17746">
        <w:rPr>
          <w:rFonts w:ascii="Times New Roman" w:hAnsi="Times New Roman"/>
          <w:bCs/>
          <w:sz w:val="28"/>
          <w:szCs w:val="28"/>
        </w:rPr>
        <w:t>уточнення попередньо задекларованих зобов’язань перед бюджетами та цільовими фондами.</w:t>
      </w:r>
    </w:p>
    <w:p w14:paraId="56C9890A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A17746">
        <w:rPr>
          <w:rFonts w:ascii="Times New Roman" w:hAnsi="Times New Roman"/>
          <w:b/>
          <w:sz w:val="28"/>
          <w:szCs w:val="28"/>
        </w:rPr>
        <w:lastRenderedPageBreak/>
        <w:t>ІІІ. Визначення та оцінка альтернативних способів досягнення цілей</w:t>
      </w:r>
    </w:p>
    <w:p w14:paraId="0C9B2AC3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1. Визначення альтернативних способів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58"/>
      </w:tblGrid>
      <w:tr w:rsidR="00A17746" w:rsidRPr="00A17746" w14:paraId="2BA1BD38" w14:textId="77777777" w:rsidTr="00916EE9">
        <w:trPr>
          <w:cantSplit/>
        </w:trPr>
        <w:tc>
          <w:tcPr>
            <w:tcW w:w="2376" w:type="dxa"/>
            <w:shd w:val="clear" w:color="auto" w:fill="auto"/>
            <w:vAlign w:val="center"/>
          </w:tcPr>
          <w:p w14:paraId="37C4446C" w14:textId="77777777" w:rsidR="00B062FD" w:rsidRPr="00A17746" w:rsidRDefault="00B062FD" w:rsidP="0027286F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Вид альтернативи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7F81A4F1" w14:textId="77777777" w:rsidR="00B062FD" w:rsidRPr="00A17746" w:rsidRDefault="00B062FD" w:rsidP="0027286F">
            <w:pPr>
              <w:widowControl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17746">
              <w:rPr>
                <w:rFonts w:ascii="Times New Roman" w:hAnsi="Times New Roman"/>
                <w:sz w:val="28"/>
                <w:szCs w:val="28"/>
              </w:rPr>
              <w:t>Опис альтернативи</w:t>
            </w:r>
          </w:p>
        </w:tc>
      </w:tr>
      <w:tr w:rsidR="00A17746" w:rsidRPr="00A17746" w14:paraId="09E36B8C" w14:textId="77777777" w:rsidTr="00916EE9">
        <w:tc>
          <w:tcPr>
            <w:tcW w:w="2376" w:type="dxa"/>
            <w:shd w:val="clear" w:color="auto" w:fill="auto"/>
          </w:tcPr>
          <w:p w14:paraId="76E4D6FF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right="-68"/>
              <w:rPr>
                <w:sz w:val="28"/>
                <w:szCs w:val="28"/>
              </w:rPr>
            </w:pPr>
            <w:r w:rsidRPr="00A17746">
              <w:rPr>
                <w:sz w:val="28"/>
                <w:szCs w:val="28"/>
              </w:rPr>
              <w:t>Альтернатива 1</w:t>
            </w:r>
          </w:p>
        </w:tc>
        <w:tc>
          <w:tcPr>
            <w:tcW w:w="7258" w:type="dxa"/>
            <w:shd w:val="clear" w:color="auto" w:fill="auto"/>
          </w:tcPr>
          <w:p w14:paraId="4418E3AE" w14:textId="39013DD7" w:rsidR="00B062FD" w:rsidRPr="00A17746" w:rsidRDefault="00B062FD" w:rsidP="00311B03">
            <w:pPr>
              <w:pStyle w:val="a3"/>
              <w:widowControl w:val="0"/>
              <w:spacing w:before="0" w:beforeAutospacing="0" w:after="0" w:afterAutospacing="0"/>
              <w:ind w:firstLine="457"/>
              <w:jc w:val="both"/>
              <w:rPr>
                <w:sz w:val="28"/>
                <w:szCs w:val="28"/>
              </w:rPr>
            </w:pPr>
            <w:r w:rsidRPr="00A17746">
              <w:rPr>
                <w:sz w:val="28"/>
                <w:szCs w:val="28"/>
              </w:rPr>
              <w:t>Не затверджувати про</w:t>
            </w:r>
            <w:r w:rsidR="00311B03" w:rsidRPr="00A17746">
              <w:rPr>
                <w:sz w:val="28"/>
                <w:szCs w:val="28"/>
              </w:rPr>
              <w:t>е</w:t>
            </w:r>
            <w:r w:rsidRPr="00A17746">
              <w:rPr>
                <w:sz w:val="28"/>
                <w:szCs w:val="28"/>
              </w:rPr>
              <w:t xml:space="preserve">кт </w:t>
            </w:r>
            <w:r w:rsidRPr="00A17746">
              <w:rPr>
                <w:bCs/>
                <w:sz w:val="28"/>
                <w:szCs w:val="28"/>
                <w:lang w:val="ru-RU"/>
              </w:rPr>
              <w:t xml:space="preserve">наказу </w:t>
            </w:r>
          </w:p>
        </w:tc>
      </w:tr>
      <w:tr w:rsidR="00B062FD" w:rsidRPr="00A17746" w14:paraId="0A4EAC36" w14:textId="77777777" w:rsidTr="00916EE9">
        <w:tc>
          <w:tcPr>
            <w:tcW w:w="2376" w:type="dxa"/>
            <w:shd w:val="clear" w:color="auto" w:fill="auto"/>
          </w:tcPr>
          <w:p w14:paraId="74A18B76" w14:textId="77777777" w:rsidR="00B062FD" w:rsidRPr="00A17746" w:rsidRDefault="00B062FD" w:rsidP="0027286F">
            <w:pPr>
              <w:pStyle w:val="a3"/>
              <w:widowControl w:val="0"/>
              <w:spacing w:before="120" w:beforeAutospacing="0" w:after="0" w:afterAutospacing="0"/>
              <w:ind w:right="-67"/>
              <w:rPr>
                <w:sz w:val="28"/>
                <w:szCs w:val="28"/>
              </w:rPr>
            </w:pPr>
            <w:r w:rsidRPr="00A17746">
              <w:rPr>
                <w:sz w:val="28"/>
                <w:szCs w:val="28"/>
              </w:rPr>
              <w:t>Альтернатива 2</w:t>
            </w:r>
          </w:p>
        </w:tc>
        <w:tc>
          <w:tcPr>
            <w:tcW w:w="7258" w:type="dxa"/>
            <w:shd w:val="clear" w:color="auto" w:fill="auto"/>
          </w:tcPr>
          <w:p w14:paraId="74701125" w14:textId="4417583A" w:rsidR="00B062FD" w:rsidRPr="00A17746" w:rsidRDefault="00B062FD" w:rsidP="00311B03">
            <w:pPr>
              <w:pStyle w:val="a3"/>
              <w:widowControl w:val="0"/>
              <w:spacing w:after="0"/>
              <w:ind w:firstLine="457"/>
              <w:jc w:val="both"/>
              <w:rPr>
                <w:sz w:val="28"/>
                <w:szCs w:val="28"/>
              </w:rPr>
            </w:pPr>
            <w:r w:rsidRPr="00A17746">
              <w:rPr>
                <w:sz w:val="28"/>
                <w:szCs w:val="28"/>
              </w:rPr>
              <w:t>Затвердити про</w:t>
            </w:r>
            <w:r w:rsidR="00311B03" w:rsidRPr="00A17746">
              <w:rPr>
                <w:sz w:val="28"/>
                <w:szCs w:val="28"/>
              </w:rPr>
              <w:t>е</w:t>
            </w:r>
            <w:r w:rsidRPr="00A17746">
              <w:rPr>
                <w:sz w:val="28"/>
                <w:szCs w:val="28"/>
              </w:rPr>
              <w:t xml:space="preserve">кт </w:t>
            </w:r>
            <w:r w:rsidRPr="00A17746">
              <w:rPr>
                <w:bCs/>
                <w:sz w:val="28"/>
                <w:szCs w:val="28"/>
                <w:lang w:val="ru-RU"/>
              </w:rPr>
              <w:t xml:space="preserve">наказу </w:t>
            </w:r>
          </w:p>
        </w:tc>
      </w:tr>
    </w:tbl>
    <w:p w14:paraId="07313929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66A8D73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2. Оцінка вибраних альтернативних способів досягнення цілей</w:t>
      </w:r>
    </w:p>
    <w:p w14:paraId="40C1270E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2.1. Оцінка впливу на сферу інтересів держави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827"/>
        <w:gridCol w:w="3856"/>
      </w:tblGrid>
      <w:tr w:rsidR="00A17746" w:rsidRPr="00A17746" w14:paraId="0BCADCDD" w14:textId="77777777" w:rsidTr="00916EE9">
        <w:tc>
          <w:tcPr>
            <w:tcW w:w="1985" w:type="dxa"/>
            <w:shd w:val="clear" w:color="auto" w:fill="auto"/>
            <w:vAlign w:val="center"/>
          </w:tcPr>
          <w:p w14:paraId="4D04195B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4D86A9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633C9A1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</w:p>
        </w:tc>
      </w:tr>
      <w:tr w:rsidR="00A17746" w:rsidRPr="00A17746" w14:paraId="05D0A390" w14:textId="77777777" w:rsidTr="00916EE9">
        <w:trPr>
          <w:trHeight w:val="1012"/>
        </w:trPr>
        <w:tc>
          <w:tcPr>
            <w:tcW w:w="1985" w:type="dxa"/>
            <w:shd w:val="clear" w:color="auto" w:fill="auto"/>
          </w:tcPr>
          <w:p w14:paraId="0087C6A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right="-68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1</w:t>
            </w:r>
          </w:p>
        </w:tc>
        <w:tc>
          <w:tcPr>
            <w:tcW w:w="3827" w:type="dxa"/>
            <w:shd w:val="clear" w:color="auto" w:fill="auto"/>
          </w:tcPr>
          <w:p w14:paraId="73DDC41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Відсутні</w:t>
            </w:r>
          </w:p>
        </w:tc>
        <w:tc>
          <w:tcPr>
            <w:tcW w:w="3856" w:type="dxa"/>
            <w:shd w:val="clear" w:color="auto" w:fill="auto"/>
          </w:tcPr>
          <w:p w14:paraId="1DB9BAF9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Не вирішує існуючі проблеми. Збереження чинного стану регулювання не забезпечує реалізацію норм Кодексу. Проблема залишається невирішеною.</w:t>
            </w:r>
          </w:p>
          <w:p w14:paraId="79469C13" w14:textId="1EE172A9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Альтернатива є неприйнятною, оскільки не забезпечує досягнення поставленої мети</w:t>
            </w:r>
            <w:r w:rsidR="00311B03" w:rsidRPr="00A17746">
              <w:rPr>
                <w:sz w:val="27"/>
                <w:szCs w:val="27"/>
                <w:lang w:eastAsia="uk-UA"/>
              </w:rPr>
              <w:t>.</w:t>
            </w:r>
            <w:r w:rsidRPr="00A17746">
              <w:rPr>
                <w:sz w:val="27"/>
                <w:szCs w:val="27"/>
                <w:lang w:eastAsia="uk-UA"/>
              </w:rPr>
              <w:t xml:space="preserve"> </w:t>
            </w:r>
          </w:p>
          <w:p w14:paraId="24DE78E5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sz w:val="27"/>
                <w:szCs w:val="27"/>
                <w:lang w:eastAsia="uk-UA"/>
              </w:rPr>
            </w:pPr>
          </w:p>
        </w:tc>
      </w:tr>
      <w:tr w:rsidR="00A17746" w:rsidRPr="00A17746" w14:paraId="1396D7EA" w14:textId="77777777" w:rsidTr="00916EE9">
        <w:tc>
          <w:tcPr>
            <w:tcW w:w="1985" w:type="dxa"/>
            <w:shd w:val="clear" w:color="auto" w:fill="auto"/>
          </w:tcPr>
          <w:p w14:paraId="301F91E5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462CDC14" w14:textId="77777777" w:rsidR="00B062FD" w:rsidRPr="00A17746" w:rsidRDefault="00B062FD" w:rsidP="0027286F">
            <w:pPr>
              <w:widowControl w:val="0"/>
              <w:spacing w:after="0" w:line="240" w:lineRule="auto"/>
              <w:ind w:firstLine="459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Є необхідним і достатнім способом вирішення проблеми, оскільки форма декларації, затверджена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наказом № 859, буде приведена у відповідність до чинних норм розділу </w:t>
            </w:r>
            <w:r w:rsidRPr="00A17746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Кодексу.</w:t>
            </w:r>
          </w:p>
          <w:p w14:paraId="4203B598" w14:textId="38C14FA0" w:rsidR="00B062FD" w:rsidRPr="00A17746" w:rsidRDefault="00B062FD" w:rsidP="0027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  Вартість часових витрат працівників органів ДПС на опрацювання звітів суб’єктів господарювання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без внесення змін становитиме 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1,1 млн грн (0,2 год. * 25,20 грн/год. * 226011 осіб), де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>0,25 год. – це п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ланові витрати часу на процедуру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(0,1 год. приймання та опрацювання звіту + 0,1 год. аналіз інформаційних баз даних ДПС щодо правильності визначення доходів). </w:t>
            </w:r>
          </w:p>
          <w:p w14:paraId="235A6941" w14:textId="5298B75E" w:rsidR="00B062FD" w:rsidRPr="00A17746" w:rsidRDefault="00B062FD" w:rsidP="0027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При прийнятті про</w:t>
            </w:r>
            <w:r w:rsidR="00311B03"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кту наказу в</w:t>
            </w: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артість часових витрат працівників органів ДПС на опрацювання звітів суб’єктів господарювання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без внесення змін становитиме 569,5 тис. грн (0,1 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год. * 25,20 грн/год. * 226011 осіб).</w:t>
            </w:r>
          </w:p>
          <w:p w14:paraId="20C95328" w14:textId="1573A9E8" w:rsidR="00B062FD" w:rsidRPr="00EB17FE" w:rsidRDefault="00FA7B9E" w:rsidP="00EB1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937596">
              <w:rPr>
                <w:rFonts w:ascii="Times New Roman" w:hAnsi="Times New Roman"/>
                <w:sz w:val="27"/>
                <w:szCs w:val="27"/>
              </w:rPr>
              <w:t xml:space="preserve">Оскільки проект передбачає об’єднання звітності, а саме податкової декларації та звітності з єдиного внеску для самозайнятих осіб та </w:t>
            </w:r>
            <w:r w:rsidRPr="00937596">
              <w:rPr>
                <w:rFonts w:ascii="Times New Roman" w:hAnsi="Times New Roman"/>
                <w:bCs/>
                <w:sz w:val="27"/>
                <w:szCs w:val="27"/>
              </w:rPr>
              <w:t xml:space="preserve">фізичних осіб, які сплачують єдиний внесок на умовах договору про добровільну участь у загальнообов’язковому державному пенсійному страхуванні, або для </w:t>
            </w:r>
            <w:r w:rsidRPr="00937596">
              <w:rPr>
                <w:rFonts w:ascii="Times New Roman" w:hAnsi="Times New Roman"/>
                <w:sz w:val="27"/>
                <w:szCs w:val="27"/>
                <w:lang w:eastAsia="ar-SA"/>
              </w:rPr>
              <w:t>членів фермерського господарства, якщо вони не належать до осіб, які підлягають страхуванню на інших підставах, е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>кономія витрат у разі прийняття проекту наказу  призведе до щорічної економії бюджетних коштів у розмірі близько 0,5</w:t>
            </w:r>
            <w:r w:rsidR="00EB17FE" w:rsidRPr="00937596">
              <w:rPr>
                <w:rFonts w:ascii="Times New Roman" w:hAnsi="Times New Roman"/>
                <w:sz w:val="27"/>
                <w:szCs w:val="27"/>
              </w:rPr>
              <w:t xml:space="preserve"> млн грн/рік   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 xml:space="preserve">(економія 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в</w:t>
            </w:r>
            <w:r w:rsidRPr="00937596">
              <w:rPr>
                <w:rFonts w:ascii="Times New Roman" w:hAnsi="Times New Roman"/>
                <w:sz w:val="27"/>
                <w:szCs w:val="27"/>
                <w:lang w:eastAsia="uk-UA"/>
              </w:rPr>
              <w:t>артості часових витрат працівників органів ДПС на опрацювання звітів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)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3856" w:type="dxa"/>
            <w:shd w:val="clear" w:color="auto" w:fill="auto"/>
          </w:tcPr>
          <w:p w14:paraId="6687F15B" w14:textId="585986B3" w:rsidR="00B062FD" w:rsidRPr="00A17746" w:rsidRDefault="00B062FD" w:rsidP="0027286F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>Незначні, оскільки реалізація положень не потребує додаткових матеріальних чи інших витрат</w:t>
            </w:r>
            <w:r w:rsidR="00311B03" w:rsidRPr="00A17746">
              <w:rPr>
                <w:rFonts w:ascii="Times New Roman" w:hAnsi="Times New Roman"/>
                <w:spacing w:val="-4"/>
                <w:sz w:val="27"/>
                <w:szCs w:val="27"/>
              </w:rPr>
              <w:t>.</w:t>
            </w: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 </w:t>
            </w:r>
          </w:p>
          <w:p w14:paraId="0843295F" w14:textId="77777777" w:rsidR="00B062FD" w:rsidRPr="00A17746" w:rsidRDefault="00B062FD" w:rsidP="0027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    </w:t>
            </w:r>
          </w:p>
        </w:tc>
      </w:tr>
    </w:tbl>
    <w:p w14:paraId="1CE5DA8A" w14:textId="77777777" w:rsidR="00B062FD" w:rsidRPr="00A17746" w:rsidRDefault="00B062FD" w:rsidP="00B062FD">
      <w:pPr>
        <w:widowControl w:val="0"/>
        <w:tabs>
          <w:tab w:val="left" w:pos="1701"/>
        </w:tabs>
        <w:spacing w:before="120" w:after="0" w:line="240" w:lineRule="auto"/>
        <w:ind w:right="204" w:firstLine="567"/>
        <w:jc w:val="both"/>
        <w:rPr>
          <w:rFonts w:ascii="Times New Roman" w:hAnsi="Times New Roman"/>
          <w:b/>
          <w:sz w:val="27"/>
          <w:szCs w:val="27"/>
        </w:rPr>
      </w:pPr>
      <w:r w:rsidRPr="00A17746">
        <w:rPr>
          <w:rFonts w:ascii="Times New Roman" w:hAnsi="Times New Roman"/>
          <w:b/>
          <w:sz w:val="27"/>
          <w:szCs w:val="27"/>
        </w:rPr>
        <w:t>2.2. Оцінка впливу на сферу інтересів громадян</w:t>
      </w:r>
    </w:p>
    <w:p w14:paraId="38FDB241" w14:textId="77777777" w:rsidR="00B062FD" w:rsidRPr="00A17746" w:rsidRDefault="00B062FD" w:rsidP="00B062FD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7"/>
          <w:szCs w:val="27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686"/>
        <w:gridCol w:w="3997"/>
      </w:tblGrid>
      <w:tr w:rsidR="00A17746" w:rsidRPr="00A17746" w14:paraId="263B6AB8" w14:textId="77777777" w:rsidTr="00916EE9">
        <w:tc>
          <w:tcPr>
            <w:tcW w:w="1985" w:type="dxa"/>
            <w:shd w:val="clear" w:color="auto" w:fill="auto"/>
            <w:vAlign w:val="center"/>
          </w:tcPr>
          <w:p w14:paraId="77AC4472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Вид альтернативи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CACBA4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Вигоди</w:t>
            </w:r>
          </w:p>
        </w:tc>
        <w:tc>
          <w:tcPr>
            <w:tcW w:w="3997" w:type="dxa"/>
            <w:shd w:val="clear" w:color="auto" w:fill="auto"/>
            <w:vAlign w:val="center"/>
          </w:tcPr>
          <w:p w14:paraId="4CF320BA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Витрати</w:t>
            </w:r>
          </w:p>
        </w:tc>
      </w:tr>
      <w:tr w:rsidR="00A17746" w:rsidRPr="00A17746" w14:paraId="1A9E1679" w14:textId="77777777" w:rsidTr="00916EE9">
        <w:trPr>
          <w:trHeight w:val="1012"/>
        </w:trPr>
        <w:tc>
          <w:tcPr>
            <w:tcW w:w="1985" w:type="dxa"/>
            <w:shd w:val="clear" w:color="auto" w:fill="auto"/>
          </w:tcPr>
          <w:p w14:paraId="5079E4F1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right="-68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1</w:t>
            </w:r>
          </w:p>
        </w:tc>
        <w:tc>
          <w:tcPr>
            <w:tcW w:w="3686" w:type="dxa"/>
            <w:shd w:val="clear" w:color="auto" w:fill="auto"/>
          </w:tcPr>
          <w:p w14:paraId="6F50D20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Відсутні</w:t>
            </w:r>
          </w:p>
        </w:tc>
        <w:tc>
          <w:tcPr>
            <w:tcW w:w="3997" w:type="dxa"/>
            <w:shd w:val="clear" w:color="auto" w:fill="auto"/>
          </w:tcPr>
          <w:p w14:paraId="0A97617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Не вирішує існуючі проблеми. Збереження чинного стану регулювання не забезпечує реалізацію норм Кодексу. Проблема залишається не вирішеною.</w:t>
            </w:r>
          </w:p>
          <w:p w14:paraId="6C83E2BB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00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Альтернатива є неприйнятною, оскільки не забезпечує досягнення поставленої мети</w:t>
            </w:r>
          </w:p>
        </w:tc>
      </w:tr>
      <w:tr w:rsidR="00A17746" w:rsidRPr="00A17746" w14:paraId="6DDD6136" w14:textId="77777777" w:rsidTr="00916EE9">
        <w:tc>
          <w:tcPr>
            <w:tcW w:w="1985" w:type="dxa"/>
            <w:shd w:val="clear" w:color="auto" w:fill="auto"/>
          </w:tcPr>
          <w:p w14:paraId="3DD0E138" w14:textId="7ABB80ED" w:rsidR="00B062FD" w:rsidRPr="00A17746" w:rsidRDefault="00B062FD" w:rsidP="00916EE9">
            <w:pPr>
              <w:widowControl w:val="0"/>
              <w:spacing w:after="0" w:line="240" w:lineRule="auto"/>
              <w:ind w:hanging="84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</w:rPr>
              <w:t>Альтернатива</w:t>
            </w:r>
            <w:r w:rsidR="00916EE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8509DE9" w14:textId="1E2D7F3B" w:rsidR="00B062FD" w:rsidRPr="00A17746" w:rsidRDefault="00B062FD" w:rsidP="0027286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Є необхідним і достатнім способом вирішення проблеми, оскільки форма декларації, затверджена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наказом № 859, буде приведена у відповідність до чинних норм розділу </w:t>
            </w:r>
            <w:r w:rsidRPr="00A17746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Кодексу</w:t>
            </w:r>
          </w:p>
        </w:tc>
        <w:tc>
          <w:tcPr>
            <w:tcW w:w="3997" w:type="dxa"/>
            <w:shd w:val="clear" w:color="auto" w:fill="auto"/>
          </w:tcPr>
          <w:p w14:paraId="07C6BA15" w14:textId="77777777" w:rsidR="00B062FD" w:rsidRPr="00A17746" w:rsidRDefault="00B062FD" w:rsidP="0027286F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spacing w:val="-4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Незначні, оскільки реалізація положень не потребує додаткових матеріальних чи інших витрат </w:t>
            </w:r>
          </w:p>
        </w:tc>
      </w:tr>
    </w:tbl>
    <w:p w14:paraId="60E74D8D" w14:textId="77777777" w:rsidR="00B062FD" w:rsidRPr="00A17746" w:rsidRDefault="00B062FD" w:rsidP="00B062FD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2496FAA8" w14:textId="77777777" w:rsidR="00B062FD" w:rsidRPr="00A17746" w:rsidRDefault="00B062FD" w:rsidP="00B062FD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</w:rPr>
      </w:pPr>
      <w:r w:rsidRPr="00A17746">
        <w:rPr>
          <w:rFonts w:ascii="Times New Roman" w:hAnsi="Times New Roman"/>
          <w:b/>
          <w:sz w:val="28"/>
          <w:szCs w:val="28"/>
        </w:rPr>
        <w:t>2.3. Оцінка впливу на сферу інтересів суб’єктів господарювання</w:t>
      </w:r>
    </w:p>
    <w:p w14:paraId="4F1AD01A" w14:textId="77777777" w:rsidR="00B062FD" w:rsidRPr="00A17746" w:rsidRDefault="00B062FD" w:rsidP="00B062FD">
      <w:pPr>
        <w:widowControl w:val="0"/>
        <w:tabs>
          <w:tab w:val="left" w:pos="1701"/>
        </w:tabs>
        <w:spacing w:before="120" w:after="0" w:line="240" w:lineRule="auto"/>
        <w:ind w:right="203" w:firstLine="567"/>
        <w:jc w:val="both"/>
        <w:rPr>
          <w:rFonts w:ascii="Times New Roman" w:hAnsi="Times New Roman"/>
          <w:b/>
          <w:sz w:val="28"/>
          <w:szCs w:val="28"/>
          <w:vertAlign w:val="superscript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275"/>
        <w:gridCol w:w="1276"/>
        <w:gridCol w:w="1417"/>
        <w:gridCol w:w="1588"/>
      </w:tblGrid>
      <w:tr w:rsidR="00A17746" w:rsidRPr="00A17746" w14:paraId="7869A090" w14:textId="77777777" w:rsidTr="00916EE9">
        <w:trPr>
          <w:trHeight w:val="1587"/>
        </w:trPr>
        <w:tc>
          <w:tcPr>
            <w:tcW w:w="2694" w:type="dxa"/>
            <w:shd w:val="clear" w:color="auto" w:fill="auto"/>
            <w:vAlign w:val="center"/>
          </w:tcPr>
          <w:p w14:paraId="52AE63D0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Показники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811C3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Великі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0E083C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Середні</w:t>
            </w:r>
          </w:p>
        </w:tc>
        <w:tc>
          <w:tcPr>
            <w:tcW w:w="1276" w:type="dxa"/>
            <w:vAlign w:val="center"/>
          </w:tcPr>
          <w:p w14:paraId="6E5EA795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Малі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4FEB67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Мікро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5069407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b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Разом</w:t>
            </w:r>
          </w:p>
        </w:tc>
      </w:tr>
      <w:tr w:rsidR="00A17746" w:rsidRPr="00A17746" w14:paraId="1F28CBD5" w14:textId="77777777" w:rsidTr="00916EE9">
        <w:trPr>
          <w:trHeight w:val="1837"/>
        </w:trPr>
        <w:tc>
          <w:tcPr>
            <w:tcW w:w="2694" w:type="dxa"/>
            <w:shd w:val="clear" w:color="auto" w:fill="auto"/>
            <w:vAlign w:val="center"/>
          </w:tcPr>
          <w:p w14:paraId="0741B438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Кількість суб’єктів господарювання, що підпадають під дію регулювання*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AB7E37" w14:textId="77777777" w:rsidR="00B062FD" w:rsidRPr="00A17746" w:rsidRDefault="00B062FD" w:rsidP="0027286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415F4D3" w14:textId="77777777" w:rsidR="00B062FD" w:rsidRPr="00A17746" w:rsidRDefault="00B062FD" w:rsidP="0027286F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295E0B69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7746"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E87CEF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7746">
              <w:rPr>
                <w:rFonts w:ascii="Times New Roman" w:hAnsi="Times New Roman"/>
                <w:bCs/>
                <w:sz w:val="28"/>
                <w:szCs w:val="28"/>
              </w:rPr>
              <w:t>226011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D0DA2BB" w14:textId="410F8DA0" w:rsidR="00B062FD" w:rsidRPr="00A17746" w:rsidRDefault="00B062FD" w:rsidP="00311B03">
            <w:pPr>
              <w:widowControl w:val="0"/>
              <w:spacing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17746">
              <w:rPr>
                <w:rFonts w:ascii="Times New Roman" w:hAnsi="Times New Roman"/>
                <w:sz w:val="28"/>
                <w:szCs w:val="28"/>
                <w:lang w:eastAsia="uk-UA"/>
              </w:rPr>
              <w:t>226011</w:t>
            </w:r>
          </w:p>
        </w:tc>
      </w:tr>
      <w:tr w:rsidR="00A17746" w:rsidRPr="00A17746" w14:paraId="499EFDDB" w14:textId="77777777" w:rsidTr="00916EE9">
        <w:tc>
          <w:tcPr>
            <w:tcW w:w="2694" w:type="dxa"/>
            <w:shd w:val="clear" w:color="auto" w:fill="auto"/>
            <w:vAlign w:val="center"/>
          </w:tcPr>
          <w:p w14:paraId="7B20736E" w14:textId="77777777" w:rsidR="00B062FD" w:rsidRPr="00A17746" w:rsidRDefault="00B062FD" w:rsidP="0027286F">
            <w:pPr>
              <w:widowControl w:val="0"/>
              <w:spacing w:after="0"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Питома вага групи у загальній кількості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F946FD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250D7C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276" w:type="dxa"/>
            <w:vAlign w:val="center"/>
          </w:tcPr>
          <w:p w14:paraId="5C832304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E3298B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100%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EBD9235" w14:textId="77777777" w:rsidR="00B062FD" w:rsidRPr="00A17746" w:rsidRDefault="00B062FD" w:rsidP="0027286F">
            <w:pPr>
              <w:widowControl w:val="0"/>
              <w:spacing w:line="240" w:lineRule="auto"/>
              <w:ind w:firstLine="34"/>
              <w:jc w:val="center"/>
              <w:textAlignment w:val="baseline"/>
              <w:rPr>
                <w:rFonts w:ascii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>100%</w:t>
            </w:r>
          </w:p>
        </w:tc>
      </w:tr>
    </w:tbl>
    <w:p w14:paraId="737D851C" w14:textId="77777777" w:rsidR="00B062FD" w:rsidRPr="00A17746" w:rsidRDefault="00B062FD" w:rsidP="00B062FD">
      <w:pPr>
        <w:pStyle w:val="a3"/>
        <w:widowControl w:val="0"/>
        <w:spacing w:before="0" w:beforeAutospacing="0" w:after="0" w:afterAutospacing="0"/>
        <w:ind w:firstLine="425"/>
        <w:jc w:val="both"/>
        <w:rPr>
          <w:sz w:val="22"/>
          <w:szCs w:val="22"/>
          <w:lang w:val="en-US"/>
        </w:rPr>
      </w:pPr>
      <w:r w:rsidRPr="00A17746">
        <w:rPr>
          <w:sz w:val="22"/>
          <w:szCs w:val="22"/>
          <w:lang w:val="en-US"/>
        </w:rPr>
        <w:t>____________</w:t>
      </w:r>
    </w:p>
    <w:p w14:paraId="3168791C" w14:textId="77777777" w:rsidR="00B062FD" w:rsidRPr="00A17746" w:rsidRDefault="00B062FD" w:rsidP="00B062FD">
      <w:pPr>
        <w:pStyle w:val="a3"/>
        <w:widowControl w:val="0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A17746">
        <w:rPr>
          <w:sz w:val="22"/>
          <w:szCs w:val="22"/>
          <w:lang w:val="ru-RU"/>
        </w:rPr>
        <w:t xml:space="preserve">* </w:t>
      </w:r>
      <w:r w:rsidRPr="00A17746">
        <w:rPr>
          <w:sz w:val="22"/>
          <w:szCs w:val="22"/>
        </w:rPr>
        <w:t>Показники щодо кількості суб’єктів господарювання, що підпадають під дію регулювання, наведені згідно з базами даних ДПС за даними поданих декларацій протягом 2020 року (станом на 01.09.2020) суб’єктами господарювання.</w:t>
      </w:r>
    </w:p>
    <w:p w14:paraId="0FFAFD6B" w14:textId="77777777" w:rsidR="00B062FD" w:rsidRPr="00A17746" w:rsidRDefault="00B062FD" w:rsidP="00B062FD">
      <w:pPr>
        <w:pStyle w:val="a3"/>
        <w:widowControl w:val="0"/>
        <w:spacing w:before="0" w:beforeAutospacing="0" w:after="0" w:afterAutospacing="0"/>
        <w:ind w:firstLine="425"/>
        <w:jc w:val="both"/>
        <w:rPr>
          <w:sz w:val="22"/>
          <w:szCs w:val="22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827"/>
        <w:gridCol w:w="3572"/>
      </w:tblGrid>
      <w:tr w:rsidR="00A17746" w:rsidRPr="00A17746" w14:paraId="555FF56F" w14:textId="77777777" w:rsidTr="00916EE9">
        <w:tc>
          <w:tcPr>
            <w:tcW w:w="2235" w:type="dxa"/>
            <w:shd w:val="clear" w:color="auto" w:fill="auto"/>
          </w:tcPr>
          <w:p w14:paraId="2AD8A7F9" w14:textId="77777777" w:rsidR="00B062FD" w:rsidRPr="00A17746" w:rsidRDefault="00B062FD" w:rsidP="0027286F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Вид альтернативи</w:t>
            </w:r>
          </w:p>
        </w:tc>
        <w:tc>
          <w:tcPr>
            <w:tcW w:w="3827" w:type="dxa"/>
            <w:shd w:val="clear" w:color="auto" w:fill="auto"/>
          </w:tcPr>
          <w:p w14:paraId="54B0B47A" w14:textId="77777777" w:rsidR="00B062FD" w:rsidRPr="00A17746" w:rsidRDefault="00B062FD" w:rsidP="0027286F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Вигоди</w:t>
            </w:r>
          </w:p>
        </w:tc>
        <w:tc>
          <w:tcPr>
            <w:tcW w:w="3572" w:type="dxa"/>
            <w:shd w:val="clear" w:color="auto" w:fill="auto"/>
          </w:tcPr>
          <w:p w14:paraId="1A088EEE" w14:textId="77777777" w:rsidR="00B062FD" w:rsidRPr="00A17746" w:rsidRDefault="00B062FD" w:rsidP="0027286F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Витрати</w:t>
            </w:r>
          </w:p>
        </w:tc>
      </w:tr>
      <w:tr w:rsidR="00A17746" w:rsidRPr="00A17746" w14:paraId="6960D904" w14:textId="77777777" w:rsidTr="00916EE9">
        <w:tc>
          <w:tcPr>
            <w:tcW w:w="2235" w:type="dxa"/>
            <w:shd w:val="clear" w:color="auto" w:fill="auto"/>
          </w:tcPr>
          <w:p w14:paraId="5D578D45" w14:textId="77777777" w:rsidR="00B062FD" w:rsidRPr="00A17746" w:rsidRDefault="00B062FD" w:rsidP="0027286F">
            <w:pPr>
              <w:pStyle w:val="a3"/>
              <w:widowControl w:val="0"/>
              <w:spacing w:before="120" w:beforeAutospacing="0" w:after="0" w:afterAutospacing="0"/>
              <w:jc w:val="center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Альтернатива 1</w:t>
            </w:r>
          </w:p>
        </w:tc>
        <w:tc>
          <w:tcPr>
            <w:tcW w:w="3827" w:type="dxa"/>
            <w:shd w:val="clear" w:color="auto" w:fill="auto"/>
          </w:tcPr>
          <w:p w14:paraId="02D38A21" w14:textId="77777777" w:rsidR="00B062FD" w:rsidRPr="00A17746" w:rsidRDefault="00B062FD" w:rsidP="0027286F">
            <w:pPr>
              <w:widowControl w:val="0"/>
              <w:spacing w:before="120" w:after="0" w:line="240" w:lineRule="auto"/>
              <w:ind w:firstLine="230"/>
              <w:jc w:val="center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Відсутні</w:t>
            </w:r>
          </w:p>
        </w:tc>
        <w:tc>
          <w:tcPr>
            <w:tcW w:w="3572" w:type="dxa"/>
            <w:shd w:val="clear" w:color="auto" w:fill="auto"/>
          </w:tcPr>
          <w:p w14:paraId="0866C359" w14:textId="621307B6" w:rsidR="00B062FD" w:rsidRPr="00A17746" w:rsidRDefault="00B062FD" w:rsidP="00311B03">
            <w:pPr>
              <w:pStyle w:val="a3"/>
              <w:widowControl w:val="0"/>
              <w:spacing w:before="0" w:beforeAutospacing="0" w:after="0" w:afterAutospacing="0"/>
              <w:ind w:firstLine="170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Реалізація положень про</w:t>
            </w:r>
            <w:r w:rsidR="00311B03" w:rsidRPr="00A17746">
              <w:rPr>
                <w:sz w:val="27"/>
                <w:szCs w:val="27"/>
                <w:lang w:eastAsia="uk-UA"/>
              </w:rPr>
              <w:t>е</w:t>
            </w:r>
            <w:r w:rsidRPr="00A17746">
              <w:rPr>
                <w:sz w:val="27"/>
                <w:szCs w:val="27"/>
                <w:lang w:eastAsia="uk-UA"/>
              </w:rPr>
              <w:t>кту наказу не потребує додаткових матеріальних витрат</w:t>
            </w:r>
          </w:p>
        </w:tc>
      </w:tr>
      <w:tr w:rsidR="00B062FD" w:rsidRPr="00A17746" w14:paraId="66B96ADD" w14:textId="77777777" w:rsidTr="00916EE9">
        <w:tc>
          <w:tcPr>
            <w:tcW w:w="2235" w:type="dxa"/>
            <w:shd w:val="clear" w:color="auto" w:fill="auto"/>
          </w:tcPr>
          <w:p w14:paraId="43725B51" w14:textId="5F8D075D" w:rsidR="00B062FD" w:rsidRPr="00A17746" w:rsidRDefault="00B062FD" w:rsidP="00916EE9">
            <w:pPr>
              <w:pStyle w:val="a3"/>
              <w:widowControl w:val="0"/>
              <w:spacing w:before="0" w:beforeAutospacing="0" w:after="0" w:afterAutospacing="0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  <w:lang w:eastAsia="uk-UA"/>
              </w:rPr>
              <w:t>Альтернатива</w:t>
            </w:r>
            <w:r w:rsidR="00916EE9">
              <w:rPr>
                <w:sz w:val="27"/>
                <w:szCs w:val="27"/>
                <w:lang w:eastAsia="uk-UA"/>
              </w:rPr>
              <w:t xml:space="preserve"> </w:t>
            </w:r>
            <w:r w:rsidRPr="00A17746">
              <w:rPr>
                <w:sz w:val="27"/>
                <w:szCs w:val="27"/>
                <w:lang w:eastAsia="uk-UA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14:paraId="1525FA0F" w14:textId="77777777" w:rsidR="00B062FD" w:rsidRPr="00A17746" w:rsidRDefault="00B062FD" w:rsidP="0027286F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pacing w:val="-4"/>
                <w:sz w:val="27"/>
                <w:szCs w:val="27"/>
              </w:rPr>
              <w:t xml:space="preserve">Є необхідним і достатнім способом вирішення проблеми, оскільки форма декларації, затверджена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наказом № 859, буде приведена у відповідність до чинних норм розділу </w:t>
            </w:r>
            <w:r w:rsidRPr="00A17746">
              <w:rPr>
                <w:rFonts w:ascii="Times New Roman" w:hAnsi="Times New Roman"/>
                <w:sz w:val="27"/>
                <w:szCs w:val="27"/>
                <w:lang w:val="en-US"/>
              </w:rPr>
              <w:t>IV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Кодексу.</w:t>
            </w:r>
          </w:p>
          <w:p w14:paraId="6CF6DDCC" w14:textId="74EED2F7" w:rsidR="00B062FD" w:rsidRPr="00A17746" w:rsidRDefault="00B062FD" w:rsidP="0027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Вартість часових витрат працівників органів ДПС на опрацювання звітів суб’єктів господарювання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без внесення змін становитиме 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1 млн грн (0,2 год. * 25,20 грн/год. * 226011 осіб), де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>0,25 год. – це п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ланові витрати часу на процедуру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 (0,1 год. приймання та опрацювання звіту + 0,1 год. аналіз інформаційних баз даних ДПС  щодо правильності визначення доходів). </w:t>
            </w:r>
          </w:p>
          <w:p w14:paraId="55A7DED5" w14:textId="7D0FBFC2" w:rsidR="00B062FD" w:rsidRPr="00A17746" w:rsidRDefault="00B062FD" w:rsidP="00272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При прийнятті про</w:t>
            </w:r>
            <w:r w:rsidR="00311B03"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е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кту наказу в</w:t>
            </w:r>
            <w:r w:rsidRPr="00A1774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артість часових витрат працівників органів ДПС на опрацювання звітів суб’єктів господарювання </w:t>
            </w:r>
            <w:r w:rsidRPr="00A17746">
              <w:rPr>
                <w:rFonts w:ascii="Times New Roman" w:hAnsi="Times New Roman"/>
                <w:sz w:val="27"/>
                <w:szCs w:val="27"/>
              </w:rPr>
              <w:t xml:space="preserve">без внесення змін становитиме 569,5 тис. грн (0,1 </w:t>
            </w: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год. * 25,20 грн/год. * 226 011 осіб).</w:t>
            </w:r>
          </w:p>
          <w:p w14:paraId="3CF7F43F" w14:textId="46B77701" w:rsidR="00FA7B9E" w:rsidRPr="00937596" w:rsidRDefault="00FA7B9E" w:rsidP="00FA7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37596">
              <w:rPr>
                <w:rFonts w:ascii="Times New Roman" w:hAnsi="Times New Roman"/>
                <w:sz w:val="27"/>
                <w:szCs w:val="27"/>
              </w:rPr>
              <w:t xml:space="preserve">Оскільки проект передбачає об’єднання звітності, а саме податкової декларації та звітності з єдиного внеску для самозайнятих осіб та </w:t>
            </w:r>
            <w:r w:rsidRPr="00937596">
              <w:rPr>
                <w:rFonts w:ascii="Times New Roman" w:hAnsi="Times New Roman"/>
                <w:bCs/>
                <w:sz w:val="27"/>
                <w:szCs w:val="27"/>
              </w:rPr>
              <w:t xml:space="preserve">фізичних осіб, які сплачують єдиний внесок на умовах договору про добровільну участь у загальнообов’язковому державному пенсійному страхуванні, або для </w:t>
            </w:r>
            <w:r w:rsidRPr="00937596">
              <w:rPr>
                <w:rFonts w:ascii="Times New Roman" w:hAnsi="Times New Roman"/>
                <w:sz w:val="27"/>
                <w:szCs w:val="27"/>
                <w:lang w:eastAsia="ar-SA"/>
              </w:rPr>
              <w:t>членів фермерського господарства, якщо вони не належать до осіб, які підлягають страхуванню на інших підставах, е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 xml:space="preserve">кономія витрат у разі прийняття проекту наказу  призведе до щорічної економії бюджетних коштів у розмірі близько 0,5 млн грн/рік (економія 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в</w:t>
            </w:r>
            <w:r w:rsidRPr="00937596">
              <w:rPr>
                <w:rFonts w:ascii="Times New Roman" w:hAnsi="Times New Roman"/>
                <w:sz w:val="27"/>
                <w:szCs w:val="27"/>
                <w:lang w:eastAsia="uk-UA"/>
              </w:rPr>
              <w:t>артості часових витрат працівників органів ДПС на опрацювання звітів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)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04A917A" w14:textId="75692E64" w:rsidR="00B062FD" w:rsidRPr="00A17746" w:rsidRDefault="00FA7B9E" w:rsidP="00937596">
            <w:pPr>
              <w:widowControl w:val="0"/>
              <w:spacing w:line="240" w:lineRule="auto"/>
              <w:jc w:val="both"/>
              <w:textAlignment w:val="baseline"/>
              <w:rPr>
                <w:rFonts w:ascii="Times New Roman" w:hAnsi="Times New Roman"/>
                <w:sz w:val="27"/>
                <w:szCs w:val="27"/>
              </w:rPr>
            </w:pPr>
            <w:r w:rsidRPr="00937596">
              <w:rPr>
                <w:rFonts w:ascii="Times New Roman" w:hAnsi="Times New Roman"/>
                <w:sz w:val="27"/>
                <w:szCs w:val="27"/>
              </w:rPr>
              <w:t xml:space="preserve">Крім того, об’єднання звітності (податкової декларації та звітності з єдиного внеску для самозайнятих осіб) призводить до зменшення обсягу звітності для суб’єктів господарювання та кількості </w:t>
            </w:r>
            <w:r w:rsidRPr="00937596">
              <w:rPr>
                <w:rFonts w:ascii="Times New Roman" w:hAnsi="Times New Roman"/>
                <w:sz w:val="27"/>
                <w:szCs w:val="27"/>
                <w:lang w:eastAsia="uk-UA"/>
              </w:rPr>
              <w:t xml:space="preserve">часових витрат суб’єктів господарювання </w:t>
            </w:r>
            <w:r w:rsidRPr="00937596">
              <w:rPr>
                <w:rFonts w:ascii="Times New Roman" w:hAnsi="Times New Roman"/>
                <w:sz w:val="27"/>
                <w:szCs w:val="27"/>
              </w:rPr>
              <w:t xml:space="preserve">на заповнення податкової звітності. Економія 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вартості адміністративних процедур суб’єктів малого підприємництва при  виконанні зазначеного рег</w:t>
            </w:r>
            <w:r w:rsidR="00EB17FE"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улювання буде становити 5,1 млн грн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(з розрахунку витрат суб'єктів малого підприємництва на виконання вимог регулювання - М-Тест), оскільки суб’єкти господарювання будуть подавати не дві окрем</w:t>
            </w:r>
            <w:r w:rsidR="00EB17FE"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>і</w:t>
            </w:r>
            <w:r w:rsidRPr="00937596">
              <w:rPr>
                <w:rFonts w:ascii="Times New Roman" w:hAnsi="Times New Roman"/>
                <w:sz w:val="27"/>
                <w:szCs w:val="27"/>
                <w:lang w:eastAsia="ru-RU"/>
              </w:rPr>
              <w:t xml:space="preserve"> звітності,  а одну.</w:t>
            </w:r>
          </w:p>
        </w:tc>
        <w:tc>
          <w:tcPr>
            <w:tcW w:w="3572" w:type="dxa"/>
            <w:shd w:val="clear" w:color="auto" w:fill="auto"/>
          </w:tcPr>
          <w:p w14:paraId="67BBB5D5" w14:textId="7F0CE37E" w:rsidR="00B062FD" w:rsidRPr="00A17746" w:rsidRDefault="00B062FD" w:rsidP="0027286F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Реалізація положень про</w:t>
            </w:r>
            <w:r w:rsidR="00311B03"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е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кту наказу не потребує додаткових матеріальних витрат.</w:t>
            </w:r>
          </w:p>
          <w:p w14:paraId="273B9548" w14:textId="64BE5EAC" w:rsidR="00B062FD" w:rsidRPr="00A17746" w:rsidRDefault="00B062FD" w:rsidP="0027286F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На офіційному вебпорталі ДПС розміщено безоплатне програмне забезпечення («Електронний кабінет»), що надає можливість подання декларації. За даними інформаційних баз ДПС</w:t>
            </w:r>
            <w:r w:rsidR="00AF6416"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,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у 2020 році 33 відсотки суб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val="ru-RU" w:eastAsia="uk-UA"/>
              </w:rPr>
              <w:t>’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єктів господарювання (114 247 осіб) подали  декларацію в електронному вигляді. </w:t>
            </w:r>
          </w:p>
          <w:p w14:paraId="33DAAA06" w14:textId="5438EC03" w:rsidR="00B062FD" w:rsidRPr="00A17746" w:rsidRDefault="00B062FD" w:rsidP="0027286F">
            <w:pPr>
              <w:widowControl w:val="0"/>
              <w:spacing w:after="0" w:line="240" w:lineRule="auto"/>
              <w:ind w:firstLine="317"/>
              <w:jc w:val="both"/>
              <w:textAlignment w:val="baseline"/>
              <w:rPr>
                <w:sz w:val="27"/>
                <w:szCs w:val="27"/>
                <w:lang w:eastAsia="uk-UA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Разом з тим</w:t>
            </w:r>
            <w:r w:rsidR="00AF6416"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,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 xml:space="preserve"> подання звітності в електронному вигляді не є обов’язком платника, а його правом</w:t>
            </w:r>
            <w:r w:rsidR="00311B03"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.</w:t>
            </w:r>
          </w:p>
        </w:tc>
      </w:tr>
    </w:tbl>
    <w:p w14:paraId="72459372" w14:textId="77777777" w:rsidR="00B062FD" w:rsidRPr="00A17746" w:rsidRDefault="00B062FD" w:rsidP="00B062FD">
      <w:pPr>
        <w:widowControl w:val="0"/>
        <w:spacing w:after="120" w:line="240" w:lineRule="auto"/>
        <w:ind w:firstLine="459"/>
        <w:jc w:val="both"/>
        <w:textAlignment w:val="baseline"/>
        <w:rPr>
          <w:rFonts w:ascii="Times New Roman" w:hAnsi="Times New Roman"/>
          <w:sz w:val="28"/>
          <w:szCs w:val="28"/>
          <w:lang w:val="ru-RU" w:eastAsia="uk-UA"/>
        </w:rPr>
      </w:pPr>
    </w:p>
    <w:p w14:paraId="72368395" w14:textId="77777777" w:rsidR="00B062FD" w:rsidRPr="00A17746" w:rsidRDefault="00B062FD" w:rsidP="00B062FD">
      <w:pPr>
        <w:pStyle w:val="3"/>
        <w:keepNext w:val="0"/>
        <w:widowControl w:val="0"/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7746">
        <w:rPr>
          <w:rFonts w:ascii="Times New Roman" w:hAnsi="Times New Roman"/>
          <w:sz w:val="28"/>
          <w:szCs w:val="28"/>
          <w:lang w:eastAsia="ru-RU"/>
        </w:rPr>
        <w:t>IV. Вибір найбільш оптимального альтернативного способу досягнення цілей</w:t>
      </w:r>
      <w:r w:rsidRPr="00A17746">
        <w:rPr>
          <w:rFonts w:ascii="Times New Roman" w:hAnsi="Times New Roman"/>
          <w:sz w:val="28"/>
          <w:szCs w:val="28"/>
          <w:lang w:eastAsia="ru-RU"/>
        </w:rPr>
        <w:cr/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5840"/>
      </w:tblGrid>
      <w:tr w:rsidR="00A17746" w:rsidRPr="00A17746" w14:paraId="3F27F9DB" w14:textId="77777777" w:rsidTr="00916EE9">
        <w:tc>
          <w:tcPr>
            <w:tcW w:w="2127" w:type="dxa"/>
            <w:vAlign w:val="center"/>
          </w:tcPr>
          <w:p w14:paraId="3062DF0B" w14:textId="63F547D6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Рейтинг результатив</w:t>
            </w:r>
            <w:r w:rsidR="00AF6416" w:rsidRPr="00A17746">
              <w:rPr>
                <w:b/>
                <w:sz w:val="27"/>
                <w:szCs w:val="27"/>
              </w:rPr>
              <w:t>-</w:t>
            </w:r>
            <w:r w:rsidRPr="00A17746">
              <w:rPr>
                <w:b/>
                <w:sz w:val="27"/>
                <w:szCs w:val="27"/>
              </w:rPr>
              <w:t>ності (досягнення цілей під час вирішення проблеми)</w:t>
            </w:r>
          </w:p>
        </w:tc>
        <w:tc>
          <w:tcPr>
            <w:tcW w:w="1701" w:type="dxa"/>
            <w:shd w:val="clear" w:color="auto" w:fill="auto"/>
          </w:tcPr>
          <w:p w14:paraId="5C1382D5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Бал</w:t>
            </w:r>
          </w:p>
          <w:p w14:paraId="738F1D69" w14:textId="30A3DE21" w:rsidR="00B062FD" w:rsidRPr="00A17746" w:rsidRDefault="00311B03" w:rsidP="00AF6416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р</w:t>
            </w:r>
            <w:r w:rsidR="00B062FD" w:rsidRPr="00A17746">
              <w:rPr>
                <w:b/>
                <w:sz w:val="27"/>
                <w:szCs w:val="27"/>
              </w:rPr>
              <w:t>езульта</w:t>
            </w:r>
            <w:r w:rsidR="00AF6416" w:rsidRPr="00A17746">
              <w:rPr>
                <w:b/>
                <w:sz w:val="27"/>
                <w:szCs w:val="27"/>
              </w:rPr>
              <w:t>-</w:t>
            </w:r>
            <w:r w:rsidR="00B062FD" w:rsidRPr="00A17746">
              <w:rPr>
                <w:b/>
                <w:sz w:val="27"/>
                <w:szCs w:val="27"/>
              </w:rPr>
              <w:t>тивності</w:t>
            </w:r>
            <w:r w:rsidR="00B062FD" w:rsidRPr="00A17746">
              <w:rPr>
                <w:b/>
                <w:sz w:val="27"/>
                <w:szCs w:val="27"/>
              </w:rPr>
              <w:br/>
              <w:t>(за чотири-бальною системою оцінки)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46844E5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Коментарі щодо присвоєння відповідного бала</w:t>
            </w:r>
          </w:p>
        </w:tc>
      </w:tr>
      <w:tr w:rsidR="00A17746" w:rsidRPr="00A17746" w14:paraId="248DAA34" w14:textId="77777777" w:rsidTr="00916EE9">
        <w:trPr>
          <w:trHeight w:val="1190"/>
        </w:trPr>
        <w:tc>
          <w:tcPr>
            <w:tcW w:w="2127" w:type="dxa"/>
          </w:tcPr>
          <w:p w14:paraId="7BA91947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1</w:t>
            </w:r>
          </w:p>
        </w:tc>
        <w:tc>
          <w:tcPr>
            <w:tcW w:w="1701" w:type="dxa"/>
            <w:shd w:val="clear" w:color="auto" w:fill="auto"/>
          </w:tcPr>
          <w:p w14:paraId="213BA704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 xml:space="preserve">1 </w:t>
            </w:r>
          </w:p>
        </w:tc>
        <w:tc>
          <w:tcPr>
            <w:tcW w:w="5840" w:type="dxa"/>
            <w:shd w:val="clear" w:color="auto" w:fill="auto"/>
          </w:tcPr>
          <w:p w14:paraId="0882FF6D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459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1 залишить проблему невирішеною, що не дозволить досягнути поставлених цілей державного регулювання</w:t>
            </w:r>
          </w:p>
        </w:tc>
      </w:tr>
      <w:tr w:rsidR="00A17746" w:rsidRPr="00A17746" w14:paraId="266466FD" w14:textId="77777777" w:rsidTr="00916EE9">
        <w:trPr>
          <w:trHeight w:val="1124"/>
        </w:trPr>
        <w:tc>
          <w:tcPr>
            <w:tcW w:w="2127" w:type="dxa"/>
          </w:tcPr>
          <w:p w14:paraId="69C749C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2</w:t>
            </w:r>
          </w:p>
        </w:tc>
        <w:tc>
          <w:tcPr>
            <w:tcW w:w="1701" w:type="dxa"/>
            <w:shd w:val="clear" w:color="auto" w:fill="auto"/>
          </w:tcPr>
          <w:p w14:paraId="1D675787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4</w:t>
            </w:r>
          </w:p>
        </w:tc>
        <w:tc>
          <w:tcPr>
            <w:tcW w:w="5840" w:type="dxa"/>
            <w:shd w:val="clear" w:color="auto" w:fill="auto"/>
          </w:tcPr>
          <w:p w14:paraId="20959AE8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left="34" w:firstLine="425"/>
              <w:jc w:val="both"/>
              <w:rPr>
                <w:sz w:val="27"/>
                <w:szCs w:val="27"/>
                <w:lang w:eastAsia="uk-UA"/>
              </w:rPr>
            </w:pPr>
            <w:r w:rsidRPr="00A17746">
              <w:rPr>
                <w:sz w:val="27"/>
                <w:szCs w:val="27"/>
              </w:rPr>
              <w:t>Альтернатива 2 дає змогу досягнути поставлених цілей державного регулювання з відсутністю додаткових витрат з боку держави</w:t>
            </w:r>
          </w:p>
        </w:tc>
      </w:tr>
    </w:tbl>
    <w:p w14:paraId="74CFADEE" w14:textId="77777777" w:rsidR="00B062FD" w:rsidRPr="00A17746" w:rsidRDefault="00B062FD" w:rsidP="00B062FD">
      <w:pPr>
        <w:widowControl w:val="0"/>
        <w:spacing w:line="240" w:lineRule="auto"/>
        <w:ind w:left="567" w:right="203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22"/>
        <w:gridCol w:w="2722"/>
        <w:gridCol w:w="2126"/>
      </w:tblGrid>
      <w:tr w:rsidR="00A17746" w:rsidRPr="00A17746" w14:paraId="0971C0EB" w14:textId="77777777" w:rsidTr="00916EE9">
        <w:tc>
          <w:tcPr>
            <w:tcW w:w="2127" w:type="dxa"/>
            <w:shd w:val="clear" w:color="auto" w:fill="auto"/>
            <w:vAlign w:val="center"/>
          </w:tcPr>
          <w:p w14:paraId="32DC936E" w14:textId="4A85C34F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Рейтинг результатив</w:t>
            </w:r>
            <w:r w:rsidR="00AF6416" w:rsidRPr="00A17746">
              <w:rPr>
                <w:b/>
                <w:sz w:val="27"/>
                <w:szCs w:val="27"/>
              </w:rPr>
              <w:t>-</w:t>
            </w:r>
            <w:r w:rsidRPr="00A17746">
              <w:rPr>
                <w:b/>
                <w:sz w:val="27"/>
                <w:szCs w:val="27"/>
              </w:rPr>
              <w:t>ності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5310AA11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Вигоди (підсумок)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159367A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Витрати (підсумок)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8BBA2B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A17746">
              <w:rPr>
                <w:b/>
                <w:sz w:val="27"/>
                <w:szCs w:val="27"/>
              </w:rPr>
              <w:t>Обґрунтування відповідного місця альтернативи у рейтингу</w:t>
            </w:r>
          </w:p>
        </w:tc>
      </w:tr>
      <w:tr w:rsidR="00A17746" w:rsidRPr="00A17746" w14:paraId="7CD5D165" w14:textId="77777777" w:rsidTr="00916EE9">
        <w:tc>
          <w:tcPr>
            <w:tcW w:w="2127" w:type="dxa"/>
            <w:shd w:val="clear" w:color="auto" w:fill="auto"/>
          </w:tcPr>
          <w:p w14:paraId="6C029ACF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center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1</w:t>
            </w:r>
          </w:p>
        </w:tc>
        <w:tc>
          <w:tcPr>
            <w:tcW w:w="2722" w:type="dxa"/>
            <w:shd w:val="clear" w:color="auto" w:fill="auto"/>
          </w:tcPr>
          <w:p w14:paraId="3AF9F42E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 xml:space="preserve">Відсутні </w:t>
            </w:r>
          </w:p>
        </w:tc>
        <w:tc>
          <w:tcPr>
            <w:tcW w:w="2722" w:type="dxa"/>
            <w:shd w:val="clear" w:color="auto" w:fill="auto"/>
          </w:tcPr>
          <w:p w14:paraId="221961A7" w14:textId="3F82F59C" w:rsidR="00B062FD" w:rsidRPr="00A17746" w:rsidRDefault="00B062FD" w:rsidP="0027286F">
            <w:pPr>
              <w:pStyle w:val="a3"/>
              <w:widowControl w:val="0"/>
              <w:spacing w:after="0"/>
              <w:ind w:firstLine="30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Залишення ситуації</w:t>
            </w:r>
            <w:r w:rsidR="00311B03" w:rsidRPr="00A17746">
              <w:rPr>
                <w:sz w:val="27"/>
                <w:szCs w:val="27"/>
              </w:rPr>
              <w:t xml:space="preserve"> без прийняття проекту наказу</w:t>
            </w:r>
            <w:r w:rsidRPr="00A17746">
              <w:rPr>
                <w:sz w:val="27"/>
                <w:szCs w:val="27"/>
              </w:rPr>
              <w:t xml:space="preserve"> може призвести до:</w:t>
            </w:r>
          </w:p>
          <w:p w14:paraId="42C40E72" w14:textId="77777777" w:rsidR="00B062FD" w:rsidRPr="00A17746" w:rsidRDefault="00B062FD" w:rsidP="0027286F">
            <w:pPr>
              <w:pStyle w:val="a3"/>
              <w:widowControl w:val="0"/>
              <w:spacing w:after="0"/>
              <w:ind w:firstLine="30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 xml:space="preserve">виникнення непорозумінь між контролюючими органами та платниками податку в частині декларування доходів та визначення податкових зобов’язань, зокрема з частини прибутку </w:t>
            </w:r>
            <w:r w:rsidRPr="00A17746">
              <w:rPr>
                <w:bCs/>
                <w:sz w:val="27"/>
                <w:szCs w:val="27"/>
              </w:rPr>
              <w:t>контрольованої іноземної компанії</w:t>
            </w:r>
            <w:r w:rsidRPr="00A17746">
              <w:rPr>
                <w:sz w:val="27"/>
                <w:szCs w:val="27"/>
              </w:rPr>
              <w:t>;</w:t>
            </w:r>
          </w:p>
          <w:p w14:paraId="766B0FE4" w14:textId="77777777" w:rsidR="00B062FD" w:rsidRPr="00A17746" w:rsidRDefault="00B062FD" w:rsidP="0027286F">
            <w:pPr>
              <w:pStyle w:val="a3"/>
              <w:widowControl w:val="0"/>
              <w:spacing w:after="0"/>
              <w:ind w:firstLine="30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виникнення непорозумінь між контролюючими органами та платниками податку в частині визначення зобов’язань зі сплати єдиного внеску;</w:t>
            </w:r>
          </w:p>
          <w:p w14:paraId="77469AA9" w14:textId="7687BF7A" w:rsidR="00B062FD" w:rsidRPr="00A17746" w:rsidRDefault="00B062FD" w:rsidP="00311B03">
            <w:pPr>
              <w:pStyle w:val="a3"/>
              <w:widowControl w:val="0"/>
              <w:spacing w:before="0" w:beforeAutospacing="0" w:after="0" w:afterAutospacing="0"/>
              <w:ind w:firstLine="317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недоотримання бюджетом відповідних сум податку на доходи фізичних осіб та військового збору, а також єдиного внеску</w:t>
            </w:r>
          </w:p>
        </w:tc>
        <w:tc>
          <w:tcPr>
            <w:tcW w:w="2126" w:type="dxa"/>
            <w:shd w:val="clear" w:color="auto" w:fill="auto"/>
          </w:tcPr>
          <w:p w14:paraId="72E607D1" w14:textId="3DE73C16" w:rsidR="001D63AB" w:rsidRPr="00A17746" w:rsidRDefault="001D63AB" w:rsidP="001D63AB">
            <w:pPr>
              <w:pStyle w:val="a3"/>
              <w:widowControl w:val="0"/>
              <w:ind w:firstLine="300"/>
              <w:jc w:val="both"/>
              <w:rPr>
                <w:sz w:val="28"/>
                <w:szCs w:val="28"/>
              </w:rPr>
            </w:pPr>
            <w:r w:rsidRPr="00A17746">
              <w:rPr>
                <w:sz w:val="28"/>
                <w:szCs w:val="28"/>
              </w:rPr>
              <w:t>Не призведе до досягнення цілей і позбавить суб’єктів господарювання можливості подавати звітність та визначати податкові зобов’язання, зокрема з частини прибутку</w:t>
            </w:r>
            <w:r w:rsidRPr="00A17746">
              <w:rPr>
                <w:sz w:val="28"/>
                <w:szCs w:val="28"/>
                <w:lang w:val="ru-RU"/>
              </w:rPr>
              <w:t xml:space="preserve"> </w:t>
            </w:r>
            <w:r w:rsidRPr="00A17746">
              <w:rPr>
                <w:bCs/>
                <w:sz w:val="28"/>
                <w:szCs w:val="28"/>
              </w:rPr>
              <w:t>контрольованої іноземної компанії</w:t>
            </w:r>
            <w:r w:rsidR="006D27B4" w:rsidRPr="00A17746">
              <w:rPr>
                <w:bCs/>
                <w:sz w:val="28"/>
                <w:szCs w:val="28"/>
              </w:rPr>
              <w:t>.</w:t>
            </w:r>
          </w:p>
          <w:p w14:paraId="5232AAF8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317"/>
              <w:jc w:val="both"/>
              <w:rPr>
                <w:sz w:val="27"/>
                <w:szCs w:val="27"/>
                <w:highlight w:val="yellow"/>
              </w:rPr>
            </w:pPr>
          </w:p>
        </w:tc>
      </w:tr>
      <w:tr w:rsidR="00A17746" w:rsidRPr="00A17746" w14:paraId="26E81347" w14:textId="77777777" w:rsidTr="00916EE9">
        <w:trPr>
          <w:trHeight w:val="2546"/>
        </w:trPr>
        <w:tc>
          <w:tcPr>
            <w:tcW w:w="2127" w:type="dxa"/>
            <w:shd w:val="clear" w:color="auto" w:fill="auto"/>
          </w:tcPr>
          <w:p w14:paraId="31CEFFB6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Альтернатива 2</w:t>
            </w:r>
          </w:p>
        </w:tc>
        <w:tc>
          <w:tcPr>
            <w:tcW w:w="2722" w:type="dxa"/>
            <w:shd w:val="clear" w:color="auto" w:fill="auto"/>
          </w:tcPr>
          <w:p w14:paraId="6D34B1DF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sz w:val="27"/>
                <w:szCs w:val="27"/>
              </w:rPr>
            </w:pPr>
            <w:r w:rsidRPr="00A17746">
              <w:rPr>
                <w:sz w:val="27"/>
                <w:szCs w:val="27"/>
              </w:rPr>
              <w:t>Забезпечить:</w:t>
            </w:r>
          </w:p>
          <w:p w14:paraId="1998A02A" w14:textId="77777777" w:rsidR="00B062FD" w:rsidRPr="00A17746" w:rsidRDefault="00B062FD" w:rsidP="0027286F">
            <w:pPr>
              <w:widowControl w:val="0"/>
              <w:spacing w:before="120" w:after="0" w:line="240" w:lineRule="auto"/>
              <w:ind w:firstLine="34"/>
              <w:jc w:val="both"/>
              <w:outlineLvl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можливість фізичним особам подавати звітність, у якій визначати свої податкові зобов’язання та зобов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’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язання з єдиного внеску</w:t>
            </w:r>
            <w:r w:rsidRPr="00A17746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14:paraId="0F453152" w14:textId="43408575" w:rsidR="00B062FD" w:rsidRPr="00A17746" w:rsidRDefault="00B062FD" w:rsidP="0027286F">
            <w:pPr>
              <w:widowControl w:val="0"/>
              <w:spacing w:before="120" w:after="0" w:line="240" w:lineRule="auto"/>
              <w:ind w:firstLine="175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hAnsi="Times New Roman"/>
                <w:bCs/>
                <w:sz w:val="27"/>
                <w:szCs w:val="27"/>
              </w:rPr>
              <w:t>врегулюва</w:t>
            </w:r>
            <w:r w:rsidR="00AF6416" w:rsidRPr="00A17746">
              <w:rPr>
                <w:rFonts w:ascii="Times New Roman" w:hAnsi="Times New Roman"/>
                <w:bCs/>
                <w:sz w:val="27"/>
                <w:szCs w:val="27"/>
              </w:rPr>
              <w:t>ння</w:t>
            </w:r>
            <w:r w:rsidRPr="00A17746">
              <w:rPr>
                <w:rFonts w:ascii="Times New Roman" w:hAnsi="Times New Roman"/>
                <w:bCs/>
                <w:sz w:val="27"/>
                <w:szCs w:val="27"/>
              </w:rPr>
              <w:t xml:space="preserve"> питання щодо правильності визначення суми податкових зобов’язань 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та зобов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val="ru-RU" w:eastAsia="ru-RU"/>
              </w:rPr>
              <w:t>’</w:t>
            </w: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язань з єдиного внеску</w:t>
            </w:r>
            <w:r w:rsidRPr="00A17746">
              <w:rPr>
                <w:rFonts w:ascii="Times New Roman" w:hAnsi="Times New Roman"/>
                <w:bCs/>
                <w:sz w:val="27"/>
                <w:szCs w:val="27"/>
              </w:rPr>
              <w:t>;</w:t>
            </w:r>
          </w:p>
          <w:p w14:paraId="6C81C3E5" w14:textId="77777777" w:rsidR="00B062FD" w:rsidRPr="00A17746" w:rsidRDefault="00B062FD" w:rsidP="0027286F">
            <w:pPr>
              <w:widowControl w:val="0"/>
              <w:spacing w:before="120" w:after="0" w:line="240" w:lineRule="auto"/>
              <w:ind w:firstLine="175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уникнення непорозумінь між контролюючими органами та платниками податку в частині декларування доходів;</w:t>
            </w:r>
          </w:p>
          <w:p w14:paraId="49450F5E" w14:textId="77777777" w:rsidR="00B062FD" w:rsidRPr="00A17746" w:rsidRDefault="00B062FD" w:rsidP="0027286F">
            <w:pPr>
              <w:widowControl w:val="0"/>
              <w:spacing w:before="120" w:after="0" w:line="240" w:lineRule="auto"/>
              <w:ind w:firstLine="175"/>
              <w:jc w:val="both"/>
              <w:outlineLvl w:val="0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A17746">
              <w:rPr>
                <w:rFonts w:ascii="Times New Roman" w:eastAsia="Times New Roman" w:hAnsi="Times New Roman"/>
                <w:sz w:val="27"/>
                <w:szCs w:val="27"/>
                <w:lang w:eastAsia="uk-UA"/>
              </w:rPr>
              <w:t>усунення можливості неправильного застосування чинного законодавства платниками податків</w:t>
            </w:r>
          </w:p>
          <w:p w14:paraId="796B67A1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ind w:firstLine="230"/>
              <w:jc w:val="both"/>
              <w:rPr>
                <w:sz w:val="27"/>
                <w:szCs w:val="27"/>
              </w:rPr>
            </w:pPr>
          </w:p>
        </w:tc>
        <w:tc>
          <w:tcPr>
            <w:tcW w:w="2722" w:type="dxa"/>
            <w:shd w:val="clear" w:color="auto" w:fill="auto"/>
          </w:tcPr>
          <w:p w14:paraId="28738D91" w14:textId="77777777" w:rsidR="00B062FD" w:rsidRPr="00A17746" w:rsidRDefault="00B062FD" w:rsidP="0027286F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</w:tc>
        <w:tc>
          <w:tcPr>
            <w:tcW w:w="2126" w:type="dxa"/>
            <w:shd w:val="clear" w:color="auto" w:fill="auto"/>
          </w:tcPr>
          <w:p w14:paraId="740AB3BD" w14:textId="77777777" w:rsidR="00B062FD" w:rsidRPr="00A17746" w:rsidRDefault="00B062FD" w:rsidP="0027286F">
            <w:pPr>
              <w:pStyle w:val="1"/>
              <w:widowControl w:val="0"/>
              <w:spacing w:after="120"/>
              <w:jc w:val="both"/>
              <w:rPr>
                <w:rFonts w:ascii="Times New Roman" w:hAnsi="Times New Roman"/>
                <w:sz w:val="27"/>
                <w:szCs w:val="27"/>
                <w:lang w:eastAsia="ru-RU"/>
              </w:rPr>
            </w:pPr>
            <w:r w:rsidRPr="00A17746">
              <w:rPr>
                <w:rFonts w:ascii="Times New Roman" w:hAnsi="Times New Roman"/>
                <w:sz w:val="27"/>
                <w:szCs w:val="27"/>
                <w:lang w:eastAsia="ru-RU"/>
              </w:rPr>
              <w:t>Є найоптимальнішим серед запропонованих альтернатив, оскільки надає вигоду для суб’єктів господарювання та держави без додаткових витрат з боку держави та без збільшення навантаження на платників та працівників ДФС</w:t>
            </w:r>
          </w:p>
          <w:p w14:paraId="599E3F1D" w14:textId="77777777" w:rsidR="00B062FD" w:rsidRPr="00A17746" w:rsidRDefault="00B062FD" w:rsidP="0027286F">
            <w:pPr>
              <w:pStyle w:val="1"/>
              <w:widowControl w:val="0"/>
              <w:spacing w:after="120"/>
              <w:jc w:val="both"/>
              <w:rPr>
                <w:rFonts w:ascii="Times New Roman" w:hAnsi="Times New Roman"/>
                <w:spacing w:val="-4"/>
                <w:sz w:val="27"/>
                <w:szCs w:val="27"/>
                <w:lang w:eastAsia="uk-UA"/>
              </w:rPr>
            </w:pPr>
          </w:p>
        </w:tc>
      </w:tr>
    </w:tbl>
    <w:p w14:paraId="3038592B" w14:textId="1204692B" w:rsidR="00B062FD" w:rsidRPr="00A17746" w:rsidRDefault="00B062FD" w:rsidP="00B062FD">
      <w:pPr>
        <w:pStyle w:val="3"/>
        <w:keepNext w:val="0"/>
        <w:widowControl w:val="0"/>
        <w:spacing w:before="120"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7CC1A04F" w14:textId="77777777" w:rsidR="00B062FD" w:rsidRPr="00A17746" w:rsidRDefault="00B062FD" w:rsidP="00B062FD">
      <w:pPr>
        <w:pStyle w:val="3"/>
        <w:keepNext w:val="0"/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V. Механізми та заходи, які забезпечать розв’язання визначеної проблеми</w:t>
      </w:r>
    </w:p>
    <w:p w14:paraId="2B2FE0CD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17746">
        <w:rPr>
          <w:rFonts w:ascii="Times New Roman" w:hAnsi="Times New Roman"/>
          <w:i/>
          <w:sz w:val="28"/>
          <w:szCs w:val="28"/>
        </w:rPr>
        <w:t>1. Механізм дії регуляторного акта</w:t>
      </w:r>
    </w:p>
    <w:p w14:paraId="66CFD3BD" w14:textId="6BC9BC9B" w:rsidR="00B062FD" w:rsidRDefault="00B062FD" w:rsidP="00B062FD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 xml:space="preserve">Основним механізмом для розв’язання визначеної проблеми є прийняття 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FF5518" w:rsidRPr="00A17746">
        <w:rPr>
          <w:rFonts w:ascii="Times New Roman" w:eastAsia="Times New Roman" w:hAnsi="Times New Roman"/>
          <w:sz w:val="28"/>
          <w:szCs w:val="28"/>
          <w:lang w:eastAsia="uk-UA"/>
        </w:rPr>
        <w:t>е</w:t>
      </w:r>
      <w:r w:rsidRPr="00A17746">
        <w:rPr>
          <w:rFonts w:ascii="Times New Roman" w:eastAsia="Times New Roman" w:hAnsi="Times New Roman"/>
          <w:sz w:val="28"/>
          <w:szCs w:val="28"/>
          <w:lang w:eastAsia="uk-UA"/>
        </w:rPr>
        <w:t xml:space="preserve">кту наказу </w:t>
      </w:r>
      <w:r w:rsidRPr="00A17746">
        <w:rPr>
          <w:rFonts w:ascii="Times New Roman" w:hAnsi="Times New Roman"/>
          <w:sz w:val="28"/>
          <w:szCs w:val="28"/>
        </w:rPr>
        <w:t>та фактична реалізація його положень.</w:t>
      </w:r>
    </w:p>
    <w:p w14:paraId="35556FBC" w14:textId="4E52DAF3" w:rsidR="0019274E" w:rsidRPr="00A17746" w:rsidRDefault="0019274E" w:rsidP="00B062FD">
      <w:pPr>
        <w:widowControl w:val="0"/>
        <w:spacing w:before="120"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37596">
        <w:rPr>
          <w:rFonts w:ascii="Times New Roman" w:hAnsi="Times New Roman"/>
          <w:sz w:val="28"/>
          <w:szCs w:val="28"/>
        </w:rPr>
        <w:t xml:space="preserve">Проект передбачає об’єднання звітності, а саме податкової декларації та звітності з єдиного внеску для самозайнятих осіб та </w:t>
      </w:r>
      <w:r w:rsidRPr="00937596">
        <w:rPr>
          <w:rFonts w:ascii="Times New Roman" w:hAnsi="Times New Roman"/>
          <w:bCs/>
          <w:sz w:val="28"/>
          <w:szCs w:val="28"/>
        </w:rPr>
        <w:t xml:space="preserve">фізичних осіб, які сплачують єдиний внесок на умовах договору про добровільну участь у загальнообов’язковому державному пенсійному страхуванні, або для </w:t>
      </w:r>
      <w:r w:rsidRPr="00937596">
        <w:rPr>
          <w:rFonts w:ascii="Times New Roman" w:hAnsi="Times New Roman"/>
          <w:sz w:val="28"/>
          <w:szCs w:val="28"/>
          <w:lang w:eastAsia="ar-SA"/>
        </w:rPr>
        <w:t>членів фермерського господарства, якщо вони не належать до осіб, які підлягають страхуванню на інших підставах, що призведе до</w:t>
      </w:r>
      <w:r w:rsidRPr="00937596">
        <w:rPr>
          <w:rFonts w:ascii="Times New Roman" w:hAnsi="Times New Roman"/>
          <w:sz w:val="28"/>
          <w:szCs w:val="28"/>
        </w:rPr>
        <w:t xml:space="preserve"> </w:t>
      </w:r>
      <w:r w:rsidR="00EB17FE" w:rsidRPr="00937596">
        <w:rPr>
          <w:rFonts w:ascii="Times New Roman" w:hAnsi="Times New Roman"/>
          <w:sz w:val="28"/>
          <w:szCs w:val="28"/>
        </w:rPr>
        <w:t>зменшення</w:t>
      </w:r>
      <w:r w:rsidRPr="00937596">
        <w:rPr>
          <w:rFonts w:ascii="Times New Roman" w:hAnsi="Times New Roman"/>
          <w:sz w:val="28"/>
          <w:szCs w:val="28"/>
        </w:rPr>
        <w:t xml:space="preserve"> обсягу звітності для суб’єктів господарювання та кількості </w:t>
      </w:r>
      <w:r w:rsidRPr="00937596">
        <w:rPr>
          <w:rFonts w:ascii="Times New Roman" w:hAnsi="Times New Roman"/>
          <w:sz w:val="28"/>
          <w:szCs w:val="28"/>
          <w:lang w:eastAsia="uk-UA"/>
        </w:rPr>
        <w:t xml:space="preserve">часових витрат суб’єктів господарювання </w:t>
      </w:r>
      <w:r w:rsidRPr="00937596">
        <w:rPr>
          <w:rFonts w:ascii="Times New Roman" w:hAnsi="Times New Roman"/>
          <w:sz w:val="28"/>
          <w:szCs w:val="28"/>
        </w:rPr>
        <w:t>на заповнення податкової звітності.</w:t>
      </w:r>
    </w:p>
    <w:p w14:paraId="2E761A4C" w14:textId="77777777" w:rsidR="00B062FD" w:rsidRPr="00A17746" w:rsidRDefault="00B062FD" w:rsidP="00B062FD">
      <w:pPr>
        <w:widowControl w:val="0"/>
        <w:spacing w:before="120" w:after="0" w:line="24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A17746">
        <w:rPr>
          <w:rFonts w:ascii="Times New Roman" w:hAnsi="Times New Roman"/>
          <w:i/>
          <w:sz w:val="28"/>
          <w:szCs w:val="28"/>
        </w:rPr>
        <w:t>2. Організаційні заходи впровадження регуляторного акта в дію</w:t>
      </w:r>
    </w:p>
    <w:p w14:paraId="03DBA470" w14:textId="73D984BA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Для впровадження цього регуляторного акта необхідно забезпечити інформування громадськості про вимоги регуляторного акта шляхом його оприлюднення на офіційному вебсайті Міністерства фінансів України та ДПС.</w:t>
      </w:r>
    </w:p>
    <w:p w14:paraId="1C401376" w14:textId="77777777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Ризику впливу зовнішніх факторів на дію регуляторного акта немає.</w:t>
      </w:r>
    </w:p>
    <w:p w14:paraId="6137673D" w14:textId="77777777" w:rsidR="00B062FD" w:rsidRPr="00A17746" w:rsidRDefault="00B062FD" w:rsidP="00B062FD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lastRenderedPageBreak/>
        <w:t>Можлива шкода у разі очікуваних наслідків дії акта не прогнозується.</w:t>
      </w:r>
    </w:p>
    <w:p w14:paraId="2580730B" w14:textId="77777777" w:rsidR="00B062FD" w:rsidRPr="00A17746" w:rsidRDefault="00B062FD" w:rsidP="00B062FD">
      <w:pPr>
        <w:pStyle w:val="3"/>
        <w:keepNext w:val="0"/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14:paraId="4BCA2557" w14:textId="77777777" w:rsidR="00B062FD" w:rsidRPr="00A17746" w:rsidRDefault="00B062FD" w:rsidP="00B062FD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Реалізація регуляторного акта не потребуватиме додаткових витрат та ресурсів органів виконавчої влади та платників податків.</w:t>
      </w:r>
    </w:p>
    <w:p w14:paraId="25076B3A" w14:textId="77777777" w:rsidR="00B062FD" w:rsidRPr="00A17746" w:rsidRDefault="00B062FD" w:rsidP="00B062FD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Державне регулювання не передбачає утворення нового державного органу (або нового структурного підрозділу діючого органу).</w:t>
      </w:r>
    </w:p>
    <w:p w14:paraId="28A943C6" w14:textId="77777777" w:rsidR="00B062FD" w:rsidRPr="00A17746" w:rsidRDefault="00B062FD" w:rsidP="00B062FD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Відповідно розрахунок витрат на виконання вимог регуляторного акта для органів виконавчої влади згідно з додатком 3 до Методики проведення аналізу впливу регуляторного акта не проводився.</w:t>
      </w:r>
    </w:p>
    <w:p w14:paraId="0099C326" w14:textId="77777777" w:rsidR="00B062FD" w:rsidRPr="00A17746" w:rsidRDefault="00B062FD" w:rsidP="00B062FD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Питома вага суб’єктів малого підприємництва (малих та мікропідприємств разом) у загальній кількості суб’єктів господарювання, на яких поширюється регулювання, перевищує 10 відсотків, у зв’язку з чим проведено розрахунок витрат на запровадження державного регулювання для суб’єктів малого підприємництва (додаток 1 до аналізу регуляторного акта).</w:t>
      </w:r>
    </w:p>
    <w:p w14:paraId="25E02F78" w14:textId="77777777" w:rsidR="00B062FD" w:rsidRPr="00A17746" w:rsidRDefault="00B062FD" w:rsidP="00B062FD">
      <w:pPr>
        <w:widowControl w:val="0"/>
        <w:shd w:val="clear" w:color="auto" w:fill="FFFFFF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  <w:r w:rsidRPr="00A17746">
        <w:rPr>
          <w:rFonts w:ascii="Times New Roman" w:eastAsia="Times New Roman" w:hAnsi="Times New Roman"/>
          <w:b/>
          <w:bCs/>
          <w:sz w:val="28"/>
          <w:szCs w:val="28"/>
        </w:rPr>
        <w:t>VII. Обґрунтування запропонованого строку дії регуляторного акта</w:t>
      </w:r>
    </w:p>
    <w:p w14:paraId="2489DDF2" w14:textId="77777777" w:rsidR="00B062FD" w:rsidRPr="00A17746" w:rsidRDefault="00B062FD" w:rsidP="00B062FD">
      <w:pPr>
        <w:widowControl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Строк дії регуляторного акта не обмежується у часі.</w:t>
      </w:r>
    </w:p>
    <w:p w14:paraId="5814599A" w14:textId="7D8B6964" w:rsidR="00B062FD" w:rsidRPr="00A17746" w:rsidRDefault="00B062FD" w:rsidP="00B062FD">
      <w:pPr>
        <w:widowControl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Зміна терміну дії акта можлива в разі зміни правових актів, на виконання вимог яких базується про</w:t>
      </w:r>
      <w:r w:rsidR="00FF5518"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е</w:t>
      </w:r>
      <w:r w:rsidRPr="00A17746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  <w:t>кт.</w:t>
      </w:r>
    </w:p>
    <w:p w14:paraId="1FBE527C" w14:textId="77777777" w:rsidR="00B062FD" w:rsidRPr="00A17746" w:rsidRDefault="00B062FD" w:rsidP="00B062FD">
      <w:pPr>
        <w:widowControl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uk-UA"/>
        </w:rPr>
      </w:pPr>
    </w:p>
    <w:p w14:paraId="636F1FA2" w14:textId="77777777" w:rsidR="00B062FD" w:rsidRPr="00A17746" w:rsidRDefault="00B062FD" w:rsidP="00B062FD">
      <w:pPr>
        <w:pStyle w:val="3"/>
        <w:keepNext w:val="0"/>
        <w:widowControl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VIII. Визначення показників результативності дії регуляторного акта</w:t>
      </w:r>
    </w:p>
    <w:p w14:paraId="449C8551" w14:textId="030C45C0" w:rsidR="00394D5F" w:rsidRPr="00937596" w:rsidRDefault="00394D5F" w:rsidP="00394D5F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Ураховуючи</w:t>
      </w:r>
      <w:r w:rsidRPr="00937596">
        <w:rPr>
          <w:rFonts w:ascii="Times New Roman" w:hAnsi="Times New Roman"/>
          <w:sz w:val="28"/>
          <w:szCs w:val="28"/>
          <w:lang w:val="uk-UA"/>
        </w:rPr>
        <w:t xml:space="preserve"> цілі державного регулювання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,</w:t>
      </w:r>
      <w:r w:rsidRPr="00937596">
        <w:rPr>
          <w:rFonts w:ascii="Times New Roman" w:hAnsi="Times New Roman"/>
          <w:sz w:val="28"/>
          <w:szCs w:val="28"/>
          <w:lang w:val="uk-UA"/>
        </w:rPr>
        <w:t xml:space="preserve"> для відстеження результативності цього наказу пропонується встановити такі показники:</w:t>
      </w:r>
    </w:p>
    <w:p w14:paraId="43B36066" w14:textId="77777777" w:rsidR="00394D5F" w:rsidRPr="00937596" w:rsidRDefault="00394D5F" w:rsidP="00394D5F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 xml:space="preserve">кількість фізичних осіб – підприємців – платників єдиного податку; </w:t>
      </w:r>
    </w:p>
    <w:p w14:paraId="5385F914" w14:textId="77777777" w:rsidR="00394D5F" w:rsidRPr="00937596" w:rsidRDefault="00394D5F" w:rsidP="00394D5F">
      <w:pPr>
        <w:pStyle w:val="a5"/>
        <w:widowControl w:val="0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>кількість поданої звітності за новою формою декларації;</w:t>
      </w:r>
    </w:p>
    <w:p w14:paraId="55B14DCE" w14:textId="360DE0AA" w:rsidR="00394D5F" w:rsidRPr="00937596" w:rsidRDefault="00394D5F" w:rsidP="00394D5F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 xml:space="preserve">показник витрат часу, досягнутий суб’єктами управління 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під час</w:t>
      </w:r>
      <w:r w:rsidRPr="00937596">
        <w:rPr>
          <w:rFonts w:ascii="Times New Roman" w:hAnsi="Times New Roman"/>
          <w:sz w:val="28"/>
          <w:szCs w:val="28"/>
          <w:lang w:val="uk-UA"/>
        </w:rPr>
        <w:t xml:space="preserve"> виконанн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я</w:t>
      </w:r>
      <w:r w:rsidRPr="00937596">
        <w:rPr>
          <w:rFonts w:ascii="Times New Roman" w:hAnsi="Times New Roman"/>
          <w:sz w:val="28"/>
          <w:szCs w:val="28"/>
          <w:lang w:val="uk-UA"/>
        </w:rPr>
        <w:t xml:space="preserve"> вимог регуляторного акт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а</w:t>
      </w:r>
      <w:r w:rsidRPr="00937596">
        <w:rPr>
          <w:rFonts w:ascii="Times New Roman" w:hAnsi="Times New Roman"/>
          <w:sz w:val="28"/>
          <w:szCs w:val="28"/>
          <w:lang w:val="uk-UA"/>
        </w:rPr>
        <w:t>, – зменшиться;</w:t>
      </w:r>
    </w:p>
    <w:p w14:paraId="0E02B400" w14:textId="2B0F42D2" w:rsidR="00394D5F" w:rsidRPr="00937596" w:rsidRDefault="00394D5F" w:rsidP="00394D5F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>рівень поінформованості суб’єктів господарювання стосовно основни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х положень регуляторного акта –</w:t>
      </w:r>
      <w:r w:rsidRPr="00937596">
        <w:rPr>
          <w:rFonts w:ascii="Times New Roman" w:hAnsi="Times New Roman"/>
          <w:sz w:val="28"/>
          <w:szCs w:val="28"/>
          <w:lang w:val="uk-UA"/>
        </w:rPr>
        <w:t xml:space="preserve"> вище середнього, оскільки:</w:t>
      </w:r>
    </w:p>
    <w:p w14:paraId="18C02783" w14:textId="57DD5D49" w:rsidR="00394D5F" w:rsidRPr="00937596" w:rsidRDefault="00394D5F" w:rsidP="00394D5F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 xml:space="preserve"> зі змістом про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е</w:t>
      </w:r>
      <w:r w:rsidRPr="00937596">
        <w:rPr>
          <w:rFonts w:ascii="Times New Roman" w:hAnsi="Times New Roman"/>
          <w:sz w:val="28"/>
          <w:szCs w:val="28"/>
          <w:lang w:val="uk-UA"/>
        </w:rPr>
        <w:t>кту наказу та супровідних до нього документів можна ознайомитися на офіційному вебсайті Мінфіну (www.minfin.gov.ua);</w:t>
      </w:r>
    </w:p>
    <w:p w14:paraId="1EB89952" w14:textId="072AEFD9" w:rsidR="00394D5F" w:rsidRPr="00937596" w:rsidRDefault="00394D5F" w:rsidP="00394D5F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 xml:space="preserve"> після прийняття про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е</w:t>
      </w:r>
      <w:r w:rsidRPr="00937596">
        <w:rPr>
          <w:rFonts w:ascii="Times New Roman" w:hAnsi="Times New Roman"/>
          <w:sz w:val="28"/>
          <w:szCs w:val="28"/>
          <w:lang w:val="uk-UA"/>
        </w:rPr>
        <w:t>кту наказу та здійснення державної реєстрації наказ буде розміщено на офіційному вебсайті Мінфіну та вебсайті ДПС.</w:t>
      </w:r>
    </w:p>
    <w:p w14:paraId="2ADE9244" w14:textId="77777777" w:rsidR="00394D5F" w:rsidRPr="00937596" w:rsidRDefault="00394D5F" w:rsidP="00394D5F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>Кількість суб</w:t>
      </w:r>
      <w:r w:rsidRPr="00937596">
        <w:rPr>
          <w:rFonts w:ascii="Times New Roman" w:hAnsi="Times New Roman"/>
          <w:sz w:val="28"/>
          <w:szCs w:val="28"/>
        </w:rPr>
        <w:t>’</w:t>
      </w:r>
      <w:r w:rsidRPr="00937596">
        <w:rPr>
          <w:rFonts w:ascii="Times New Roman" w:hAnsi="Times New Roman"/>
          <w:sz w:val="28"/>
          <w:szCs w:val="28"/>
          <w:lang w:val="uk-UA"/>
        </w:rPr>
        <w:t>єктів господарювання та/або фізичних осіб, на яких поширюється дія наказу, не обмежується.</w:t>
      </w:r>
    </w:p>
    <w:p w14:paraId="379E0C60" w14:textId="10D85AAC" w:rsidR="00394D5F" w:rsidRPr="00937596" w:rsidRDefault="00394D5F" w:rsidP="00394D5F">
      <w:pPr>
        <w:pStyle w:val="a5"/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37596">
        <w:rPr>
          <w:rFonts w:ascii="Times New Roman" w:hAnsi="Times New Roman"/>
          <w:sz w:val="28"/>
          <w:szCs w:val="28"/>
          <w:lang w:val="uk-UA"/>
        </w:rPr>
        <w:t>Проект наказу та відповідний аналіз його регуляторного вплив</w:t>
      </w:r>
      <w:r w:rsidR="00EB17FE" w:rsidRPr="00937596">
        <w:rPr>
          <w:rFonts w:ascii="Times New Roman" w:hAnsi="Times New Roman"/>
          <w:sz w:val="28"/>
          <w:szCs w:val="28"/>
          <w:lang w:val="uk-UA"/>
        </w:rPr>
        <w:t>у оприлюднено на офіційному веб</w:t>
      </w:r>
      <w:r w:rsidRPr="00937596">
        <w:rPr>
          <w:rFonts w:ascii="Times New Roman" w:hAnsi="Times New Roman"/>
          <w:sz w:val="28"/>
          <w:szCs w:val="28"/>
          <w:lang w:val="uk-UA"/>
        </w:rPr>
        <w:t>сайті Міністерства фінансів України  (http://www.m</w:t>
      </w:r>
      <w:r w:rsidRPr="00937596">
        <w:rPr>
          <w:rFonts w:ascii="Times New Roman" w:hAnsi="Times New Roman"/>
          <w:sz w:val="28"/>
          <w:szCs w:val="28"/>
          <w:lang w:val="en-US"/>
        </w:rPr>
        <w:t>infin</w:t>
      </w:r>
      <w:r w:rsidRPr="00937596">
        <w:rPr>
          <w:rFonts w:ascii="Times New Roman" w:hAnsi="Times New Roman"/>
          <w:sz w:val="28"/>
          <w:szCs w:val="28"/>
          <w:lang w:val="uk-UA"/>
        </w:rPr>
        <w:t>.gov.ua) з метою отримання зауважень та пропозицій до нього.</w:t>
      </w:r>
    </w:p>
    <w:p w14:paraId="6C6274B4" w14:textId="15868DCB" w:rsidR="00B062FD" w:rsidRPr="00A17746" w:rsidRDefault="00B062FD" w:rsidP="000D4AE9">
      <w:pPr>
        <w:pStyle w:val="a5"/>
        <w:widowControl w:val="0"/>
        <w:tabs>
          <w:tab w:val="left" w:pos="851"/>
          <w:tab w:val="left" w:pos="1134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14:paraId="1823FE6D" w14:textId="77777777" w:rsidR="00B062FD" w:rsidRPr="00A17746" w:rsidRDefault="00B062FD" w:rsidP="00FF5518">
      <w:pPr>
        <w:pStyle w:val="3"/>
        <w:keepNext w:val="0"/>
        <w:widowControl w:val="0"/>
        <w:spacing w:before="120" w:after="12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17746">
        <w:rPr>
          <w:rFonts w:ascii="Times New Roman" w:hAnsi="Times New Roman"/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14:paraId="56DD34A6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n175"/>
      <w:bookmarkEnd w:id="1"/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>Відстеження результативності буде здійснено із застосуванням статистичного методу шляхом аналізу статистичних даних з інформаційних баз ДПС щодо надходжень до бюджету, пов’язаних з дією акта, кількості суб’єктів господарювання, на яких  поширюватиметься дія акта, кількості поданої звітності, обробки даних щодо кількості скарг та пропозицій від суб’єктів господарювання. Виконавець заходів із відстеження – Міністерство фінансів України.</w:t>
      </w:r>
    </w:p>
    <w:p w14:paraId="7F39ABED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Результативність дії регуляторного акта здійснюватиметься за допомогою базового, повторного, періодичного відстеження. </w:t>
      </w:r>
    </w:p>
    <w:p w14:paraId="6285AB51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 xml:space="preserve">Базове відстеження результативності здійснюватиметься після набрання чинності цим регуляторним актом, але не пізніше дня, з якого починається проведення повторного відстеження результативності цього акта. </w:t>
      </w:r>
    </w:p>
    <w:p w14:paraId="3D0A24F5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Повторне відстеження результативності регуляторного акта здійснюється через рік з дня набрання ним чинності, але не пізніше двох років після набрання ним чинності. </w:t>
      </w:r>
    </w:p>
    <w:p w14:paraId="49389F5F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>Періодичне відстеження результативності регуляторного акта здійснюється раз на три роки, починаючи із дня виконання заходів із повторного відстеження.</w:t>
      </w:r>
    </w:p>
    <w:p w14:paraId="1C46ED95" w14:textId="77777777" w:rsidR="005B0D93" w:rsidRPr="00937596" w:rsidRDefault="005B0D93" w:rsidP="005B0D9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596">
        <w:rPr>
          <w:rFonts w:ascii="Times New Roman" w:eastAsia="Times New Roman" w:hAnsi="Times New Roman"/>
          <w:sz w:val="28"/>
          <w:szCs w:val="28"/>
          <w:lang w:eastAsia="ru-RU"/>
        </w:rPr>
        <w:t>У разі виявлення неврегульованих та проблемних питань під час проведення аналізу показників дії цього акта ці питання будуть вирішені шляхом внесення відповідних змін.</w:t>
      </w:r>
    </w:p>
    <w:p w14:paraId="68154072" w14:textId="77777777" w:rsidR="005B0D93" w:rsidRPr="00AE4A5D" w:rsidRDefault="005B0D93" w:rsidP="005B0D93">
      <w:pPr>
        <w:spacing w:line="240" w:lineRule="auto"/>
        <w:ind w:firstLine="567"/>
        <w:rPr>
          <w:highlight w:val="yellow"/>
          <w:lang w:eastAsia="x-none"/>
        </w:rPr>
      </w:pPr>
      <w:bookmarkStart w:id="2" w:name="n171"/>
      <w:bookmarkEnd w:id="2"/>
    </w:p>
    <w:p w14:paraId="0C0BA7ED" w14:textId="08B0192D" w:rsidR="00B062FD" w:rsidRPr="00A17746" w:rsidRDefault="00B062FD" w:rsidP="00B062FD">
      <w:pPr>
        <w:pStyle w:val="BodyTextIndent1"/>
        <w:ind w:firstLine="0"/>
      </w:pPr>
      <w:r w:rsidRPr="00A17746">
        <w:rPr>
          <w:b/>
        </w:rPr>
        <w:t>Міністр</w:t>
      </w:r>
      <w:r w:rsidR="001D63AB" w:rsidRPr="00A17746">
        <w:rPr>
          <w:b/>
        </w:rPr>
        <w:t>а</w:t>
      </w:r>
      <w:r w:rsidRPr="00A17746">
        <w:rPr>
          <w:b/>
        </w:rPr>
        <w:t xml:space="preserve"> фінансів України </w:t>
      </w:r>
      <w:r w:rsidRPr="00A17746">
        <w:rPr>
          <w:b/>
        </w:rPr>
        <w:tab/>
      </w:r>
      <w:r w:rsidRPr="00A17746">
        <w:rPr>
          <w:b/>
        </w:rPr>
        <w:tab/>
        <w:t xml:space="preserve">                </w:t>
      </w:r>
      <w:r w:rsidR="00441BA3" w:rsidRPr="00A17746">
        <w:rPr>
          <w:b/>
        </w:rPr>
        <w:t xml:space="preserve">   </w:t>
      </w:r>
      <w:r w:rsidR="008E2139" w:rsidRPr="00A17746">
        <w:rPr>
          <w:b/>
        </w:rPr>
        <w:t xml:space="preserve">                     </w:t>
      </w:r>
      <w:r w:rsidRPr="00A17746">
        <w:rPr>
          <w:b/>
        </w:rPr>
        <w:t>С</w:t>
      </w:r>
      <w:r w:rsidR="008E2139" w:rsidRPr="00A17746">
        <w:rPr>
          <w:b/>
        </w:rPr>
        <w:t>ергій</w:t>
      </w:r>
      <w:r w:rsidR="00441BA3" w:rsidRPr="00A17746">
        <w:rPr>
          <w:b/>
        </w:rPr>
        <w:t xml:space="preserve"> </w:t>
      </w:r>
      <w:r w:rsidR="008E2139" w:rsidRPr="00A17746">
        <w:rPr>
          <w:b/>
        </w:rPr>
        <w:t>МАРЧЕНКО</w:t>
      </w:r>
    </w:p>
    <w:p w14:paraId="3635E02D" w14:textId="77777777" w:rsidR="00B062FD" w:rsidRPr="00A17746" w:rsidRDefault="00B062FD" w:rsidP="00B062FD">
      <w:pPr>
        <w:pStyle w:val="BodyTextIndent1"/>
        <w:ind w:firstLine="0"/>
      </w:pPr>
    </w:p>
    <w:p w14:paraId="4BE5F736" w14:textId="77777777" w:rsidR="00B062FD" w:rsidRPr="00A17746" w:rsidRDefault="00B062FD" w:rsidP="00B062FD">
      <w:pPr>
        <w:pStyle w:val="BodyTextIndent1"/>
        <w:ind w:firstLine="0"/>
      </w:pPr>
    </w:p>
    <w:p w14:paraId="1211CE0B" w14:textId="3240A8CA" w:rsidR="00C563AB" w:rsidRPr="00A17746" w:rsidRDefault="00B062FD" w:rsidP="000D4AE9">
      <w:pPr>
        <w:pStyle w:val="BodyTextIndent1"/>
        <w:ind w:firstLine="0"/>
      </w:pPr>
      <w:r w:rsidRPr="00A17746">
        <w:t>«</w:t>
      </w:r>
      <w:r w:rsidR="005B0D93">
        <w:t>______</w:t>
      </w:r>
      <w:r w:rsidRPr="00A17746">
        <w:t xml:space="preserve">» </w:t>
      </w:r>
      <w:r w:rsidR="005B0D93">
        <w:t xml:space="preserve">грудня </w:t>
      </w:r>
      <w:r w:rsidRPr="00A17746">
        <w:t>2020 р.</w:t>
      </w:r>
    </w:p>
    <w:sectPr w:rsidR="00C563AB" w:rsidRPr="00A17746" w:rsidSect="00EB17FE">
      <w:headerReference w:type="default" r:id="rId7"/>
      <w:pgSz w:w="11906" w:h="16838"/>
      <w:pgMar w:top="709" w:right="567" w:bottom="155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9599C" w14:textId="77777777" w:rsidR="00370C20" w:rsidRDefault="00370C20" w:rsidP="002D61BC">
      <w:pPr>
        <w:spacing w:after="0" w:line="240" w:lineRule="auto"/>
      </w:pPr>
      <w:r>
        <w:separator/>
      </w:r>
    </w:p>
  </w:endnote>
  <w:endnote w:type="continuationSeparator" w:id="0">
    <w:p w14:paraId="3AA86B61" w14:textId="77777777" w:rsidR="00370C20" w:rsidRDefault="00370C20" w:rsidP="002D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266C" w14:textId="77777777" w:rsidR="00370C20" w:rsidRDefault="00370C20" w:rsidP="002D61BC">
      <w:pPr>
        <w:spacing w:after="0" w:line="240" w:lineRule="auto"/>
      </w:pPr>
      <w:r>
        <w:separator/>
      </w:r>
    </w:p>
  </w:footnote>
  <w:footnote w:type="continuationSeparator" w:id="0">
    <w:p w14:paraId="296523E5" w14:textId="77777777" w:rsidR="00370C20" w:rsidRDefault="00370C20" w:rsidP="002D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00641"/>
      <w:docPartObj>
        <w:docPartGallery w:val="Page Numbers (Top of Page)"/>
        <w:docPartUnique/>
      </w:docPartObj>
    </w:sdtPr>
    <w:sdtEndPr/>
    <w:sdtContent>
      <w:p w14:paraId="4D448AAF" w14:textId="3AC7C12A" w:rsidR="002D61BC" w:rsidRDefault="002D61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144">
          <w:rPr>
            <w:noProof/>
          </w:rPr>
          <w:t>2</w:t>
        </w:r>
        <w:r>
          <w:fldChar w:fldCharType="end"/>
        </w:r>
      </w:p>
    </w:sdtContent>
  </w:sdt>
  <w:p w14:paraId="74A32B13" w14:textId="77777777" w:rsidR="002D61BC" w:rsidRDefault="002D61B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2BC1"/>
    <w:multiLevelType w:val="hybridMultilevel"/>
    <w:tmpl w:val="590C9F70"/>
    <w:lvl w:ilvl="0" w:tplc="23E6B8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D"/>
    <w:rsid w:val="000D4AE9"/>
    <w:rsid w:val="000D6144"/>
    <w:rsid w:val="0019274E"/>
    <w:rsid w:val="001D63AB"/>
    <w:rsid w:val="001F64D9"/>
    <w:rsid w:val="002C3647"/>
    <w:rsid w:val="002D61BC"/>
    <w:rsid w:val="00311B03"/>
    <w:rsid w:val="00370C20"/>
    <w:rsid w:val="00394D5F"/>
    <w:rsid w:val="003C665A"/>
    <w:rsid w:val="00441BA3"/>
    <w:rsid w:val="005B0D93"/>
    <w:rsid w:val="00674DB0"/>
    <w:rsid w:val="00695139"/>
    <w:rsid w:val="006D27B4"/>
    <w:rsid w:val="007954FF"/>
    <w:rsid w:val="00856FF4"/>
    <w:rsid w:val="008E2139"/>
    <w:rsid w:val="00916EE9"/>
    <w:rsid w:val="00937596"/>
    <w:rsid w:val="00A17746"/>
    <w:rsid w:val="00AF6416"/>
    <w:rsid w:val="00B062FD"/>
    <w:rsid w:val="00C563AB"/>
    <w:rsid w:val="00E734FF"/>
    <w:rsid w:val="00EB17FE"/>
    <w:rsid w:val="00F14CAD"/>
    <w:rsid w:val="00F42842"/>
    <w:rsid w:val="00FA7B9E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A1EE"/>
  <w15:docId w15:val="{0B531A2A-FAFE-4207-AB5F-61E81A0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FD"/>
    <w:rPr>
      <w:rFonts w:ascii="Calibri" w:eastAsia="Calibri" w:hAnsi="Calibri" w:cs="Times New Roman"/>
    </w:rPr>
  </w:style>
  <w:style w:type="paragraph" w:styleId="2">
    <w:name w:val="heading 2"/>
    <w:next w:val="a"/>
    <w:link w:val="20"/>
    <w:uiPriority w:val="9"/>
    <w:unhideWhenUsed/>
    <w:qFormat/>
    <w:rsid w:val="00B062FD"/>
    <w:pPr>
      <w:keepNext/>
      <w:keepLines/>
      <w:spacing w:after="8" w:line="251" w:lineRule="auto"/>
      <w:ind w:left="10" w:hanging="10"/>
      <w:outlineLvl w:val="1"/>
    </w:pPr>
    <w:rPr>
      <w:rFonts w:ascii="Times New Roman" w:eastAsia="Times New Roman" w:hAnsi="Times New Roman" w:cs="Times New Roman"/>
      <w:color w:val="000000"/>
      <w:sz w:val="30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B062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2FD"/>
    <w:rPr>
      <w:rFonts w:ascii="Times New Roman" w:eastAsia="Times New Roman" w:hAnsi="Times New Roman" w:cs="Times New Roman"/>
      <w:color w:val="000000"/>
      <w:sz w:val="30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62FD"/>
    <w:rPr>
      <w:rFonts w:ascii="Cambria" w:eastAsia="Times New Roman" w:hAnsi="Cambria" w:cs="Times New Roman"/>
      <w:b/>
      <w:bCs/>
      <w:sz w:val="26"/>
      <w:szCs w:val="26"/>
      <w:lang w:eastAsia="x-none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nhideWhenUsed/>
    <w:rsid w:val="00B06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B062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B062F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6">
    <w:name w:val="Plain Text"/>
    <w:basedOn w:val="a"/>
    <w:link w:val="a7"/>
    <w:rsid w:val="00B062FD"/>
    <w:pPr>
      <w:spacing w:after="0" w:line="240" w:lineRule="auto"/>
      <w:ind w:firstLine="284"/>
      <w:jc w:val="both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rsid w:val="00B062F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">
    <w:name w:val="Без інтервалів1"/>
    <w:rsid w:val="00B062FD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annotation reference"/>
    <w:uiPriority w:val="99"/>
    <w:semiHidden/>
    <w:unhideWhenUsed/>
    <w:rsid w:val="00B062F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62FD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B062FD"/>
    <w:rPr>
      <w:rFonts w:ascii="Calibri" w:eastAsia="Calibri" w:hAnsi="Calibri" w:cs="Times New Roman"/>
      <w:sz w:val="20"/>
      <w:szCs w:val="20"/>
    </w:rPr>
  </w:style>
  <w:style w:type="paragraph" w:customStyle="1" w:styleId="BodyTextIndent1">
    <w:name w:val="Body Text Indent1"/>
    <w:basedOn w:val="a"/>
    <w:rsid w:val="00B062F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B062FD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2D61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2D61BC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D61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2D61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13140</Words>
  <Characters>7490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ВОЛОДИМИРОВА СВІТЛАНА ІВАНІВНА</dc:creator>
  <cp:lastModifiedBy>Дибко Сергій Миколайович</cp:lastModifiedBy>
  <cp:revision>6</cp:revision>
  <cp:lastPrinted>2020-12-03T12:03:00Z</cp:lastPrinted>
  <dcterms:created xsi:type="dcterms:W3CDTF">2020-12-03T08:00:00Z</dcterms:created>
  <dcterms:modified xsi:type="dcterms:W3CDTF">2020-12-03T12:49:00Z</dcterms:modified>
</cp:coreProperties>
</file>