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9884E" w14:textId="77777777" w:rsidR="0070189F" w:rsidRPr="00A45649" w:rsidRDefault="00B91E6A" w:rsidP="00A45649">
      <w:pPr>
        <w:jc w:val="center"/>
        <w:rPr>
          <w:rStyle w:val="font171"/>
          <w:b/>
          <w:bCs/>
        </w:rPr>
      </w:pPr>
      <w:r w:rsidRPr="00A45649">
        <w:rPr>
          <w:rStyle w:val="font171"/>
          <w:b/>
          <w:bCs/>
        </w:rPr>
        <w:t>АНАЛІЗ РЕГУЛЯТОРНОГО ВПЛИВУ</w:t>
      </w:r>
    </w:p>
    <w:p w14:paraId="054ED1A9" w14:textId="77777777" w:rsidR="007F5A05" w:rsidRPr="00477F0C" w:rsidRDefault="00E20DDE" w:rsidP="00A45649">
      <w:pPr>
        <w:jc w:val="center"/>
        <w:rPr>
          <w:rFonts w:eastAsiaTheme="minorHAnsi"/>
          <w:b/>
          <w:sz w:val="28"/>
          <w:szCs w:val="28"/>
          <w:lang w:val="ru-RU" w:eastAsia="en-US"/>
        </w:rPr>
      </w:pPr>
      <w:r>
        <w:rPr>
          <w:rStyle w:val="font171"/>
          <w:b/>
        </w:rPr>
        <w:t>проє</w:t>
      </w:r>
      <w:r w:rsidR="00BF09A2" w:rsidRPr="00A45649">
        <w:rPr>
          <w:rStyle w:val="font171"/>
          <w:b/>
        </w:rPr>
        <w:t>кту</w:t>
      </w:r>
      <w:r w:rsidR="00BF09A2" w:rsidRPr="00A45649">
        <w:rPr>
          <w:rFonts w:eastAsiaTheme="minorHAnsi"/>
          <w:b/>
          <w:sz w:val="28"/>
          <w:szCs w:val="28"/>
          <w:lang w:eastAsia="en-US"/>
        </w:rPr>
        <w:t xml:space="preserve"> </w:t>
      </w:r>
      <w:r w:rsidR="00657A69" w:rsidRPr="00A45649">
        <w:rPr>
          <w:rFonts w:eastAsiaTheme="minorHAnsi"/>
          <w:b/>
          <w:sz w:val="28"/>
          <w:szCs w:val="28"/>
          <w:lang w:eastAsia="en-US"/>
        </w:rPr>
        <w:t xml:space="preserve">наказу Міністерства фінансів України </w:t>
      </w:r>
    </w:p>
    <w:p w14:paraId="4B291C49" w14:textId="77777777" w:rsidR="00C47112" w:rsidRDefault="00BF09A2" w:rsidP="00A45649">
      <w:pPr>
        <w:jc w:val="center"/>
        <w:rPr>
          <w:rFonts w:eastAsiaTheme="minorHAnsi"/>
          <w:b/>
          <w:sz w:val="28"/>
          <w:szCs w:val="28"/>
          <w:lang w:eastAsia="en-US"/>
        </w:rPr>
      </w:pPr>
      <w:r w:rsidRPr="003B765C">
        <w:rPr>
          <w:rFonts w:eastAsiaTheme="minorHAnsi"/>
          <w:b/>
          <w:sz w:val="28"/>
          <w:szCs w:val="28"/>
          <w:lang w:eastAsia="en-US"/>
        </w:rPr>
        <w:t>«</w:t>
      </w:r>
      <w:r w:rsidR="00C47112" w:rsidRPr="00C47112">
        <w:rPr>
          <w:rFonts w:eastAsiaTheme="minorHAnsi"/>
          <w:b/>
          <w:sz w:val="28"/>
          <w:szCs w:val="28"/>
          <w:lang w:eastAsia="en-US"/>
        </w:rPr>
        <w:t xml:space="preserve">Про внесення змін до наказу Міністерства фінансів України </w:t>
      </w:r>
    </w:p>
    <w:p w14:paraId="3BCDF226" w14:textId="76B9A62E" w:rsidR="00A06E31" w:rsidRPr="003B765C" w:rsidRDefault="00C47112" w:rsidP="00A45649">
      <w:pPr>
        <w:jc w:val="center"/>
        <w:rPr>
          <w:rFonts w:eastAsiaTheme="minorHAnsi"/>
          <w:b/>
          <w:sz w:val="28"/>
          <w:szCs w:val="28"/>
          <w:lang w:eastAsia="en-US"/>
        </w:rPr>
      </w:pPr>
      <w:r w:rsidRPr="00C47112">
        <w:rPr>
          <w:rFonts w:eastAsiaTheme="minorHAnsi"/>
          <w:b/>
          <w:sz w:val="28"/>
          <w:szCs w:val="28"/>
          <w:lang w:eastAsia="en-US"/>
        </w:rPr>
        <w:t>від 11 грудня 2014 року № 1203</w:t>
      </w:r>
      <w:r w:rsidR="003B765C" w:rsidRPr="003B765C">
        <w:rPr>
          <w:rFonts w:eastAsiaTheme="minorHAnsi"/>
          <w:b/>
          <w:sz w:val="28"/>
          <w:szCs w:val="28"/>
          <w:lang w:eastAsia="en-US"/>
        </w:rPr>
        <w:t xml:space="preserve">» </w:t>
      </w:r>
    </w:p>
    <w:p w14:paraId="66CF66A8" w14:textId="77777777" w:rsidR="00871221" w:rsidRPr="0070189F" w:rsidRDefault="00871221" w:rsidP="00A45649"/>
    <w:p w14:paraId="3DA2267B" w14:textId="77777777" w:rsidR="00B91E6A" w:rsidRDefault="00B91E6A" w:rsidP="00A45649">
      <w:pPr>
        <w:jc w:val="center"/>
        <w:rPr>
          <w:rStyle w:val="font171"/>
          <w:b/>
          <w:bCs/>
        </w:rPr>
      </w:pPr>
      <w:r>
        <w:rPr>
          <w:rStyle w:val="font171"/>
          <w:b/>
          <w:bCs/>
        </w:rPr>
        <w:t>І. Визначення проблеми</w:t>
      </w:r>
    </w:p>
    <w:p w14:paraId="10AB024C" w14:textId="77777777" w:rsidR="00871221" w:rsidRDefault="00871221" w:rsidP="00A45649"/>
    <w:p w14:paraId="0459E7B0" w14:textId="688AB570" w:rsidR="00040BB4" w:rsidRDefault="00D750DA" w:rsidP="004148FD">
      <w:pPr>
        <w:ind w:firstLine="567"/>
        <w:jc w:val="both"/>
        <w:rPr>
          <w:rFonts w:eastAsiaTheme="minorHAnsi"/>
          <w:sz w:val="28"/>
          <w:szCs w:val="28"/>
          <w:lang w:eastAsia="en-US"/>
        </w:rPr>
      </w:pPr>
      <w:r>
        <w:rPr>
          <w:rFonts w:eastAsiaTheme="minorHAnsi"/>
          <w:sz w:val="28"/>
          <w:szCs w:val="28"/>
          <w:lang w:eastAsia="en-US"/>
        </w:rPr>
        <w:t xml:space="preserve">Згідно з </w:t>
      </w:r>
      <w:r w:rsidR="00040BB4">
        <w:rPr>
          <w:rFonts w:eastAsiaTheme="minorHAnsi"/>
          <w:sz w:val="28"/>
          <w:szCs w:val="28"/>
          <w:lang w:eastAsia="en-US"/>
        </w:rPr>
        <w:t xml:space="preserve">частиною </w:t>
      </w:r>
      <w:r>
        <w:rPr>
          <w:rFonts w:eastAsiaTheme="minorHAnsi"/>
          <w:sz w:val="28"/>
          <w:szCs w:val="28"/>
          <w:lang w:eastAsia="en-US"/>
        </w:rPr>
        <w:t>перш</w:t>
      </w:r>
      <w:r w:rsidR="00040BB4">
        <w:rPr>
          <w:rFonts w:eastAsiaTheme="minorHAnsi"/>
          <w:sz w:val="28"/>
          <w:szCs w:val="28"/>
          <w:lang w:eastAsia="en-US"/>
        </w:rPr>
        <w:t>ою</w:t>
      </w:r>
      <w:r>
        <w:rPr>
          <w:rFonts w:eastAsiaTheme="minorHAnsi"/>
          <w:sz w:val="28"/>
          <w:szCs w:val="28"/>
          <w:lang w:eastAsia="en-US"/>
        </w:rPr>
        <w:t xml:space="preserve"> </w:t>
      </w:r>
      <w:r w:rsidR="00040BB4">
        <w:rPr>
          <w:rFonts w:eastAsiaTheme="minorHAnsi"/>
          <w:sz w:val="28"/>
          <w:szCs w:val="28"/>
          <w:lang w:eastAsia="en-US"/>
        </w:rPr>
        <w:t>с</w:t>
      </w:r>
      <w:r w:rsidR="006B317B">
        <w:rPr>
          <w:rFonts w:eastAsiaTheme="minorHAnsi"/>
          <w:sz w:val="28"/>
          <w:szCs w:val="28"/>
          <w:lang w:eastAsia="en-US"/>
        </w:rPr>
        <w:t>татт</w:t>
      </w:r>
      <w:r w:rsidR="00040BB4">
        <w:rPr>
          <w:rFonts w:eastAsiaTheme="minorHAnsi"/>
          <w:sz w:val="28"/>
          <w:szCs w:val="28"/>
          <w:lang w:eastAsia="en-US"/>
        </w:rPr>
        <w:t>і</w:t>
      </w:r>
      <w:r w:rsidR="006B317B">
        <w:rPr>
          <w:rFonts w:eastAsiaTheme="minorHAnsi"/>
          <w:sz w:val="28"/>
          <w:szCs w:val="28"/>
          <w:lang w:eastAsia="en-US"/>
        </w:rPr>
        <w:t xml:space="preserve"> </w:t>
      </w:r>
      <w:r w:rsidR="00E027C4">
        <w:rPr>
          <w:rFonts w:eastAsiaTheme="minorHAnsi"/>
          <w:sz w:val="28"/>
          <w:szCs w:val="28"/>
          <w:lang w:eastAsia="en-US"/>
        </w:rPr>
        <w:t>2</w:t>
      </w:r>
      <w:r w:rsidR="00C24D6F">
        <w:rPr>
          <w:rFonts w:eastAsiaTheme="minorHAnsi"/>
          <w:sz w:val="28"/>
          <w:szCs w:val="28"/>
          <w:lang w:eastAsia="en-US"/>
        </w:rPr>
        <w:t>8</w:t>
      </w:r>
      <w:r w:rsidR="00E027C4">
        <w:rPr>
          <w:rFonts w:eastAsiaTheme="minorHAnsi"/>
          <w:sz w:val="28"/>
          <w:szCs w:val="28"/>
          <w:lang w:eastAsia="en-US"/>
        </w:rPr>
        <w:t xml:space="preserve">1 </w:t>
      </w:r>
      <w:r w:rsidR="00C24D6F">
        <w:rPr>
          <w:rFonts w:eastAsiaTheme="minorHAnsi"/>
          <w:sz w:val="28"/>
          <w:szCs w:val="28"/>
          <w:lang w:eastAsia="en-US"/>
        </w:rPr>
        <w:t xml:space="preserve">Митного кодексу України </w:t>
      </w:r>
      <w:r w:rsidR="00040BB4">
        <w:rPr>
          <w:rFonts w:eastAsiaTheme="minorHAnsi"/>
          <w:sz w:val="28"/>
          <w:szCs w:val="28"/>
          <w:lang w:eastAsia="en-US"/>
        </w:rPr>
        <w:t>допускається встановлення тарифних квот відповідно до законодавства України та для ввезення товарів, що походять з держав, з якими укладено відповідні міжнародні договори.</w:t>
      </w:r>
    </w:p>
    <w:p w14:paraId="5F498DD8" w14:textId="47AA2BED" w:rsidR="006B317B" w:rsidRDefault="00E027C4" w:rsidP="006B317B">
      <w:pPr>
        <w:ind w:firstLine="567"/>
        <w:jc w:val="both"/>
        <w:rPr>
          <w:rFonts w:eastAsiaTheme="minorHAnsi"/>
          <w:sz w:val="28"/>
          <w:szCs w:val="28"/>
          <w:lang w:eastAsia="en-US"/>
        </w:rPr>
      </w:pPr>
      <w:r>
        <w:rPr>
          <w:rFonts w:eastAsiaTheme="minorHAnsi"/>
          <w:sz w:val="28"/>
          <w:szCs w:val="28"/>
          <w:lang w:eastAsia="en-US"/>
        </w:rPr>
        <w:t xml:space="preserve">Порядок </w:t>
      </w:r>
      <w:r w:rsidR="006B317B" w:rsidRPr="006B317B">
        <w:rPr>
          <w:rFonts w:eastAsiaTheme="minorHAnsi"/>
          <w:sz w:val="28"/>
          <w:szCs w:val="28"/>
          <w:lang w:eastAsia="en-US"/>
        </w:rPr>
        <w:t>контролю за розподілом тарифної квоти</w:t>
      </w:r>
      <w:r w:rsidR="00604CB1">
        <w:rPr>
          <w:rFonts w:eastAsiaTheme="minorHAnsi"/>
          <w:sz w:val="28"/>
          <w:szCs w:val="28"/>
          <w:lang w:eastAsia="en-US"/>
        </w:rPr>
        <w:t xml:space="preserve"> (далі – Порядок)</w:t>
      </w:r>
      <w:r w:rsidR="006B317B">
        <w:rPr>
          <w:rFonts w:eastAsiaTheme="minorHAnsi"/>
          <w:sz w:val="28"/>
          <w:szCs w:val="28"/>
          <w:lang w:eastAsia="en-US"/>
        </w:rPr>
        <w:t xml:space="preserve"> </w:t>
      </w:r>
      <w:r>
        <w:rPr>
          <w:rFonts w:eastAsiaTheme="minorHAnsi"/>
          <w:sz w:val="28"/>
          <w:szCs w:val="28"/>
          <w:lang w:eastAsia="en-US"/>
        </w:rPr>
        <w:t xml:space="preserve">регулюється </w:t>
      </w:r>
      <w:r w:rsidR="006B317B" w:rsidRPr="006B317B">
        <w:rPr>
          <w:rFonts w:eastAsiaTheme="minorHAnsi"/>
          <w:sz w:val="28"/>
          <w:szCs w:val="28"/>
          <w:lang w:eastAsia="en-US"/>
        </w:rPr>
        <w:t>наказом Міністерства фінансів України від 11 грудня 2014 року №</w:t>
      </w:r>
      <w:r w:rsidR="00604CB1">
        <w:rPr>
          <w:rFonts w:eastAsiaTheme="minorHAnsi"/>
          <w:sz w:val="28"/>
          <w:szCs w:val="28"/>
          <w:lang w:eastAsia="en-US"/>
        </w:rPr>
        <w:t> </w:t>
      </w:r>
      <w:r w:rsidR="006B317B" w:rsidRPr="006B317B">
        <w:rPr>
          <w:rFonts w:eastAsiaTheme="minorHAnsi"/>
          <w:sz w:val="28"/>
          <w:szCs w:val="28"/>
          <w:lang w:eastAsia="en-US"/>
        </w:rPr>
        <w:t>1203, зареєстровани</w:t>
      </w:r>
      <w:r w:rsidR="006B317B">
        <w:rPr>
          <w:rFonts w:eastAsiaTheme="minorHAnsi"/>
          <w:sz w:val="28"/>
          <w:szCs w:val="28"/>
          <w:lang w:eastAsia="en-US"/>
        </w:rPr>
        <w:t>м</w:t>
      </w:r>
      <w:r w:rsidR="006B317B" w:rsidRPr="006B317B">
        <w:rPr>
          <w:rFonts w:eastAsiaTheme="minorHAnsi"/>
          <w:sz w:val="28"/>
          <w:szCs w:val="28"/>
          <w:lang w:eastAsia="en-US"/>
        </w:rPr>
        <w:t xml:space="preserve"> в Міністерстві юстиції України 29 грудня 2014 року за №</w:t>
      </w:r>
      <w:r w:rsidR="00604CB1">
        <w:rPr>
          <w:rFonts w:eastAsiaTheme="minorHAnsi"/>
          <w:sz w:val="28"/>
          <w:szCs w:val="28"/>
          <w:lang w:eastAsia="en-US"/>
        </w:rPr>
        <w:t> </w:t>
      </w:r>
      <w:r w:rsidR="006B317B" w:rsidRPr="006B317B">
        <w:rPr>
          <w:rFonts w:eastAsiaTheme="minorHAnsi"/>
          <w:sz w:val="28"/>
          <w:szCs w:val="28"/>
          <w:lang w:eastAsia="en-US"/>
        </w:rPr>
        <w:t>1655/26432</w:t>
      </w:r>
      <w:r w:rsidR="006B317B">
        <w:rPr>
          <w:rFonts w:eastAsiaTheme="minorHAnsi"/>
          <w:sz w:val="28"/>
          <w:szCs w:val="28"/>
          <w:lang w:eastAsia="en-US"/>
        </w:rPr>
        <w:t>.</w:t>
      </w:r>
    </w:p>
    <w:p w14:paraId="365A6393" w14:textId="69AC0D69" w:rsidR="00604CB1" w:rsidRDefault="00604CB1" w:rsidP="006B317B">
      <w:pPr>
        <w:ind w:firstLine="567"/>
        <w:jc w:val="both"/>
        <w:rPr>
          <w:rFonts w:eastAsiaTheme="minorHAnsi"/>
          <w:sz w:val="28"/>
          <w:szCs w:val="28"/>
          <w:lang w:eastAsia="en-US"/>
        </w:rPr>
      </w:pPr>
      <w:r>
        <w:rPr>
          <w:rFonts w:eastAsiaTheme="minorHAnsi"/>
          <w:sz w:val="28"/>
          <w:szCs w:val="28"/>
          <w:lang w:eastAsia="en-US"/>
        </w:rPr>
        <w:t xml:space="preserve">Порядок </w:t>
      </w:r>
      <w:r w:rsidRPr="00604CB1">
        <w:rPr>
          <w:rFonts w:eastAsiaTheme="minorHAnsi"/>
          <w:sz w:val="28"/>
          <w:szCs w:val="28"/>
          <w:lang w:eastAsia="en-US"/>
        </w:rPr>
        <w:t xml:space="preserve">визначає механізм використання тарифних квот </w:t>
      </w:r>
      <w:r w:rsidR="00040BB4">
        <w:rPr>
          <w:rFonts w:eastAsiaTheme="minorHAnsi"/>
          <w:sz w:val="28"/>
          <w:szCs w:val="28"/>
          <w:lang w:eastAsia="en-US"/>
        </w:rPr>
        <w:t>при</w:t>
      </w:r>
      <w:r w:rsidRPr="00604CB1">
        <w:rPr>
          <w:rFonts w:eastAsiaTheme="minorHAnsi"/>
          <w:sz w:val="28"/>
          <w:szCs w:val="28"/>
          <w:lang w:eastAsia="en-US"/>
        </w:rPr>
        <w:t xml:space="preserve"> імпорт</w:t>
      </w:r>
      <w:r w:rsidR="00040BB4">
        <w:rPr>
          <w:rFonts w:eastAsiaTheme="minorHAnsi"/>
          <w:sz w:val="28"/>
          <w:szCs w:val="28"/>
          <w:lang w:eastAsia="en-US"/>
        </w:rPr>
        <w:t>і</w:t>
      </w:r>
      <w:r w:rsidRPr="00604CB1">
        <w:rPr>
          <w:rFonts w:eastAsiaTheme="minorHAnsi"/>
          <w:sz w:val="28"/>
          <w:szCs w:val="28"/>
          <w:lang w:eastAsia="en-US"/>
        </w:rPr>
        <w:t xml:space="preserve"> в Україну товарів</w:t>
      </w:r>
      <w:r>
        <w:rPr>
          <w:rFonts w:eastAsiaTheme="minorHAnsi"/>
          <w:sz w:val="28"/>
          <w:szCs w:val="28"/>
          <w:lang w:eastAsia="en-US"/>
        </w:rPr>
        <w:t xml:space="preserve"> </w:t>
      </w:r>
      <w:r w:rsidRPr="00604CB1">
        <w:rPr>
          <w:rFonts w:eastAsiaTheme="minorHAnsi"/>
          <w:sz w:val="28"/>
          <w:szCs w:val="28"/>
          <w:lang w:eastAsia="en-US"/>
        </w:rPr>
        <w:t>з держав - членів ЄС та з інших країн, якщо це передбачено міжнародними договорами України</w:t>
      </w:r>
      <w:r>
        <w:rPr>
          <w:rFonts w:eastAsiaTheme="minorHAnsi"/>
          <w:sz w:val="28"/>
          <w:szCs w:val="28"/>
          <w:lang w:eastAsia="en-US"/>
        </w:rPr>
        <w:t xml:space="preserve"> </w:t>
      </w:r>
      <w:r w:rsidRPr="00604CB1">
        <w:rPr>
          <w:rFonts w:eastAsiaTheme="minorHAnsi"/>
          <w:sz w:val="28"/>
          <w:szCs w:val="28"/>
          <w:lang w:eastAsia="en-US"/>
        </w:rPr>
        <w:t>про вільну торгівлю з цими країнами</w:t>
      </w:r>
      <w:r>
        <w:rPr>
          <w:rFonts w:eastAsiaTheme="minorHAnsi"/>
          <w:sz w:val="28"/>
          <w:szCs w:val="28"/>
          <w:lang w:eastAsia="en-US"/>
        </w:rPr>
        <w:t>.</w:t>
      </w:r>
    </w:p>
    <w:p w14:paraId="591C5B2F" w14:textId="0FD27E69" w:rsidR="00A77C99" w:rsidRDefault="00E027C4" w:rsidP="00604CB1">
      <w:pPr>
        <w:ind w:firstLine="567"/>
        <w:jc w:val="both"/>
        <w:rPr>
          <w:rFonts w:eastAsiaTheme="minorHAnsi"/>
          <w:sz w:val="28"/>
          <w:szCs w:val="28"/>
          <w:lang w:eastAsia="en-US"/>
        </w:rPr>
      </w:pPr>
      <w:r>
        <w:rPr>
          <w:rFonts w:eastAsiaTheme="minorHAnsi"/>
          <w:sz w:val="28"/>
          <w:szCs w:val="28"/>
          <w:lang w:eastAsia="en-US"/>
        </w:rPr>
        <w:t xml:space="preserve">Однак </w:t>
      </w:r>
      <w:r w:rsidR="00040BB4">
        <w:rPr>
          <w:rFonts w:eastAsiaTheme="minorHAnsi"/>
          <w:sz w:val="28"/>
          <w:szCs w:val="28"/>
          <w:lang w:eastAsia="en-US"/>
        </w:rPr>
        <w:t xml:space="preserve">Порядок </w:t>
      </w:r>
      <w:r>
        <w:rPr>
          <w:rFonts w:eastAsiaTheme="minorHAnsi"/>
          <w:sz w:val="28"/>
          <w:szCs w:val="28"/>
          <w:lang w:eastAsia="en-US"/>
        </w:rPr>
        <w:t>не регулює процедуру адміністрування тарифної квоти при експорті</w:t>
      </w:r>
      <w:r w:rsidR="00A77C99">
        <w:rPr>
          <w:rFonts w:eastAsiaTheme="minorHAnsi"/>
          <w:sz w:val="28"/>
          <w:szCs w:val="28"/>
          <w:lang w:eastAsia="en-US"/>
        </w:rPr>
        <w:t xml:space="preserve"> (остаточному вивезенні)</w:t>
      </w:r>
      <w:r w:rsidR="00604CB1">
        <w:rPr>
          <w:rFonts w:eastAsiaTheme="minorHAnsi"/>
          <w:sz w:val="28"/>
          <w:szCs w:val="28"/>
          <w:lang w:eastAsia="en-US"/>
        </w:rPr>
        <w:t xml:space="preserve"> </w:t>
      </w:r>
      <w:r w:rsidR="00A77C99" w:rsidRPr="00A77C99">
        <w:rPr>
          <w:rFonts w:eastAsiaTheme="minorHAnsi"/>
          <w:sz w:val="28"/>
          <w:szCs w:val="28"/>
          <w:lang w:eastAsia="en-US"/>
        </w:rPr>
        <w:t xml:space="preserve">товарів з України до інших країн світу, з якими Україною </w:t>
      </w:r>
      <w:r w:rsidR="00F641CB">
        <w:rPr>
          <w:rFonts w:eastAsiaTheme="minorHAnsi"/>
          <w:sz w:val="28"/>
          <w:szCs w:val="28"/>
          <w:lang w:eastAsia="en-US"/>
        </w:rPr>
        <w:t>укладе</w:t>
      </w:r>
      <w:r w:rsidR="00A77C99" w:rsidRPr="00A77C99">
        <w:rPr>
          <w:rFonts w:eastAsiaTheme="minorHAnsi"/>
          <w:sz w:val="28"/>
          <w:szCs w:val="28"/>
          <w:lang w:eastAsia="en-US"/>
        </w:rPr>
        <w:t>но міжнародні договори про вільну торгівлю</w:t>
      </w:r>
      <w:r w:rsidR="00A77C99">
        <w:rPr>
          <w:rFonts w:eastAsiaTheme="minorHAnsi"/>
          <w:sz w:val="28"/>
          <w:szCs w:val="28"/>
          <w:lang w:eastAsia="en-US"/>
        </w:rPr>
        <w:t xml:space="preserve">. </w:t>
      </w:r>
    </w:p>
    <w:p w14:paraId="6C1D59E9" w14:textId="5950A31B" w:rsidR="00604CB1" w:rsidRPr="00604CB1" w:rsidRDefault="00604CB1" w:rsidP="00604CB1">
      <w:pPr>
        <w:ind w:firstLine="567"/>
        <w:jc w:val="both"/>
        <w:rPr>
          <w:rFonts w:eastAsiaTheme="minorHAnsi"/>
          <w:sz w:val="28"/>
          <w:szCs w:val="28"/>
          <w:lang w:eastAsia="en-US"/>
        </w:rPr>
      </w:pPr>
      <w:r>
        <w:rPr>
          <w:rFonts w:eastAsiaTheme="minorHAnsi"/>
          <w:sz w:val="28"/>
          <w:szCs w:val="28"/>
          <w:lang w:eastAsia="en-US"/>
        </w:rPr>
        <w:t>Разом з тим, о</w:t>
      </w:r>
      <w:r w:rsidRPr="00604CB1">
        <w:rPr>
          <w:rFonts w:eastAsiaTheme="minorHAnsi"/>
          <w:sz w:val="28"/>
          <w:szCs w:val="28"/>
          <w:lang w:eastAsia="en-US"/>
        </w:rPr>
        <w:t xml:space="preserve">кремими міжнародними договорами про вільну торгівлю за участю України передбачено застосування тарифних квот </w:t>
      </w:r>
      <w:r>
        <w:rPr>
          <w:rFonts w:eastAsiaTheme="minorHAnsi"/>
          <w:sz w:val="28"/>
          <w:szCs w:val="28"/>
          <w:lang w:eastAsia="en-US"/>
        </w:rPr>
        <w:t xml:space="preserve">при експорті товарів </w:t>
      </w:r>
      <w:r w:rsidRPr="00604CB1">
        <w:rPr>
          <w:rFonts w:eastAsiaTheme="minorHAnsi"/>
          <w:sz w:val="28"/>
          <w:szCs w:val="28"/>
          <w:lang w:eastAsia="en-US"/>
        </w:rPr>
        <w:t>в рамках угод.</w:t>
      </w:r>
    </w:p>
    <w:p w14:paraId="59F9F5D0" w14:textId="2D458762" w:rsidR="00604CB1" w:rsidRDefault="00040BB4" w:rsidP="00604CB1">
      <w:pPr>
        <w:ind w:firstLine="567"/>
        <w:jc w:val="both"/>
        <w:rPr>
          <w:rFonts w:eastAsiaTheme="minorHAnsi"/>
          <w:sz w:val="28"/>
          <w:szCs w:val="28"/>
          <w:lang w:eastAsia="en-US"/>
        </w:rPr>
      </w:pPr>
      <w:r>
        <w:rPr>
          <w:rFonts w:eastAsiaTheme="minorHAnsi"/>
          <w:sz w:val="28"/>
          <w:szCs w:val="28"/>
          <w:lang w:eastAsia="en-US"/>
        </w:rPr>
        <w:t>На</w:t>
      </w:r>
      <w:r w:rsidR="008756A3">
        <w:rPr>
          <w:rFonts w:eastAsiaTheme="minorHAnsi"/>
          <w:sz w:val="28"/>
          <w:szCs w:val="28"/>
          <w:lang w:eastAsia="en-US"/>
        </w:rPr>
        <w:t>приклад</w:t>
      </w:r>
      <w:r w:rsidR="00604CB1" w:rsidRPr="00604CB1">
        <w:rPr>
          <w:rFonts w:eastAsiaTheme="minorHAnsi"/>
          <w:sz w:val="28"/>
          <w:szCs w:val="28"/>
          <w:lang w:eastAsia="en-US"/>
        </w:rPr>
        <w:t xml:space="preserve">, </w:t>
      </w:r>
      <w:r w:rsidR="008756A3" w:rsidRPr="00604CB1">
        <w:rPr>
          <w:rFonts w:eastAsiaTheme="minorHAnsi"/>
          <w:sz w:val="28"/>
          <w:szCs w:val="28"/>
          <w:lang w:eastAsia="en-US"/>
        </w:rPr>
        <w:t xml:space="preserve">застосування  тарифних квот при експорті товарів з України до ОАЕ за принципом «перший прийшов </w:t>
      </w:r>
      <w:r w:rsidR="008756A3">
        <w:rPr>
          <w:rFonts w:eastAsiaTheme="minorHAnsi"/>
          <w:sz w:val="28"/>
          <w:szCs w:val="28"/>
          <w:lang w:eastAsia="en-US"/>
        </w:rPr>
        <w:t>–</w:t>
      </w:r>
      <w:r w:rsidR="008756A3" w:rsidRPr="00604CB1">
        <w:rPr>
          <w:rFonts w:eastAsiaTheme="minorHAnsi"/>
          <w:sz w:val="28"/>
          <w:szCs w:val="28"/>
          <w:lang w:eastAsia="en-US"/>
        </w:rPr>
        <w:t xml:space="preserve"> перший обслуговується»</w:t>
      </w:r>
      <w:r w:rsidR="008756A3">
        <w:rPr>
          <w:rFonts w:eastAsiaTheme="minorHAnsi"/>
          <w:sz w:val="28"/>
          <w:szCs w:val="28"/>
          <w:lang w:eastAsia="en-US"/>
        </w:rPr>
        <w:t xml:space="preserve"> передбачено </w:t>
      </w:r>
      <w:r w:rsidR="008756A3" w:rsidRPr="00604CB1">
        <w:rPr>
          <w:rFonts w:eastAsiaTheme="minorHAnsi"/>
          <w:sz w:val="28"/>
          <w:szCs w:val="28"/>
          <w:lang w:eastAsia="en-US"/>
        </w:rPr>
        <w:t>Додатк</w:t>
      </w:r>
      <w:r w:rsidR="008756A3">
        <w:rPr>
          <w:rFonts w:eastAsiaTheme="minorHAnsi"/>
          <w:sz w:val="28"/>
          <w:szCs w:val="28"/>
          <w:lang w:eastAsia="en-US"/>
        </w:rPr>
        <w:t>ом</w:t>
      </w:r>
      <w:r w:rsidR="008756A3" w:rsidRPr="00604CB1">
        <w:rPr>
          <w:rFonts w:eastAsiaTheme="minorHAnsi"/>
          <w:sz w:val="28"/>
          <w:szCs w:val="28"/>
          <w:lang w:eastAsia="en-US"/>
        </w:rPr>
        <w:t xml:space="preserve"> 2С (Вилучення до статті 2.15 «Експортні мита та збори, що мають еквівалентний ефект»</w:t>
      </w:r>
      <w:r w:rsidR="008756A3">
        <w:rPr>
          <w:rFonts w:eastAsiaTheme="minorHAnsi"/>
          <w:sz w:val="28"/>
          <w:szCs w:val="28"/>
          <w:lang w:eastAsia="en-US"/>
        </w:rPr>
        <w:t>)</w:t>
      </w:r>
      <w:r w:rsidR="008756A3" w:rsidRPr="00604CB1">
        <w:rPr>
          <w:rFonts w:eastAsiaTheme="minorHAnsi"/>
          <w:sz w:val="28"/>
          <w:szCs w:val="28"/>
          <w:lang w:eastAsia="en-US"/>
        </w:rPr>
        <w:t xml:space="preserve"> </w:t>
      </w:r>
      <w:r w:rsidR="00604CB1" w:rsidRPr="00604CB1">
        <w:rPr>
          <w:rFonts w:eastAsiaTheme="minorHAnsi"/>
          <w:sz w:val="28"/>
          <w:szCs w:val="28"/>
          <w:lang w:eastAsia="en-US"/>
        </w:rPr>
        <w:t>Угод</w:t>
      </w:r>
      <w:r w:rsidR="008756A3">
        <w:rPr>
          <w:rFonts w:eastAsiaTheme="minorHAnsi"/>
          <w:sz w:val="28"/>
          <w:szCs w:val="28"/>
          <w:lang w:eastAsia="en-US"/>
        </w:rPr>
        <w:t>и</w:t>
      </w:r>
      <w:r w:rsidR="00604CB1" w:rsidRPr="00604CB1">
        <w:rPr>
          <w:rFonts w:eastAsiaTheme="minorHAnsi"/>
          <w:sz w:val="28"/>
          <w:szCs w:val="28"/>
          <w:lang w:eastAsia="en-US"/>
        </w:rPr>
        <w:t xml:space="preserve"> про Всеосяжне економічне партнерство між Урядом України та Урядом</w:t>
      </w:r>
      <w:r w:rsidR="008756A3">
        <w:rPr>
          <w:rFonts w:eastAsiaTheme="minorHAnsi"/>
          <w:sz w:val="28"/>
          <w:szCs w:val="28"/>
          <w:lang w:eastAsia="en-US"/>
        </w:rPr>
        <w:t xml:space="preserve"> Об’єднаних Арабських Еміратів, </w:t>
      </w:r>
      <w:r w:rsidR="00604CB1" w:rsidRPr="00604CB1">
        <w:rPr>
          <w:rFonts w:eastAsiaTheme="minorHAnsi"/>
          <w:sz w:val="28"/>
          <w:szCs w:val="28"/>
          <w:lang w:eastAsia="en-US"/>
        </w:rPr>
        <w:t>ратифікован</w:t>
      </w:r>
      <w:r w:rsidR="008756A3">
        <w:rPr>
          <w:rFonts w:eastAsiaTheme="minorHAnsi"/>
          <w:sz w:val="28"/>
          <w:szCs w:val="28"/>
          <w:lang w:eastAsia="en-US"/>
        </w:rPr>
        <w:t>ої</w:t>
      </w:r>
      <w:r w:rsidR="00604CB1" w:rsidRPr="00604CB1">
        <w:rPr>
          <w:rFonts w:eastAsiaTheme="minorHAnsi"/>
          <w:sz w:val="28"/>
          <w:szCs w:val="28"/>
          <w:lang w:eastAsia="en-US"/>
        </w:rPr>
        <w:t xml:space="preserve"> Законом України  від 26 лютого 2026 року № 4802-ІХ</w:t>
      </w:r>
      <w:r w:rsidR="00AB0F5B">
        <w:rPr>
          <w:rFonts w:eastAsiaTheme="minorHAnsi"/>
          <w:sz w:val="28"/>
          <w:szCs w:val="28"/>
          <w:lang w:eastAsia="en-US"/>
        </w:rPr>
        <w:t xml:space="preserve"> (далі – Угода)</w:t>
      </w:r>
      <w:r w:rsidR="00604CB1" w:rsidRPr="00604CB1">
        <w:rPr>
          <w:rFonts w:eastAsiaTheme="minorHAnsi"/>
          <w:sz w:val="28"/>
          <w:szCs w:val="28"/>
          <w:lang w:eastAsia="en-US"/>
        </w:rPr>
        <w:t>.</w:t>
      </w:r>
    </w:p>
    <w:p w14:paraId="5F4B6AB8" w14:textId="51E9DDB4" w:rsidR="00A02D92" w:rsidRDefault="00A77C99" w:rsidP="007F13FD">
      <w:pPr>
        <w:pStyle w:val="a4"/>
        <w:spacing w:before="0" w:beforeAutospacing="0" w:after="0" w:afterAutospacing="0"/>
        <w:ind w:firstLine="561"/>
        <w:jc w:val="both"/>
        <w:rPr>
          <w:rStyle w:val="font171"/>
        </w:rPr>
      </w:pPr>
      <w:r>
        <w:rPr>
          <w:rFonts w:eastAsiaTheme="minorHAnsi"/>
          <w:sz w:val="28"/>
          <w:szCs w:val="28"/>
          <w:lang w:eastAsia="en-US"/>
        </w:rPr>
        <w:t>Крім того, Порядок не передбачає</w:t>
      </w:r>
      <w:r w:rsidRPr="00A77C99">
        <w:rPr>
          <w:rFonts w:eastAsiaTheme="minorHAnsi"/>
          <w:sz w:val="28"/>
          <w:szCs w:val="28"/>
          <w:lang w:eastAsia="en-US"/>
        </w:rPr>
        <w:t xml:space="preserve"> </w:t>
      </w:r>
      <w:r w:rsidR="00A02D92">
        <w:rPr>
          <w:rFonts w:eastAsiaTheme="minorHAnsi"/>
          <w:sz w:val="28"/>
          <w:szCs w:val="28"/>
          <w:lang w:eastAsia="en-US"/>
        </w:rPr>
        <w:t>можливість</w:t>
      </w:r>
      <w:r w:rsidR="007F13FD">
        <w:rPr>
          <w:rFonts w:eastAsiaTheme="minorHAnsi"/>
          <w:sz w:val="28"/>
          <w:szCs w:val="28"/>
          <w:lang w:val="en-US" w:eastAsia="en-US"/>
        </w:rPr>
        <w:t xml:space="preserve"> </w:t>
      </w:r>
      <w:r w:rsidR="00A02D92">
        <w:rPr>
          <w:sz w:val="28"/>
          <w:szCs w:val="28"/>
        </w:rPr>
        <w:t>зміни статус</w:t>
      </w:r>
      <w:r w:rsidR="00903EB7">
        <w:rPr>
          <w:sz w:val="28"/>
          <w:szCs w:val="28"/>
        </w:rPr>
        <w:t>у</w:t>
      </w:r>
      <w:r w:rsidR="00A02D92">
        <w:rPr>
          <w:sz w:val="28"/>
          <w:szCs w:val="28"/>
        </w:rPr>
        <w:t xml:space="preserve"> використаної тарифної квоти в ПІК «Облік тарифних квот» на невикористану у разі недотримання суб’єктами ЗЕД вимог міжнародних договорів про вільну торгівлю</w:t>
      </w:r>
      <w:r w:rsidR="00903EB7" w:rsidRPr="00903EB7">
        <w:rPr>
          <w:rFonts w:eastAsiaTheme="minorHAnsi"/>
          <w:sz w:val="28"/>
          <w:szCs w:val="28"/>
          <w:lang w:eastAsia="en-US"/>
        </w:rPr>
        <w:t xml:space="preserve"> </w:t>
      </w:r>
      <w:r w:rsidR="00903EB7">
        <w:rPr>
          <w:rFonts w:eastAsiaTheme="minorHAnsi"/>
          <w:sz w:val="28"/>
          <w:szCs w:val="28"/>
          <w:lang w:eastAsia="en-US"/>
        </w:rPr>
        <w:t>(наприклад</w:t>
      </w:r>
      <w:r w:rsidR="00E06D71">
        <w:rPr>
          <w:rFonts w:eastAsiaTheme="minorHAnsi"/>
          <w:sz w:val="28"/>
          <w:szCs w:val="28"/>
          <w:lang w:eastAsia="en-US"/>
        </w:rPr>
        <w:t>,</w:t>
      </w:r>
      <w:r w:rsidR="00903EB7">
        <w:rPr>
          <w:rFonts w:eastAsiaTheme="minorHAnsi"/>
          <w:sz w:val="28"/>
          <w:szCs w:val="28"/>
          <w:lang w:eastAsia="en-US"/>
        </w:rPr>
        <w:t xml:space="preserve"> </w:t>
      </w:r>
      <w:r w:rsidR="00903EB7" w:rsidRPr="00040BB4">
        <w:rPr>
          <w:rFonts w:eastAsiaTheme="minorHAnsi"/>
          <w:sz w:val="28"/>
          <w:szCs w:val="28"/>
          <w:lang w:eastAsia="en-US"/>
        </w:rPr>
        <w:t>у разі отримання від компетентних органів зарубіжних держав інформації про визнання недостовірним документа, що підтверджує статус пр</w:t>
      </w:r>
      <w:r w:rsidR="00903EB7">
        <w:rPr>
          <w:rFonts w:eastAsiaTheme="minorHAnsi"/>
          <w:sz w:val="28"/>
          <w:szCs w:val="28"/>
          <w:lang w:eastAsia="en-US"/>
        </w:rPr>
        <w:t>еференційного походження товару тощо)</w:t>
      </w:r>
      <w:r w:rsidR="00A02D92">
        <w:rPr>
          <w:sz w:val="28"/>
          <w:szCs w:val="28"/>
        </w:rPr>
        <w:t>.</w:t>
      </w:r>
    </w:p>
    <w:p w14:paraId="2526B46D" w14:textId="7C0D3B04" w:rsidR="009A7CC3" w:rsidRDefault="00B91E6A" w:rsidP="009A7CC3">
      <w:pPr>
        <w:widowControl w:val="0"/>
        <w:ind w:firstLine="567"/>
        <w:jc w:val="both"/>
        <w:rPr>
          <w:rStyle w:val="font171"/>
        </w:rPr>
      </w:pPr>
      <w:bookmarkStart w:id="0" w:name="n4"/>
      <w:bookmarkEnd w:id="0"/>
      <w:r w:rsidRPr="00E027C4">
        <w:rPr>
          <w:rStyle w:val="font171"/>
        </w:rPr>
        <w:t xml:space="preserve">Метою </w:t>
      </w:r>
      <w:r w:rsidR="00E23F06" w:rsidRPr="00E027C4">
        <w:rPr>
          <w:rStyle w:val="font171"/>
        </w:rPr>
        <w:t>роз</w:t>
      </w:r>
      <w:r w:rsidR="005352D4" w:rsidRPr="00E027C4">
        <w:rPr>
          <w:rStyle w:val="font171"/>
        </w:rPr>
        <w:t>роблення</w:t>
      </w:r>
      <w:r w:rsidR="005352D4">
        <w:rPr>
          <w:rStyle w:val="font171"/>
        </w:rPr>
        <w:t xml:space="preserve"> </w:t>
      </w:r>
      <w:r w:rsidR="00E20DDE">
        <w:rPr>
          <w:rStyle w:val="font171"/>
        </w:rPr>
        <w:t>проє</w:t>
      </w:r>
      <w:r w:rsidR="007A352A" w:rsidRPr="00A45649">
        <w:rPr>
          <w:rStyle w:val="font171"/>
        </w:rPr>
        <w:t>кту наказу</w:t>
      </w:r>
      <w:r w:rsidR="005352D4" w:rsidRPr="005352D4">
        <w:rPr>
          <w:rFonts w:eastAsiaTheme="minorHAnsi"/>
          <w:b/>
          <w:sz w:val="28"/>
          <w:szCs w:val="28"/>
          <w:lang w:eastAsia="en-US"/>
        </w:rPr>
        <w:t xml:space="preserve"> </w:t>
      </w:r>
      <w:r w:rsidR="005352D4" w:rsidRPr="005352D4">
        <w:rPr>
          <w:rFonts w:eastAsiaTheme="minorHAnsi"/>
          <w:sz w:val="28"/>
          <w:szCs w:val="28"/>
          <w:lang w:eastAsia="en-US"/>
        </w:rPr>
        <w:t xml:space="preserve">Міністерства фінансів </w:t>
      </w:r>
      <w:r w:rsidR="005352D4" w:rsidRPr="003B765C">
        <w:rPr>
          <w:rStyle w:val="font171"/>
        </w:rPr>
        <w:t xml:space="preserve">України </w:t>
      </w:r>
      <w:r w:rsidR="005352D4" w:rsidRPr="009A7CC3">
        <w:rPr>
          <w:rStyle w:val="font171"/>
        </w:rPr>
        <w:t>«</w:t>
      </w:r>
      <w:r w:rsidR="007A4295" w:rsidRPr="007A4295">
        <w:rPr>
          <w:sz w:val="28"/>
          <w:szCs w:val="28"/>
        </w:rPr>
        <w:t>Про внесення змін до наказу Міністерства фінансів України від 11 грудня 2014 року № 1203</w:t>
      </w:r>
      <w:r w:rsidR="003B765C" w:rsidRPr="003B765C">
        <w:rPr>
          <w:rStyle w:val="font171"/>
        </w:rPr>
        <w:t xml:space="preserve">» </w:t>
      </w:r>
      <w:r w:rsidRPr="00A45649">
        <w:rPr>
          <w:rStyle w:val="font171"/>
        </w:rPr>
        <w:t>є</w:t>
      </w:r>
      <w:r w:rsidR="00B676F1" w:rsidRPr="003B765C">
        <w:rPr>
          <w:rStyle w:val="font171"/>
        </w:rPr>
        <w:t xml:space="preserve"> </w:t>
      </w:r>
      <w:bookmarkStart w:id="1" w:name="bookmark15"/>
      <w:bookmarkEnd w:id="1"/>
      <w:r w:rsidR="009A7CC3">
        <w:rPr>
          <w:rStyle w:val="font171"/>
        </w:rPr>
        <w:t>забезпечення реалізації положень</w:t>
      </w:r>
      <w:r w:rsidR="00E021E1">
        <w:rPr>
          <w:rStyle w:val="font171"/>
        </w:rPr>
        <w:t xml:space="preserve"> </w:t>
      </w:r>
      <w:r w:rsidR="00341D74">
        <w:rPr>
          <w:rStyle w:val="font171"/>
        </w:rPr>
        <w:t>Угоди</w:t>
      </w:r>
      <w:r w:rsidR="00E027C4" w:rsidRPr="00E027C4">
        <w:rPr>
          <w:rStyle w:val="font171"/>
        </w:rPr>
        <w:t xml:space="preserve"> в частині використання та адміністрування тарифних квот при експорт</w:t>
      </w:r>
      <w:r w:rsidR="00346EF8">
        <w:rPr>
          <w:rStyle w:val="font171"/>
        </w:rPr>
        <w:t>і</w:t>
      </w:r>
      <w:r w:rsidR="00E027C4" w:rsidRPr="00E027C4">
        <w:rPr>
          <w:rStyle w:val="font171"/>
        </w:rPr>
        <w:t xml:space="preserve"> шляхом здійснення обліку </w:t>
      </w:r>
      <w:r w:rsidR="00341D74">
        <w:rPr>
          <w:rStyle w:val="font171"/>
        </w:rPr>
        <w:t>і</w:t>
      </w:r>
      <w:r w:rsidR="00E027C4" w:rsidRPr="00E027C4">
        <w:rPr>
          <w:rStyle w:val="font171"/>
        </w:rPr>
        <w:t xml:space="preserve"> контролю за розподілом тарифної квоти за допомогою</w:t>
      </w:r>
      <w:r w:rsidR="00346EF8">
        <w:rPr>
          <w:rStyle w:val="font171"/>
        </w:rPr>
        <w:t xml:space="preserve"> ПІК  </w:t>
      </w:r>
      <w:r w:rsidR="00E027C4" w:rsidRPr="00E027C4">
        <w:rPr>
          <w:rStyle w:val="font171"/>
        </w:rPr>
        <w:t>«Облік тарифних квот»</w:t>
      </w:r>
      <w:r w:rsidR="00346EF8">
        <w:rPr>
          <w:rStyle w:val="font171"/>
        </w:rPr>
        <w:t xml:space="preserve"> та вирішення окремих проблемних питань адміністрування тарифних квот, які виникають при імпорті</w:t>
      </w:r>
      <w:r w:rsidR="00320046">
        <w:rPr>
          <w:rStyle w:val="font171"/>
        </w:rPr>
        <w:t>.</w:t>
      </w:r>
    </w:p>
    <w:p w14:paraId="70149B5E" w14:textId="77777777" w:rsidR="00DD68C0" w:rsidRDefault="00DD68C0" w:rsidP="009A7CC3">
      <w:pPr>
        <w:widowControl w:val="0"/>
        <w:ind w:firstLine="567"/>
        <w:jc w:val="both"/>
        <w:rPr>
          <w:rFonts w:eastAsiaTheme="minorHAnsi"/>
          <w:sz w:val="28"/>
          <w:szCs w:val="28"/>
          <w:lang w:eastAsia="en-US"/>
        </w:rPr>
      </w:pPr>
    </w:p>
    <w:p w14:paraId="53E7C222" w14:textId="77777777" w:rsidR="002B1D9E" w:rsidRDefault="002B1D9E" w:rsidP="00A45649">
      <w:pPr>
        <w:ind w:firstLine="567"/>
        <w:rPr>
          <w:rFonts w:eastAsiaTheme="minorHAnsi"/>
          <w:lang w:eastAsia="en-US"/>
        </w:rPr>
      </w:pPr>
      <w:r>
        <w:rPr>
          <w:rStyle w:val="font171"/>
        </w:rPr>
        <w:t>Основні групи (підгрупи), на які проблема справляє вплив:</w:t>
      </w:r>
    </w:p>
    <w:tbl>
      <w:tblPr>
        <w:tblStyle w:val="ad"/>
        <w:tblW w:w="0" w:type="auto"/>
        <w:jc w:val="center"/>
        <w:tblLook w:val="04A0" w:firstRow="1" w:lastRow="0" w:firstColumn="1" w:lastColumn="0" w:noHBand="0" w:noVBand="1"/>
      </w:tblPr>
      <w:tblGrid>
        <w:gridCol w:w="5672"/>
        <w:gridCol w:w="1134"/>
        <w:gridCol w:w="1085"/>
      </w:tblGrid>
      <w:tr w:rsidR="002B1D9E" w:rsidRPr="00691089" w14:paraId="78FEE1FE" w14:textId="77777777" w:rsidTr="005A0374">
        <w:trPr>
          <w:tblHeader/>
          <w:jc w:val="center"/>
        </w:trPr>
        <w:tc>
          <w:tcPr>
            <w:tcW w:w="5672" w:type="dxa"/>
          </w:tcPr>
          <w:p w14:paraId="7D0F8477" w14:textId="77777777" w:rsidR="002B1D9E" w:rsidRPr="00691089" w:rsidRDefault="002B1D9E" w:rsidP="00A45649">
            <w:r w:rsidRPr="00691089">
              <w:rPr>
                <w:rStyle w:val="font141"/>
                <w:sz w:val="24"/>
                <w:szCs w:val="24"/>
              </w:rPr>
              <w:t>Групи (підгрупи)</w:t>
            </w:r>
          </w:p>
        </w:tc>
        <w:tc>
          <w:tcPr>
            <w:tcW w:w="1134" w:type="dxa"/>
            <w:vAlign w:val="center"/>
          </w:tcPr>
          <w:p w14:paraId="5759BB92" w14:textId="77777777" w:rsidR="002B1D9E" w:rsidRPr="00691089" w:rsidRDefault="002B1D9E" w:rsidP="00A45649">
            <w:r w:rsidRPr="00691089">
              <w:rPr>
                <w:rStyle w:val="font141"/>
                <w:sz w:val="24"/>
                <w:szCs w:val="24"/>
              </w:rPr>
              <w:t>Так</w:t>
            </w:r>
          </w:p>
        </w:tc>
        <w:tc>
          <w:tcPr>
            <w:tcW w:w="1085" w:type="dxa"/>
            <w:vAlign w:val="center"/>
          </w:tcPr>
          <w:p w14:paraId="287DB113" w14:textId="77777777" w:rsidR="002B1D9E" w:rsidRPr="00691089" w:rsidRDefault="002B1D9E" w:rsidP="00A45649">
            <w:r w:rsidRPr="00691089">
              <w:rPr>
                <w:rStyle w:val="font141"/>
                <w:sz w:val="24"/>
                <w:szCs w:val="24"/>
              </w:rPr>
              <w:t>Ні</w:t>
            </w:r>
          </w:p>
        </w:tc>
      </w:tr>
      <w:tr w:rsidR="002B1D9E" w:rsidRPr="00691089" w14:paraId="4F00F737" w14:textId="77777777" w:rsidTr="005A0374">
        <w:trPr>
          <w:jc w:val="center"/>
        </w:trPr>
        <w:tc>
          <w:tcPr>
            <w:tcW w:w="5672" w:type="dxa"/>
            <w:vAlign w:val="center"/>
          </w:tcPr>
          <w:p w14:paraId="6530C109" w14:textId="77777777" w:rsidR="002B1D9E" w:rsidRPr="00691089" w:rsidRDefault="002B1D9E" w:rsidP="00A45649">
            <w:r w:rsidRPr="00691089">
              <w:rPr>
                <w:rStyle w:val="font141"/>
                <w:sz w:val="24"/>
                <w:szCs w:val="24"/>
              </w:rPr>
              <w:t>Громадяни</w:t>
            </w:r>
          </w:p>
        </w:tc>
        <w:tc>
          <w:tcPr>
            <w:tcW w:w="1134" w:type="dxa"/>
            <w:vAlign w:val="center"/>
          </w:tcPr>
          <w:p w14:paraId="1A6A688A" w14:textId="77777777" w:rsidR="002B1D9E" w:rsidRPr="00691089" w:rsidRDefault="002B1D9E" w:rsidP="00145120">
            <w:pPr>
              <w:jc w:val="center"/>
            </w:pPr>
          </w:p>
        </w:tc>
        <w:tc>
          <w:tcPr>
            <w:tcW w:w="1085" w:type="dxa"/>
          </w:tcPr>
          <w:p w14:paraId="7F3929AE" w14:textId="77777777" w:rsidR="002B1D9E" w:rsidRPr="00691089" w:rsidRDefault="002B1D9E" w:rsidP="00145120">
            <w:pPr>
              <w:jc w:val="center"/>
            </w:pPr>
            <w:r w:rsidRPr="00691089">
              <w:rPr>
                <w:rStyle w:val="font141"/>
                <w:sz w:val="24"/>
                <w:szCs w:val="24"/>
              </w:rPr>
              <w:t>+</w:t>
            </w:r>
          </w:p>
        </w:tc>
      </w:tr>
      <w:tr w:rsidR="002B1D9E" w:rsidRPr="00691089" w14:paraId="4F965D47" w14:textId="77777777" w:rsidTr="005A0374">
        <w:trPr>
          <w:jc w:val="center"/>
        </w:trPr>
        <w:tc>
          <w:tcPr>
            <w:tcW w:w="5672" w:type="dxa"/>
            <w:vAlign w:val="center"/>
          </w:tcPr>
          <w:p w14:paraId="7318CE52" w14:textId="77777777" w:rsidR="002B1D9E" w:rsidRPr="00691089" w:rsidRDefault="002B1D9E" w:rsidP="00A45649">
            <w:r w:rsidRPr="00691089">
              <w:rPr>
                <w:rStyle w:val="font141"/>
                <w:sz w:val="24"/>
                <w:szCs w:val="24"/>
              </w:rPr>
              <w:t>Держава</w:t>
            </w:r>
          </w:p>
        </w:tc>
        <w:tc>
          <w:tcPr>
            <w:tcW w:w="1134" w:type="dxa"/>
            <w:vAlign w:val="center"/>
          </w:tcPr>
          <w:p w14:paraId="19B01BB9" w14:textId="77777777" w:rsidR="002B1D9E" w:rsidRPr="00691089" w:rsidRDefault="002B1D9E" w:rsidP="00145120">
            <w:pPr>
              <w:jc w:val="center"/>
            </w:pPr>
            <w:r w:rsidRPr="00691089">
              <w:rPr>
                <w:rStyle w:val="font141"/>
                <w:sz w:val="24"/>
                <w:szCs w:val="24"/>
              </w:rPr>
              <w:t>+</w:t>
            </w:r>
          </w:p>
        </w:tc>
        <w:tc>
          <w:tcPr>
            <w:tcW w:w="1085" w:type="dxa"/>
          </w:tcPr>
          <w:p w14:paraId="14244C78" w14:textId="77777777" w:rsidR="002B1D9E" w:rsidRPr="00691089" w:rsidRDefault="007A5280" w:rsidP="00145120">
            <w:pPr>
              <w:jc w:val="center"/>
            </w:pPr>
            <w:r>
              <w:t>-</w:t>
            </w:r>
          </w:p>
        </w:tc>
      </w:tr>
      <w:tr w:rsidR="002B1D9E" w:rsidRPr="00691089" w14:paraId="7828450E" w14:textId="77777777" w:rsidTr="005A0374">
        <w:trPr>
          <w:jc w:val="center"/>
        </w:trPr>
        <w:tc>
          <w:tcPr>
            <w:tcW w:w="5672" w:type="dxa"/>
            <w:vAlign w:val="center"/>
          </w:tcPr>
          <w:p w14:paraId="568543C9" w14:textId="77777777" w:rsidR="002B1D9E" w:rsidRPr="00691089" w:rsidRDefault="002B1D9E" w:rsidP="00A45649">
            <w:r w:rsidRPr="00691089">
              <w:rPr>
                <w:rStyle w:val="font141"/>
                <w:sz w:val="24"/>
                <w:szCs w:val="24"/>
              </w:rPr>
              <w:t>Суб’єкти господарювання,</w:t>
            </w:r>
          </w:p>
        </w:tc>
        <w:tc>
          <w:tcPr>
            <w:tcW w:w="1134" w:type="dxa"/>
            <w:vAlign w:val="center"/>
          </w:tcPr>
          <w:p w14:paraId="51864B70" w14:textId="77777777" w:rsidR="002B1D9E" w:rsidRPr="00691089" w:rsidRDefault="002B1D9E" w:rsidP="00145120">
            <w:pPr>
              <w:jc w:val="center"/>
            </w:pPr>
            <w:r w:rsidRPr="00691089">
              <w:rPr>
                <w:rStyle w:val="font141"/>
                <w:sz w:val="24"/>
                <w:szCs w:val="24"/>
              </w:rPr>
              <w:t>+</w:t>
            </w:r>
          </w:p>
        </w:tc>
        <w:tc>
          <w:tcPr>
            <w:tcW w:w="1085" w:type="dxa"/>
          </w:tcPr>
          <w:p w14:paraId="2808E43A" w14:textId="77777777" w:rsidR="002B1D9E" w:rsidRPr="00691089" w:rsidRDefault="007A5280" w:rsidP="00145120">
            <w:pPr>
              <w:jc w:val="center"/>
            </w:pPr>
            <w:r>
              <w:t>-</w:t>
            </w:r>
          </w:p>
        </w:tc>
      </w:tr>
      <w:tr w:rsidR="002B1D9E" w:rsidRPr="00691089" w14:paraId="209DB583" w14:textId="77777777" w:rsidTr="005A0374">
        <w:trPr>
          <w:jc w:val="center"/>
        </w:trPr>
        <w:tc>
          <w:tcPr>
            <w:tcW w:w="5672" w:type="dxa"/>
            <w:vAlign w:val="center"/>
          </w:tcPr>
          <w:p w14:paraId="3BEE2EEF" w14:textId="77777777" w:rsidR="002B1D9E" w:rsidRPr="009C147F" w:rsidRDefault="002B1D9E" w:rsidP="00A45649">
            <w:r w:rsidRPr="00691089">
              <w:rPr>
                <w:rStyle w:val="font141"/>
                <w:sz w:val="24"/>
                <w:szCs w:val="24"/>
              </w:rPr>
              <w:t>у тому числі суб’єкти малого підприємництва</w:t>
            </w:r>
          </w:p>
        </w:tc>
        <w:tc>
          <w:tcPr>
            <w:tcW w:w="1134" w:type="dxa"/>
            <w:vAlign w:val="center"/>
          </w:tcPr>
          <w:p w14:paraId="3B8B629D" w14:textId="77777777" w:rsidR="002B1D9E" w:rsidRPr="00691089" w:rsidRDefault="002B1D9E" w:rsidP="00145120">
            <w:pPr>
              <w:jc w:val="center"/>
            </w:pPr>
            <w:r w:rsidRPr="00691089">
              <w:rPr>
                <w:rStyle w:val="font141"/>
                <w:sz w:val="24"/>
                <w:szCs w:val="24"/>
              </w:rPr>
              <w:t>+</w:t>
            </w:r>
          </w:p>
        </w:tc>
        <w:tc>
          <w:tcPr>
            <w:tcW w:w="1085" w:type="dxa"/>
          </w:tcPr>
          <w:p w14:paraId="6D52E811" w14:textId="77777777" w:rsidR="002B1D9E" w:rsidRPr="00691089" w:rsidRDefault="007A5280" w:rsidP="00145120">
            <w:pPr>
              <w:jc w:val="center"/>
            </w:pPr>
            <w:r>
              <w:t>-</w:t>
            </w:r>
          </w:p>
        </w:tc>
      </w:tr>
    </w:tbl>
    <w:p w14:paraId="5D491444" w14:textId="77777777" w:rsidR="008264C0" w:rsidRDefault="008264C0" w:rsidP="005352D4">
      <w:pPr>
        <w:ind w:firstLine="567"/>
        <w:jc w:val="both"/>
        <w:rPr>
          <w:rStyle w:val="font171"/>
        </w:rPr>
      </w:pPr>
    </w:p>
    <w:p w14:paraId="579B5EF3" w14:textId="77777777" w:rsidR="00C12599" w:rsidRDefault="00B91E6A" w:rsidP="00A45649">
      <w:pPr>
        <w:ind w:firstLine="567"/>
        <w:jc w:val="both"/>
        <w:rPr>
          <w:rStyle w:val="font171"/>
        </w:rPr>
      </w:pPr>
      <w:r>
        <w:rPr>
          <w:rStyle w:val="font171"/>
        </w:rPr>
        <w:t xml:space="preserve">Врегулювання зазначеного питання не може бути здійснено за допомогою: </w:t>
      </w:r>
    </w:p>
    <w:p w14:paraId="7E967FD8" w14:textId="77777777" w:rsidR="00B91E6A" w:rsidRDefault="00B91E6A" w:rsidP="00A45649">
      <w:pPr>
        <w:ind w:firstLine="567"/>
        <w:jc w:val="both"/>
      </w:pPr>
      <w:r>
        <w:rPr>
          <w:rStyle w:val="font171"/>
        </w:rPr>
        <w:t>ринкових механізмів, оскільки такі питання регулюються виключно нормативно-правовим актом;</w:t>
      </w:r>
    </w:p>
    <w:p w14:paraId="6EB36D10" w14:textId="77777777" w:rsidR="00B91E6A" w:rsidRPr="007C2D85" w:rsidRDefault="00B91E6A" w:rsidP="006E5749">
      <w:pPr>
        <w:ind w:firstLine="567"/>
        <w:jc w:val="both"/>
        <w:rPr>
          <w:rStyle w:val="font171"/>
          <w:lang w:val="ru-RU"/>
        </w:rPr>
      </w:pPr>
      <w:r>
        <w:rPr>
          <w:rStyle w:val="font171"/>
        </w:rPr>
        <w:t>чинного регуляторного акта, оскільки він не дає змоги усунути зазначені проблеми.</w:t>
      </w:r>
    </w:p>
    <w:p w14:paraId="6196A14D" w14:textId="508389F9" w:rsidR="00D750DA" w:rsidRPr="00D750DA" w:rsidRDefault="00E83604" w:rsidP="006E5749">
      <w:pPr>
        <w:ind w:firstLine="567"/>
        <w:jc w:val="both"/>
        <w:rPr>
          <w:rStyle w:val="font171"/>
        </w:rPr>
      </w:pPr>
      <w:r w:rsidRPr="00D750DA">
        <w:rPr>
          <w:rStyle w:val="font171"/>
        </w:rPr>
        <w:t>На сьогодні</w:t>
      </w:r>
      <w:r w:rsidR="007C2D85" w:rsidRPr="00D750DA">
        <w:rPr>
          <w:rStyle w:val="font171"/>
        </w:rPr>
        <w:t xml:space="preserve"> нормативно-правов</w:t>
      </w:r>
      <w:r w:rsidR="00107BA7">
        <w:rPr>
          <w:rStyle w:val="font171"/>
        </w:rPr>
        <w:t>ий</w:t>
      </w:r>
      <w:r w:rsidR="007C2D85" w:rsidRPr="00D750DA">
        <w:rPr>
          <w:rStyle w:val="font171"/>
        </w:rPr>
        <w:t xml:space="preserve"> акт</w:t>
      </w:r>
      <w:r w:rsidR="00107BA7">
        <w:rPr>
          <w:rStyle w:val="font171"/>
        </w:rPr>
        <w:t>, який регулює</w:t>
      </w:r>
      <w:r w:rsidR="007C2D85" w:rsidRPr="00D750DA">
        <w:rPr>
          <w:rStyle w:val="font171"/>
        </w:rPr>
        <w:t xml:space="preserve"> </w:t>
      </w:r>
      <w:r w:rsidR="00D750DA" w:rsidRPr="00D750DA">
        <w:rPr>
          <w:rStyle w:val="font171"/>
        </w:rPr>
        <w:t>адміністрування тарифних квот</w:t>
      </w:r>
      <w:r w:rsidR="00107BA7">
        <w:rPr>
          <w:rStyle w:val="font171"/>
        </w:rPr>
        <w:t>,</w:t>
      </w:r>
      <w:r w:rsidR="00D750DA" w:rsidRPr="00D750DA">
        <w:rPr>
          <w:rStyle w:val="font171"/>
        </w:rPr>
        <w:t xml:space="preserve"> не врахову</w:t>
      </w:r>
      <w:r w:rsidR="00107BA7">
        <w:rPr>
          <w:rStyle w:val="font171"/>
        </w:rPr>
        <w:t>є</w:t>
      </w:r>
      <w:r w:rsidR="00D750DA" w:rsidRPr="00D750DA">
        <w:rPr>
          <w:rStyle w:val="font171"/>
        </w:rPr>
        <w:t xml:space="preserve"> положення окремих міжнародних договорів </w:t>
      </w:r>
      <w:r w:rsidR="00320046">
        <w:rPr>
          <w:rStyle w:val="font171"/>
        </w:rPr>
        <w:t xml:space="preserve">України </w:t>
      </w:r>
      <w:r w:rsidR="00D750DA" w:rsidRPr="00D750DA">
        <w:rPr>
          <w:rStyle w:val="font171"/>
        </w:rPr>
        <w:t>про віль</w:t>
      </w:r>
      <w:r w:rsidR="00320046">
        <w:rPr>
          <w:rStyle w:val="font171"/>
        </w:rPr>
        <w:t>н</w:t>
      </w:r>
      <w:r w:rsidR="00D750DA" w:rsidRPr="00D750DA">
        <w:rPr>
          <w:rStyle w:val="font171"/>
        </w:rPr>
        <w:t>у торгівлю</w:t>
      </w:r>
      <w:r w:rsidR="00565825">
        <w:rPr>
          <w:rStyle w:val="font171"/>
        </w:rPr>
        <w:t xml:space="preserve"> в частині отримання тарифної квоти при експорті з України до інших країн світу</w:t>
      </w:r>
      <w:r w:rsidR="00D750DA" w:rsidRPr="00D750DA">
        <w:rPr>
          <w:rStyle w:val="font171"/>
        </w:rPr>
        <w:t>.</w:t>
      </w:r>
    </w:p>
    <w:p w14:paraId="6D319910" w14:textId="77777777" w:rsidR="00A45649" w:rsidRDefault="00A45649" w:rsidP="00A45649">
      <w:pPr>
        <w:ind w:firstLine="567"/>
      </w:pPr>
    </w:p>
    <w:p w14:paraId="22C9DC25" w14:textId="77777777" w:rsidR="00B91E6A" w:rsidRDefault="00B91E6A" w:rsidP="00A45649">
      <w:pPr>
        <w:ind w:firstLine="567"/>
        <w:rPr>
          <w:rStyle w:val="font171"/>
          <w:b/>
          <w:bCs/>
        </w:rPr>
      </w:pPr>
      <w:bookmarkStart w:id="2" w:name="bookmark14"/>
      <w:bookmarkEnd w:id="2"/>
      <w:r>
        <w:rPr>
          <w:rStyle w:val="font171"/>
          <w:b/>
          <w:bCs/>
        </w:rPr>
        <w:t>II. Цілі державного регулювання</w:t>
      </w:r>
    </w:p>
    <w:p w14:paraId="6AB5017D" w14:textId="77777777" w:rsidR="00DD68C0" w:rsidRDefault="00DD68C0" w:rsidP="006D6000">
      <w:pPr>
        <w:ind w:firstLine="567"/>
        <w:jc w:val="both"/>
        <w:rPr>
          <w:rStyle w:val="font171"/>
        </w:rPr>
      </w:pPr>
    </w:p>
    <w:p w14:paraId="27690BEF" w14:textId="2169963A" w:rsidR="00027DF6" w:rsidRPr="00027DF6" w:rsidRDefault="00027DF6" w:rsidP="006D6000">
      <w:pPr>
        <w:ind w:firstLine="567"/>
        <w:jc w:val="both"/>
        <w:rPr>
          <w:rStyle w:val="font171"/>
          <w:lang w:val="ru-RU"/>
        </w:rPr>
      </w:pPr>
      <w:r>
        <w:rPr>
          <w:rStyle w:val="font171"/>
        </w:rPr>
        <w:t>Цілями державного регулювання у цій сфері є</w:t>
      </w:r>
      <w:r w:rsidRPr="00027DF6">
        <w:rPr>
          <w:rStyle w:val="font171"/>
          <w:lang w:val="ru-RU"/>
        </w:rPr>
        <w:t>:</w:t>
      </w:r>
    </w:p>
    <w:p w14:paraId="03FB9908" w14:textId="43C302E7" w:rsidR="004D4A87" w:rsidRPr="00320046" w:rsidRDefault="006D6000" w:rsidP="004D4A87">
      <w:pPr>
        <w:tabs>
          <w:tab w:val="left" w:pos="0"/>
        </w:tabs>
        <w:ind w:firstLine="567"/>
        <w:jc w:val="both"/>
        <w:rPr>
          <w:sz w:val="28"/>
          <w:szCs w:val="28"/>
        </w:rPr>
      </w:pPr>
      <w:r w:rsidRPr="00320046">
        <w:rPr>
          <w:sz w:val="28"/>
          <w:szCs w:val="28"/>
        </w:rPr>
        <w:t>реалізація положень</w:t>
      </w:r>
      <w:r w:rsidR="004D4A87" w:rsidRPr="00320046">
        <w:rPr>
          <w:sz w:val="28"/>
          <w:szCs w:val="28"/>
        </w:rPr>
        <w:t xml:space="preserve"> </w:t>
      </w:r>
      <w:r w:rsidR="00341D74">
        <w:rPr>
          <w:sz w:val="28"/>
          <w:szCs w:val="28"/>
        </w:rPr>
        <w:t>Угоди</w:t>
      </w:r>
      <w:r w:rsidR="004D4A87" w:rsidRPr="00320046">
        <w:rPr>
          <w:sz w:val="28"/>
          <w:szCs w:val="28"/>
        </w:rPr>
        <w:t xml:space="preserve"> шляхом </w:t>
      </w:r>
      <w:r w:rsidR="00F017AB" w:rsidRPr="00320046">
        <w:rPr>
          <w:sz w:val="28"/>
          <w:szCs w:val="28"/>
        </w:rPr>
        <w:t xml:space="preserve">внесення </w:t>
      </w:r>
      <w:r w:rsidR="004D4A87" w:rsidRPr="00320046">
        <w:rPr>
          <w:sz w:val="28"/>
          <w:szCs w:val="28"/>
        </w:rPr>
        <w:t>змін до</w:t>
      </w:r>
      <w:r w:rsidR="004D4A87" w:rsidRPr="004D4A87">
        <w:rPr>
          <w:sz w:val="28"/>
          <w:szCs w:val="28"/>
        </w:rPr>
        <w:t xml:space="preserve"> </w:t>
      </w:r>
      <w:r w:rsidR="004D4A87">
        <w:rPr>
          <w:sz w:val="28"/>
          <w:szCs w:val="28"/>
        </w:rPr>
        <w:t>нормативно-правов</w:t>
      </w:r>
      <w:r w:rsidR="007650CF">
        <w:rPr>
          <w:sz w:val="28"/>
          <w:szCs w:val="28"/>
        </w:rPr>
        <w:t>ого</w:t>
      </w:r>
      <w:r w:rsidR="004D4A87">
        <w:rPr>
          <w:sz w:val="28"/>
          <w:szCs w:val="28"/>
        </w:rPr>
        <w:t xml:space="preserve"> акт</w:t>
      </w:r>
      <w:r w:rsidR="007650CF">
        <w:rPr>
          <w:sz w:val="28"/>
          <w:szCs w:val="28"/>
        </w:rPr>
        <w:t>у</w:t>
      </w:r>
      <w:r w:rsidR="004D4A87">
        <w:rPr>
          <w:sz w:val="28"/>
          <w:szCs w:val="28"/>
        </w:rPr>
        <w:t xml:space="preserve"> </w:t>
      </w:r>
      <w:r w:rsidR="004D4A87" w:rsidRPr="004D4A87">
        <w:rPr>
          <w:sz w:val="28"/>
          <w:szCs w:val="28"/>
        </w:rPr>
        <w:t xml:space="preserve">з питань </w:t>
      </w:r>
      <w:r w:rsidR="00320046">
        <w:rPr>
          <w:sz w:val="28"/>
          <w:szCs w:val="28"/>
        </w:rPr>
        <w:t>адміністрування тарифних квот</w:t>
      </w:r>
      <w:r w:rsidR="004D4A87" w:rsidRPr="00320046">
        <w:rPr>
          <w:sz w:val="28"/>
          <w:szCs w:val="28"/>
        </w:rPr>
        <w:t>;</w:t>
      </w:r>
    </w:p>
    <w:p w14:paraId="32D0DD13" w14:textId="785E1B48" w:rsidR="007650CF" w:rsidRPr="007650CF" w:rsidRDefault="007650CF" w:rsidP="007650CF">
      <w:pPr>
        <w:ind w:firstLine="567"/>
        <w:jc w:val="both"/>
        <w:rPr>
          <w:rStyle w:val="font171"/>
          <w:bCs/>
        </w:rPr>
      </w:pPr>
      <w:r>
        <w:rPr>
          <w:rFonts w:eastAsiaTheme="minorHAnsi"/>
          <w:sz w:val="28"/>
          <w:szCs w:val="28"/>
          <w:lang w:eastAsia="en-US"/>
        </w:rPr>
        <w:t xml:space="preserve">доповнення Порядку процедурою </w:t>
      </w:r>
      <w:proofErr w:type="spellStart"/>
      <w:r w:rsidRPr="007650CF">
        <w:rPr>
          <w:rStyle w:val="font171"/>
          <w:bCs/>
          <w:lang w:val="ru-RU"/>
        </w:rPr>
        <w:t>адміністрування</w:t>
      </w:r>
      <w:proofErr w:type="spellEnd"/>
      <w:r w:rsidRPr="007650CF">
        <w:rPr>
          <w:rStyle w:val="font171"/>
          <w:bCs/>
          <w:lang w:val="ru-RU"/>
        </w:rPr>
        <w:t xml:space="preserve"> </w:t>
      </w:r>
      <w:proofErr w:type="spellStart"/>
      <w:r w:rsidRPr="007650CF">
        <w:rPr>
          <w:rStyle w:val="font171"/>
          <w:bCs/>
          <w:lang w:val="ru-RU"/>
        </w:rPr>
        <w:t>тарифних</w:t>
      </w:r>
      <w:proofErr w:type="spellEnd"/>
      <w:r w:rsidRPr="007650CF">
        <w:rPr>
          <w:rStyle w:val="font171"/>
          <w:bCs/>
          <w:lang w:val="ru-RU"/>
        </w:rPr>
        <w:t xml:space="preserve"> квот при </w:t>
      </w:r>
      <w:r w:rsidRPr="007650CF">
        <w:rPr>
          <w:rStyle w:val="font171"/>
          <w:bCs/>
        </w:rPr>
        <w:t xml:space="preserve">експорті (остаточному вивезенні) товарів з України до інших країн світу, з якими Україною </w:t>
      </w:r>
      <w:r w:rsidR="00893BE6">
        <w:rPr>
          <w:rStyle w:val="font171"/>
          <w:bCs/>
        </w:rPr>
        <w:t>укладе</w:t>
      </w:r>
      <w:r w:rsidRPr="007650CF">
        <w:rPr>
          <w:rStyle w:val="font171"/>
          <w:bCs/>
        </w:rPr>
        <w:t>но міжнародні договори про вільну торгівлю</w:t>
      </w:r>
      <w:r w:rsidR="007B30A2">
        <w:rPr>
          <w:rStyle w:val="font171"/>
          <w:bCs/>
        </w:rPr>
        <w:t xml:space="preserve"> в установленому законом порядку</w:t>
      </w:r>
      <w:r w:rsidRPr="007650CF">
        <w:rPr>
          <w:rStyle w:val="font171"/>
          <w:bCs/>
        </w:rPr>
        <w:t>;</w:t>
      </w:r>
    </w:p>
    <w:p w14:paraId="3BFEE7D6" w14:textId="6C6705AE" w:rsidR="007650CF" w:rsidRPr="007650CF" w:rsidRDefault="005D057E" w:rsidP="007650CF">
      <w:pPr>
        <w:ind w:firstLine="567"/>
        <w:jc w:val="both"/>
        <w:rPr>
          <w:rStyle w:val="font171"/>
          <w:bCs/>
        </w:rPr>
      </w:pPr>
      <w:r>
        <w:rPr>
          <w:rStyle w:val="font171"/>
          <w:bCs/>
        </w:rPr>
        <w:t xml:space="preserve">нормативно-правове врегулювання таких питань як </w:t>
      </w:r>
      <w:r w:rsidR="002665FF">
        <w:rPr>
          <w:rStyle w:val="font171"/>
          <w:bCs/>
        </w:rPr>
        <w:t xml:space="preserve">зміна статусу </w:t>
      </w:r>
      <w:r w:rsidR="00FA7F99">
        <w:rPr>
          <w:rStyle w:val="font171"/>
          <w:bCs/>
        </w:rPr>
        <w:t>використано</w:t>
      </w:r>
      <w:r w:rsidR="007650CF" w:rsidRPr="007650CF">
        <w:rPr>
          <w:rStyle w:val="font171"/>
          <w:bCs/>
        </w:rPr>
        <w:t xml:space="preserve">ї </w:t>
      </w:r>
      <w:r w:rsidR="002665FF" w:rsidRPr="002665FF">
        <w:rPr>
          <w:rStyle w:val="font171"/>
          <w:bCs/>
        </w:rPr>
        <w:t xml:space="preserve">тарифна </w:t>
      </w:r>
      <w:r w:rsidR="007650CF" w:rsidRPr="007650CF">
        <w:rPr>
          <w:rStyle w:val="font171"/>
          <w:bCs/>
        </w:rPr>
        <w:t xml:space="preserve">квоти </w:t>
      </w:r>
      <w:r w:rsidR="002665FF" w:rsidRPr="002665FF">
        <w:rPr>
          <w:rStyle w:val="font171"/>
          <w:bCs/>
        </w:rPr>
        <w:t>на невикористану в ПІК «Облік тарифних квот»</w:t>
      </w:r>
      <w:r w:rsidR="002665FF">
        <w:rPr>
          <w:rStyle w:val="font171"/>
          <w:bCs/>
        </w:rPr>
        <w:t xml:space="preserve"> </w:t>
      </w:r>
      <w:r w:rsidR="007650CF" w:rsidRPr="007650CF">
        <w:rPr>
          <w:rStyle w:val="font171"/>
          <w:bCs/>
        </w:rPr>
        <w:t xml:space="preserve">у разі </w:t>
      </w:r>
      <w:r w:rsidR="007B30A2">
        <w:rPr>
          <w:sz w:val="28"/>
          <w:szCs w:val="28"/>
        </w:rPr>
        <w:t>недотримання суб’єктами ЗЕД вимог міжнародних договорів про вільну торгівлю</w:t>
      </w:r>
      <w:r w:rsidR="007650CF" w:rsidRPr="007650CF">
        <w:rPr>
          <w:rStyle w:val="font171"/>
          <w:bCs/>
        </w:rPr>
        <w:t>.</w:t>
      </w:r>
    </w:p>
    <w:p w14:paraId="11EEFF26" w14:textId="77777777" w:rsidR="00C92BBC" w:rsidRDefault="00C92BBC" w:rsidP="00F906CB">
      <w:pPr>
        <w:ind w:firstLine="567"/>
        <w:rPr>
          <w:rStyle w:val="font171"/>
          <w:b/>
          <w:bCs/>
          <w:lang w:val="ru-RU"/>
        </w:rPr>
      </w:pPr>
    </w:p>
    <w:p w14:paraId="6A96F76D" w14:textId="77777777" w:rsidR="00B91E6A" w:rsidRDefault="00B91E6A" w:rsidP="00F906CB">
      <w:pPr>
        <w:ind w:firstLine="567"/>
        <w:rPr>
          <w:rStyle w:val="font171"/>
          <w:b/>
          <w:bCs/>
        </w:rPr>
      </w:pPr>
      <w:r>
        <w:rPr>
          <w:rStyle w:val="font171"/>
          <w:b/>
          <w:bCs/>
        </w:rPr>
        <w:t>III. Визначення та оцінка альтернативних способів досягнення цілей</w:t>
      </w:r>
    </w:p>
    <w:p w14:paraId="3C9F0350" w14:textId="77777777" w:rsidR="00F906CB" w:rsidRDefault="00F906CB" w:rsidP="00F906CB">
      <w:pPr>
        <w:ind w:firstLine="567"/>
        <w:rPr>
          <w:rStyle w:val="font171"/>
          <w:bCs/>
        </w:rPr>
      </w:pPr>
    </w:p>
    <w:p w14:paraId="3B4EF16C" w14:textId="2D76AFAA" w:rsidR="00441950" w:rsidRDefault="00441950" w:rsidP="00F906CB">
      <w:pPr>
        <w:ind w:firstLine="567"/>
        <w:rPr>
          <w:rStyle w:val="font171"/>
        </w:rPr>
      </w:pPr>
      <w:r w:rsidRPr="00817C30">
        <w:rPr>
          <w:rStyle w:val="font171"/>
          <w:bCs/>
        </w:rPr>
        <w:t xml:space="preserve">1. </w:t>
      </w:r>
      <w:r w:rsidR="001C0D1D">
        <w:rPr>
          <w:rStyle w:val="font171"/>
        </w:rPr>
        <w:t>Визначення альтернативних способів</w:t>
      </w:r>
    </w:p>
    <w:tbl>
      <w:tblPr>
        <w:tblStyle w:val="ad"/>
        <w:tblW w:w="9498" w:type="dxa"/>
        <w:tblInd w:w="108" w:type="dxa"/>
        <w:tblLook w:val="04A0" w:firstRow="1" w:lastRow="0" w:firstColumn="1" w:lastColumn="0" w:noHBand="0" w:noVBand="1"/>
      </w:tblPr>
      <w:tblGrid>
        <w:gridCol w:w="2552"/>
        <w:gridCol w:w="6946"/>
      </w:tblGrid>
      <w:tr w:rsidR="00441950" w:rsidRPr="00530467" w14:paraId="5D6403B4" w14:textId="77777777" w:rsidTr="005352D4">
        <w:tc>
          <w:tcPr>
            <w:tcW w:w="2552" w:type="dxa"/>
            <w:vAlign w:val="center"/>
          </w:tcPr>
          <w:p w14:paraId="6DB7531B" w14:textId="77777777" w:rsidR="00441950" w:rsidRPr="00530467" w:rsidRDefault="00441950" w:rsidP="00F906CB">
            <w:pPr>
              <w:jc w:val="center"/>
            </w:pPr>
            <w:r w:rsidRPr="00530467">
              <w:rPr>
                <w:rStyle w:val="font141"/>
                <w:b/>
                <w:sz w:val="24"/>
                <w:szCs w:val="24"/>
              </w:rPr>
              <w:t>Вид альтернативи</w:t>
            </w:r>
          </w:p>
        </w:tc>
        <w:tc>
          <w:tcPr>
            <w:tcW w:w="6946" w:type="dxa"/>
            <w:vAlign w:val="center"/>
          </w:tcPr>
          <w:p w14:paraId="2CFC12A5" w14:textId="77777777" w:rsidR="00441950" w:rsidRPr="00530467" w:rsidRDefault="00441950" w:rsidP="00F906CB">
            <w:pPr>
              <w:jc w:val="center"/>
            </w:pPr>
            <w:r w:rsidRPr="00530467">
              <w:rPr>
                <w:rStyle w:val="font141"/>
                <w:b/>
                <w:sz w:val="24"/>
                <w:szCs w:val="24"/>
              </w:rPr>
              <w:t>Опис альтернативи</w:t>
            </w:r>
          </w:p>
        </w:tc>
      </w:tr>
      <w:tr w:rsidR="00441950" w:rsidRPr="00530467" w14:paraId="508109F1" w14:textId="77777777" w:rsidTr="005352D4">
        <w:tc>
          <w:tcPr>
            <w:tcW w:w="2552" w:type="dxa"/>
            <w:vAlign w:val="center"/>
          </w:tcPr>
          <w:p w14:paraId="1DA4FD53" w14:textId="77777777" w:rsidR="00441950" w:rsidRPr="00530467" w:rsidRDefault="00441950" w:rsidP="005352D4">
            <w:pPr>
              <w:jc w:val="center"/>
              <w:rPr>
                <w:rStyle w:val="font141"/>
                <w:sz w:val="24"/>
                <w:szCs w:val="24"/>
              </w:rPr>
            </w:pPr>
            <w:r w:rsidRPr="00530467">
              <w:rPr>
                <w:rStyle w:val="font141"/>
                <w:sz w:val="24"/>
                <w:szCs w:val="24"/>
              </w:rPr>
              <w:t>Альтернатива 1</w:t>
            </w:r>
          </w:p>
          <w:p w14:paraId="60EF0055" w14:textId="3FAF4491" w:rsidR="00E86E8E" w:rsidRPr="00530467" w:rsidRDefault="00E86E8E" w:rsidP="005352D4">
            <w:pPr>
              <w:jc w:val="center"/>
              <w:rPr>
                <w:rStyle w:val="font141"/>
                <w:sz w:val="24"/>
                <w:szCs w:val="24"/>
              </w:rPr>
            </w:pPr>
            <w:r w:rsidRPr="00530467">
              <w:rPr>
                <w:rStyle w:val="font141"/>
                <w:sz w:val="24"/>
                <w:szCs w:val="24"/>
              </w:rPr>
              <w:t>Збереження ситуації, яка існує на цей час</w:t>
            </w:r>
          </w:p>
        </w:tc>
        <w:tc>
          <w:tcPr>
            <w:tcW w:w="6946" w:type="dxa"/>
            <w:vAlign w:val="center"/>
          </w:tcPr>
          <w:p w14:paraId="513C564F" w14:textId="00ED6F54" w:rsidR="003E5062" w:rsidRPr="00530467" w:rsidRDefault="00777361" w:rsidP="00777361">
            <w:pPr>
              <w:jc w:val="both"/>
              <w:rPr>
                <w:rStyle w:val="font141"/>
                <w:sz w:val="24"/>
                <w:szCs w:val="24"/>
              </w:rPr>
            </w:pPr>
            <w:r w:rsidRPr="00530467">
              <w:rPr>
                <w:rStyle w:val="font141"/>
                <w:sz w:val="24"/>
                <w:szCs w:val="24"/>
              </w:rPr>
              <w:t>Відсутні</w:t>
            </w:r>
            <w:r w:rsidR="003E5062" w:rsidRPr="00530467">
              <w:rPr>
                <w:rStyle w:val="font141"/>
                <w:sz w:val="24"/>
                <w:szCs w:val="24"/>
              </w:rPr>
              <w:t xml:space="preserve">сть регулювання в частині адміністрування тарифних квот при експорті (остаточному вивезенні) товарів з України до інших країн світу, з якими Україною </w:t>
            </w:r>
            <w:r w:rsidR="00B97866" w:rsidRPr="00530467">
              <w:rPr>
                <w:rStyle w:val="font141"/>
                <w:sz w:val="24"/>
                <w:szCs w:val="24"/>
              </w:rPr>
              <w:t>укладено</w:t>
            </w:r>
            <w:r w:rsidR="003E5062" w:rsidRPr="00530467">
              <w:rPr>
                <w:rStyle w:val="font141"/>
                <w:sz w:val="24"/>
                <w:szCs w:val="24"/>
              </w:rPr>
              <w:t xml:space="preserve"> міжнародні договори про вільну торгівлю</w:t>
            </w:r>
            <w:r w:rsidRPr="00530467">
              <w:rPr>
                <w:rStyle w:val="font141"/>
                <w:sz w:val="24"/>
                <w:szCs w:val="24"/>
              </w:rPr>
              <w:t xml:space="preserve">. </w:t>
            </w:r>
            <w:r w:rsidR="00E86E8E" w:rsidRPr="00530467">
              <w:rPr>
                <w:rStyle w:val="font141"/>
                <w:sz w:val="24"/>
                <w:szCs w:val="24"/>
              </w:rPr>
              <w:t>Оскільки чинні положення нормативно-правового акта не враховують положення чинних міжнародних договорів України про вільну торгівлю, у разі залишення діючого регулювання без змін проблема залишається невирішеною</w:t>
            </w:r>
            <w:r w:rsidR="00B97866" w:rsidRPr="00530467">
              <w:rPr>
                <w:rStyle w:val="font141"/>
                <w:sz w:val="24"/>
                <w:szCs w:val="24"/>
              </w:rPr>
              <w:t>.</w:t>
            </w:r>
          </w:p>
          <w:p w14:paraId="3DE09F37" w14:textId="1E742D66" w:rsidR="00E86E8E" w:rsidRPr="00530467" w:rsidRDefault="00E86E8E" w:rsidP="00777361">
            <w:pPr>
              <w:jc w:val="both"/>
              <w:rPr>
                <w:rStyle w:val="font141"/>
                <w:sz w:val="24"/>
                <w:szCs w:val="24"/>
              </w:rPr>
            </w:pPr>
            <w:r w:rsidRPr="00530467">
              <w:rPr>
                <w:rStyle w:val="font141"/>
                <w:sz w:val="24"/>
                <w:szCs w:val="24"/>
              </w:rPr>
              <w:lastRenderedPageBreak/>
              <w:t xml:space="preserve">Відсутнє врегулювання питання </w:t>
            </w:r>
            <w:r w:rsidR="002665FF" w:rsidRPr="00530467">
              <w:rPr>
                <w:rStyle w:val="font141"/>
                <w:sz w:val="24"/>
                <w:szCs w:val="24"/>
              </w:rPr>
              <w:t>зміни статусу</w:t>
            </w:r>
            <w:r w:rsidRPr="00530467">
              <w:rPr>
                <w:rStyle w:val="font141"/>
                <w:sz w:val="24"/>
                <w:szCs w:val="24"/>
              </w:rPr>
              <w:t xml:space="preserve"> </w:t>
            </w:r>
            <w:r w:rsidR="00936487" w:rsidRPr="00530467">
              <w:rPr>
                <w:rStyle w:val="font141"/>
                <w:sz w:val="24"/>
                <w:szCs w:val="24"/>
              </w:rPr>
              <w:t xml:space="preserve">використаної </w:t>
            </w:r>
            <w:r w:rsidRPr="00530467">
              <w:rPr>
                <w:rStyle w:val="font141"/>
                <w:sz w:val="24"/>
                <w:szCs w:val="24"/>
              </w:rPr>
              <w:t>тарифної квоти</w:t>
            </w:r>
            <w:r w:rsidR="002665FF" w:rsidRPr="00530467">
              <w:t xml:space="preserve"> </w:t>
            </w:r>
            <w:r w:rsidR="002665FF" w:rsidRPr="00530467">
              <w:rPr>
                <w:rStyle w:val="font141"/>
                <w:sz w:val="24"/>
                <w:szCs w:val="24"/>
              </w:rPr>
              <w:t xml:space="preserve">на невикористану в ПІК «Облік тарифних квот» </w:t>
            </w:r>
            <w:r w:rsidRPr="00530467">
              <w:rPr>
                <w:rStyle w:val="font141"/>
                <w:sz w:val="24"/>
                <w:szCs w:val="24"/>
              </w:rPr>
              <w:t xml:space="preserve"> у разі </w:t>
            </w:r>
            <w:r w:rsidR="00985078" w:rsidRPr="00530467">
              <w:t>недотримання суб’єктами ЗЕД вимог міжнародних договорів про вільну торгівлю</w:t>
            </w:r>
            <w:r w:rsidRPr="00530467">
              <w:rPr>
                <w:rStyle w:val="font141"/>
                <w:sz w:val="24"/>
                <w:szCs w:val="24"/>
              </w:rPr>
              <w:t>.</w:t>
            </w:r>
          </w:p>
          <w:p w14:paraId="4BECA4F4" w14:textId="31C56D6A" w:rsidR="003E5062" w:rsidRPr="00530467" w:rsidRDefault="003E5062" w:rsidP="00777361">
            <w:pPr>
              <w:jc w:val="both"/>
              <w:rPr>
                <w:rStyle w:val="font141"/>
                <w:sz w:val="24"/>
                <w:szCs w:val="24"/>
              </w:rPr>
            </w:pPr>
            <w:r w:rsidRPr="00530467">
              <w:rPr>
                <w:rStyle w:val="font141"/>
                <w:sz w:val="24"/>
                <w:szCs w:val="24"/>
              </w:rPr>
              <w:t>Така альтернатива є неприйнятною</w:t>
            </w:r>
            <w:r w:rsidR="00B97866" w:rsidRPr="00530467">
              <w:rPr>
                <w:rStyle w:val="font141"/>
                <w:sz w:val="24"/>
                <w:szCs w:val="24"/>
              </w:rPr>
              <w:t>.</w:t>
            </w:r>
          </w:p>
        </w:tc>
      </w:tr>
      <w:tr w:rsidR="00441950" w:rsidRPr="00530467" w14:paraId="2B7F3B07" w14:textId="77777777" w:rsidTr="005352D4">
        <w:tc>
          <w:tcPr>
            <w:tcW w:w="2552" w:type="dxa"/>
            <w:vAlign w:val="center"/>
          </w:tcPr>
          <w:p w14:paraId="7536B1B6" w14:textId="77777777" w:rsidR="00441950" w:rsidRPr="00530467" w:rsidRDefault="00441950" w:rsidP="005352D4">
            <w:pPr>
              <w:jc w:val="center"/>
              <w:rPr>
                <w:rStyle w:val="font141"/>
                <w:sz w:val="24"/>
                <w:szCs w:val="24"/>
              </w:rPr>
            </w:pPr>
            <w:r w:rsidRPr="00530467">
              <w:rPr>
                <w:rStyle w:val="font141"/>
                <w:sz w:val="24"/>
                <w:szCs w:val="24"/>
              </w:rPr>
              <w:lastRenderedPageBreak/>
              <w:t>Альтернатива 2</w:t>
            </w:r>
          </w:p>
          <w:p w14:paraId="01675293" w14:textId="337AACD5" w:rsidR="00E86E8E" w:rsidRPr="00530467" w:rsidRDefault="00E86E8E" w:rsidP="005352D4">
            <w:pPr>
              <w:jc w:val="center"/>
            </w:pPr>
            <w:r w:rsidRPr="00530467">
              <w:rPr>
                <w:rStyle w:val="font141"/>
                <w:sz w:val="24"/>
                <w:szCs w:val="24"/>
              </w:rPr>
              <w:t>Прийняття акта</w:t>
            </w:r>
          </w:p>
        </w:tc>
        <w:tc>
          <w:tcPr>
            <w:tcW w:w="6946" w:type="dxa"/>
            <w:vAlign w:val="center"/>
          </w:tcPr>
          <w:p w14:paraId="0B9ABFAA" w14:textId="7EA00786" w:rsidR="00C92BBC" w:rsidRPr="00530467" w:rsidRDefault="005711A0" w:rsidP="00107BA7">
            <w:pPr>
              <w:jc w:val="both"/>
              <w:rPr>
                <w:rStyle w:val="font141"/>
                <w:sz w:val="24"/>
                <w:szCs w:val="24"/>
              </w:rPr>
            </w:pPr>
            <w:r w:rsidRPr="00530467">
              <w:rPr>
                <w:rStyle w:val="font141"/>
                <w:sz w:val="24"/>
                <w:szCs w:val="24"/>
              </w:rPr>
              <w:t>Прийняття</w:t>
            </w:r>
            <w:r w:rsidR="008264C0" w:rsidRPr="00530467">
              <w:rPr>
                <w:rStyle w:val="font141"/>
                <w:sz w:val="24"/>
                <w:szCs w:val="24"/>
              </w:rPr>
              <w:t xml:space="preserve"> </w:t>
            </w:r>
            <w:r w:rsidR="00E20DDE" w:rsidRPr="00530467">
              <w:rPr>
                <w:rStyle w:val="font141"/>
                <w:sz w:val="24"/>
                <w:szCs w:val="24"/>
              </w:rPr>
              <w:t>проє</w:t>
            </w:r>
            <w:r w:rsidR="005352D4" w:rsidRPr="00530467">
              <w:rPr>
                <w:rStyle w:val="font141"/>
                <w:sz w:val="24"/>
                <w:szCs w:val="24"/>
              </w:rPr>
              <w:t>кт</w:t>
            </w:r>
            <w:r w:rsidR="00E83604" w:rsidRPr="00530467">
              <w:rPr>
                <w:rStyle w:val="font141"/>
                <w:sz w:val="24"/>
                <w:szCs w:val="24"/>
              </w:rPr>
              <w:t>у</w:t>
            </w:r>
            <w:r w:rsidR="005352D4" w:rsidRPr="00530467">
              <w:rPr>
                <w:rStyle w:val="font141"/>
                <w:sz w:val="24"/>
                <w:szCs w:val="24"/>
              </w:rPr>
              <w:t xml:space="preserve"> </w:t>
            </w:r>
            <w:bookmarkStart w:id="3" w:name="_GoBack"/>
            <w:r w:rsidR="008264C0" w:rsidRPr="00530467">
              <w:rPr>
                <w:rStyle w:val="font141"/>
                <w:sz w:val="24"/>
                <w:szCs w:val="24"/>
              </w:rPr>
              <w:t>наказ</w:t>
            </w:r>
            <w:bookmarkEnd w:id="3"/>
            <w:r w:rsidR="005352D4" w:rsidRPr="00530467">
              <w:rPr>
                <w:rStyle w:val="font141"/>
                <w:sz w:val="24"/>
                <w:szCs w:val="24"/>
              </w:rPr>
              <w:t>у</w:t>
            </w:r>
            <w:r w:rsidR="00441950" w:rsidRPr="00530467">
              <w:rPr>
                <w:rStyle w:val="font141"/>
                <w:sz w:val="24"/>
                <w:szCs w:val="24"/>
              </w:rPr>
              <w:t xml:space="preserve"> Міністерства фінансів України «</w:t>
            </w:r>
            <w:r w:rsidR="007A4295">
              <w:t>Про внесення змін до наказу Міністерства фінансів України від 11 грудня 2014 року № 1203</w:t>
            </w:r>
            <w:r w:rsidR="003B765C" w:rsidRPr="00530467">
              <w:rPr>
                <w:rStyle w:val="font141"/>
                <w:sz w:val="24"/>
                <w:szCs w:val="24"/>
              </w:rPr>
              <w:t>»</w:t>
            </w:r>
            <w:r w:rsidRPr="00530467">
              <w:rPr>
                <w:rStyle w:val="font141"/>
                <w:sz w:val="24"/>
                <w:szCs w:val="24"/>
              </w:rPr>
              <w:t xml:space="preserve"> забезпечує досягнення цілей державного регулювання. </w:t>
            </w:r>
          </w:p>
          <w:p w14:paraId="73D773B7" w14:textId="6C55FA49" w:rsidR="00985078" w:rsidRPr="00530467" w:rsidRDefault="005711A0" w:rsidP="00CC38EB">
            <w:pPr>
              <w:jc w:val="both"/>
              <w:rPr>
                <w:rStyle w:val="font141"/>
                <w:sz w:val="24"/>
                <w:szCs w:val="24"/>
              </w:rPr>
            </w:pPr>
            <w:r w:rsidRPr="00530467">
              <w:rPr>
                <w:rStyle w:val="font141"/>
                <w:sz w:val="24"/>
                <w:szCs w:val="24"/>
              </w:rPr>
              <w:t>Така альтернатива забезпечить</w:t>
            </w:r>
            <w:r w:rsidR="00777361" w:rsidRPr="00530467">
              <w:rPr>
                <w:rStyle w:val="font141"/>
                <w:sz w:val="24"/>
                <w:szCs w:val="24"/>
              </w:rPr>
              <w:t xml:space="preserve"> імплемента</w:t>
            </w:r>
            <w:r w:rsidR="00181FB2" w:rsidRPr="00530467">
              <w:rPr>
                <w:rStyle w:val="font141"/>
                <w:sz w:val="24"/>
                <w:szCs w:val="24"/>
              </w:rPr>
              <w:t>цію п</w:t>
            </w:r>
            <w:r w:rsidR="00E83604" w:rsidRPr="00530467">
              <w:rPr>
                <w:rStyle w:val="font141"/>
                <w:sz w:val="24"/>
                <w:szCs w:val="24"/>
              </w:rPr>
              <w:t xml:space="preserve">оложень </w:t>
            </w:r>
            <w:r w:rsidR="00710B5E" w:rsidRPr="00530467">
              <w:rPr>
                <w:rStyle w:val="font141"/>
                <w:sz w:val="24"/>
                <w:szCs w:val="24"/>
              </w:rPr>
              <w:t>чинних міжнародних договорів України про вільну торгівлю</w:t>
            </w:r>
            <w:r w:rsidR="00C92BBC" w:rsidRPr="00530467">
              <w:rPr>
                <w:rStyle w:val="font141"/>
                <w:sz w:val="24"/>
                <w:szCs w:val="24"/>
              </w:rPr>
              <w:t xml:space="preserve">, врегулює питання адміністрування тарифних квот при експорті (остаточному вивезенні) товарів з України до інших країн світу, з якими Україною </w:t>
            </w:r>
            <w:r w:rsidR="00B97866" w:rsidRPr="00530467">
              <w:rPr>
                <w:rStyle w:val="font141"/>
                <w:sz w:val="24"/>
                <w:szCs w:val="24"/>
              </w:rPr>
              <w:t>укладе</w:t>
            </w:r>
            <w:r w:rsidR="00C92BBC" w:rsidRPr="00530467">
              <w:rPr>
                <w:rStyle w:val="font141"/>
                <w:sz w:val="24"/>
                <w:szCs w:val="24"/>
              </w:rPr>
              <w:t xml:space="preserve">но міжнародні договори про вільну торгівлю, дозволить врегулювати питання </w:t>
            </w:r>
            <w:r w:rsidR="00985078" w:rsidRPr="00530467">
              <w:rPr>
                <w:rStyle w:val="font141"/>
                <w:sz w:val="24"/>
                <w:szCs w:val="24"/>
              </w:rPr>
              <w:t>зміни статусу використаної тарифної квоти</w:t>
            </w:r>
            <w:r w:rsidR="00985078" w:rsidRPr="00530467">
              <w:t xml:space="preserve"> </w:t>
            </w:r>
            <w:r w:rsidR="00985078" w:rsidRPr="00530467">
              <w:rPr>
                <w:rStyle w:val="font141"/>
                <w:sz w:val="24"/>
                <w:szCs w:val="24"/>
              </w:rPr>
              <w:t xml:space="preserve">на невикористану в ПІК «Облік тарифних квот» у разі </w:t>
            </w:r>
            <w:r w:rsidR="00985078" w:rsidRPr="00530467">
              <w:t>недотримання суб’єктами ЗЕД вимог міжнародни</w:t>
            </w:r>
            <w:r w:rsidR="00CC38EB">
              <w:t>х договорів про вільну торгівлю</w:t>
            </w:r>
            <w:r w:rsidR="00985078" w:rsidRPr="00530467">
              <w:rPr>
                <w:rStyle w:val="font141"/>
                <w:sz w:val="24"/>
                <w:szCs w:val="24"/>
              </w:rPr>
              <w:t>.</w:t>
            </w:r>
          </w:p>
        </w:tc>
      </w:tr>
    </w:tbl>
    <w:p w14:paraId="4B085130" w14:textId="77777777" w:rsidR="008264C0" w:rsidRPr="005352D4" w:rsidRDefault="008264C0" w:rsidP="003251C2">
      <w:pPr>
        <w:ind w:firstLine="567"/>
        <w:jc w:val="both"/>
        <w:rPr>
          <w:rFonts w:eastAsia="Calibri"/>
          <w:lang w:eastAsia="en-US"/>
        </w:rPr>
      </w:pPr>
      <w:r w:rsidRPr="008264C0">
        <w:rPr>
          <w:rFonts w:eastAsia="Calibri"/>
          <w:sz w:val="27"/>
          <w:szCs w:val="27"/>
          <w:lang w:eastAsia="en-US"/>
        </w:rPr>
        <w:t xml:space="preserve">⃰⃰⃰⃰⃰⃰ </w:t>
      </w:r>
      <w:r w:rsidR="005352D4">
        <w:rPr>
          <w:rFonts w:eastAsia="Calibri"/>
          <w:lang w:eastAsia="en-US"/>
        </w:rPr>
        <w:t>І</w:t>
      </w:r>
      <w:r w:rsidRPr="005352D4">
        <w:rPr>
          <w:rFonts w:eastAsia="Calibri"/>
          <w:lang w:eastAsia="en-US"/>
        </w:rPr>
        <w:t xml:space="preserve">нших альтернативних способів досягнення основної </w:t>
      </w:r>
      <w:r w:rsidR="005352D4">
        <w:rPr>
          <w:rFonts w:eastAsia="Calibri"/>
          <w:lang w:eastAsia="en-US"/>
        </w:rPr>
        <w:t xml:space="preserve">мети, ніж прийняття зазначеного </w:t>
      </w:r>
      <w:r w:rsidRPr="005352D4">
        <w:rPr>
          <w:rFonts w:eastAsia="Calibri"/>
          <w:lang w:eastAsia="en-US"/>
        </w:rPr>
        <w:t>регуляторного акта, не існує.</w:t>
      </w:r>
    </w:p>
    <w:p w14:paraId="191F6985" w14:textId="77777777" w:rsidR="00441950" w:rsidRPr="005352D4" w:rsidRDefault="00441950" w:rsidP="00A45649">
      <w:pPr>
        <w:rPr>
          <w:rStyle w:val="font171"/>
        </w:rPr>
      </w:pPr>
    </w:p>
    <w:p w14:paraId="651FC6F1" w14:textId="77777777" w:rsidR="00441950" w:rsidRDefault="00441950" w:rsidP="00F906CB">
      <w:pPr>
        <w:ind w:firstLine="567"/>
        <w:rPr>
          <w:rStyle w:val="font171"/>
        </w:rPr>
      </w:pPr>
      <w:r>
        <w:rPr>
          <w:rStyle w:val="font171"/>
        </w:rPr>
        <w:t>2. Оцінка вибраних альтернативних способів досягнення цілей</w:t>
      </w:r>
    </w:p>
    <w:p w14:paraId="0F1FEB2A" w14:textId="77777777" w:rsidR="00441950" w:rsidRDefault="00441950" w:rsidP="00F906CB">
      <w:pPr>
        <w:ind w:firstLine="567"/>
        <w:rPr>
          <w:rStyle w:val="font171"/>
        </w:rPr>
      </w:pPr>
    </w:p>
    <w:p w14:paraId="568D550A" w14:textId="77777777" w:rsidR="00441950" w:rsidRDefault="001C0D1D" w:rsidP="00F906CB">
      <w:pPr>
        <w:ind w:firstLine="567"/>
        <w:rPr>
          <w:rStyle w:val="font171"/>
          <w:lang w:val="ru-RU"/>
        </w:rPr>
      </w:pPr>
      <w:r>
        <w:rPr>
          <w:rStyle w:val="font171"/>
        </w:rPr>
        <w:t xml:space="preserve">2.1. </w:t>
      </w:r>
      <w:r w:rsidR="00441950" w:rsidRPr="00EB30EC">
        <w:rPr>
          <w:rStyle w:val="font171"/>
        </w:rPr>
        <w:t>Оцінка впливу на сферу інтересів держави</w:t>
      </w:r>
      <w:r>
        <w:rPr>
          <w:rStyle w:val="font171"/>
        </w:rPr>
        <w:t>.</w:t>
      </w:r>
    </w:p>
    <w:p w14:paraId="070455F9" w14:textId="77777777" w:rsidR="001C0D1D" w:rsidRPr="002F6265" w:rsidRDefault="001C0D1D" w:rsidP="00F906CB">
      <w:pPr>
        <w:ind w:firstLine="567"/>
        <w:rPr>
          <w:lang w:val="ru-RU"/>
        </w:rPr>
      </w:pPr>
    </w:p>
    <w:tbl>
      <w:tblPr>
        <w:tblStyle w:val="ad"/>
        <w:tblW w:w="9781" w:type="dxa"/>
        <w:tblInd w:w="108" w:type="dxa"/>
        <w:tblLook w:val="04A0" w:firstRow="1" w:lastRow="0" w:firstColumn="1" w:lastColumn="0" w:noHBand="0" w:noVBand="1"/>
      </w:tblPr>
      <w:tblGrid>
        <w:gridCol w:w="1872"/>
        <w:gridCol w:w="3969"/>
        <w:gridCol w:w="3940"/>
      </w:tblGrid>
      <w:tr w:rsidR="000623EB" w14:paraId="72837AE7" w14:textId="77777777" w:rsidTr="00044AE7">
        <w:trPr>
          <w:tblHeader/>
        </w:trPr>
        <w:tc>
          <w:tcPr>
            <w:tcW w:w="1872" w:type="dxa"/>
            <w:vAlign w:val="center"/>
          </w:tcPr>
          <w:p w14:paraId="4C62F62A" w14:textId="77777777" w:rsidR="00441950" w:rsidRPr="005352D4" w:rsidRDefault="00441950" w:rsidP="005352D4">
            <w:pPr>
              <w:jc w:val="center"/>
            </w:pPr>
            <w:r w:rsidRPr="005352D4">
              <w:rPr>
                <w:rStyle w:val="font141"/>
                <w:b/>
                <w:sz w:val="24"/>
                <w:szCs w:val="24"/>
              </w:rPr>
              <w:t>Вид альтернативи</w:t>
            </w:r>
          </w:p>
        </w:tc>
        <w:tc>
          <w:tcPr>
            <w:tcW w:w="3969" w:type="dxa"/>
            <w:vAlign w:val="center"/>
          </w:tcPr>
          <w:p w14:paraId="0B8A98C1" w14:textId="77777777" w:rsidR="00441950" w:rsidRPr="005352D4" w:rsidRDefault="00441950" w:rsidP="005352D4">
            <w:pPr>
              <w:jc w:val="center"/>
            </w:pPr>
            <w:r w:rsidRPr="005352D4">
              <w:rPr>
                <w:rStyle w:val="font141"/>
                <w:b/>
                <w:sz w:val="24"/>
                <w:szCs w:val="24"/>
              </w:rPr>
              <w:t>Вигоди</w:t>
            </w:r>
          </w:p>
        </w:tc>
        <w:tc>
          <w:tcPr>
            <w:tcW w:w="3940" w:type="dxa"/>
            <w:vAlign w:val="center"/>
          </w:tcPr>
          <w:p w14:paraId="5F12E261" w14:textId="77777777" w:rsidR="00441950" w:rsidRPr="005352D4" w:rsidRDefault="00441950" w:rsidP="005352D4">
            <w:pPr>
              <w:jc w:val="center"/>
            </w:pPr>
            <w:r w:rsidRPr="005352D4">
              <w:rPr>
                <w:rStyle w:val="font141"/>
                <w:b/>
                <w:sz w:val="24"/>
                <w:szCs w:val="24"/>
              </w:rPr>
              <w:t>Витрати</w:t>
            </w:r>
          </w:p>
        </w:tc>
      </w:tr>
      <w:tr w:rsidR="000623EB" w:rsidRPr="00FF426E" w14:paraId="58402C83" w14:textId="77777777" w:rsidTr="002A4BC0">
        <w:tc>
          <w:tcPr>
            <w:tcW w:w="1872" w:type="dxa"/>
          </w:tcPr>
          <w:p w14:paraId="390EDDB0" w14:textId="77777777" w:rsidR="00441950" w:rsidRPr="003C004B" w:rsidRDefault="00441950" w:rsidP="005352D4">
            <w:pPr>
              <w:jc w:val="center"/>
            </w:pPr>
            <w:r w:rsidRPr="003C004B">
              <w:rPr>
                <w:rStyle w:val="font141"/>
                <w:sz w:val="24"/>
                <w:szCs w:val="24"/>
              </w:rPr>
              <w:t>Альтернатива 1</w:t>
            </w:r>
          </w:p>
        </w:tc>
        <w:tc>
          <w:tcPr>
            <w:tcW w:w="3969" w:type="dxa"/>
          </w:tcPr>
          <w:p w14:paraId="0A5B86D4" w14:textId="1A837022" w:rsidR="00441950" w:rsidRPr="003C004B" w:rsidRDefault="005352D4" w:rsidP="00744605">
            <w:pPr>
              <w:jc w:val="both"/>
            </w:pPr>
            <w:r w:rsidRPr="003C004B">
              <w:rPr>
                <w:rFonts w:eastAsia="Calibri"/>
                <w:lang w:eastAsia="en-US"/>
              </w:rPr>
              <w:t>Залишаючи чинне</w:t>
            </w:r>
            <w:r w:rsidR="00441950" w:rsidRPr="003C004B">
              <w:rPr>
                <w:rFonts w:eastAsia="Calibri"/>
                <w:lang w:eastAsia="en-US"/>
              </w:rPr>
              <w:t xml:space="preserve"> регулю</w:t>
            </w:r>
            <w:r w:rsidRPr="003C004B">
              <w:rPr>
                <w:rFonts w:eastAsia="Calibri"/>
                <w:lang w:eastAsia="en-US"/>
              </w:rPr>
              <w:t>вання без змін, вигоди відсутні</w:t>
            </w:r>
          </w:p>
        </w:tc>
        <w:tc>
          <w:tcPr>
            <w:tcW w:w="3940" w:type="dxa"/>
            <w:shd w:val="clear" w:color="auto" w:fill="auto"/>
          </w:tcPr>
          <w:p w14:paraId="09983A21" w14:textId="4149102B" w:rsidR="00630840" w:rsidRPr="003C004B" w:rsidRDefault="009B5C98" w:rsidP="00344EAE">
            <w:pPr>
              <w:pStyle w:val="rvps2"/>
              <w:shd w:val="clear" w:color="auto" w:fill="FFFFFF"/>
              <w:tabs>
                <w:tab w:val="left" w:pos="600"/>
                <w:tab w:val="left" w:pos="1066"/>
              </w:tabs>
              <w:spacing w:before="0" w:beforeAutospacing="0" w:after="0" w:afterAutospacing="0"/>
              <w:jc w:val="both"/>
              <w:rPr>
                <w:rStyle w:val="font141"/>
                <w:sz w:val="24"/>
                <w:szCs w:val="24"/>
                <w:lang w:eastAsia="uk-UA"/>
              </w:rPr>
            </w:pPr>
            <w:r w:rsidRPr="003C004B">
              <w:rPr>
                <w:lang w:val="uk-UA"/>
              </w:rPr>
              <w:t xml:space="preserve">Витрати, пов’язані із виконанням вимог регуляторного акта, нестимуться </w:t>
            </w:r>
            <w:r w:rsidR="00E83604" w:rsidRPr="003C004B">
              <w:rPr>
                <w:lang w:val="uk-UA"/>
              </w:rPr>
              <w:t>митними органами</w:t>
            </w:r>
            <w:r w:rsidRPr="003C004B">
              <w:rPr>
                <w:lang w:val="uk-UA"/>
              </w:rPr>
              <w:t xml:space="preserve"> в межах кошторисних витрат на їх утримання та асигн</w:t>
            </w:r>
            <w:r w:rsidR="003C004B" w:rsidRPr="003C004B">
              <w:rPr>
                <w:lang w:val="uk-UA"/>
              </w:rPr>
              <w:t>увань, передбачених у бюджеті.</w:t>
            </w:r>
          </w:p>
          <w:p w14:paraId="3F8E7C37" w14:textId="1C4CA08A" w:rsidR="00344EAE" w:rsidRPr="003C004B" w:rsidRDefault="003C004B" w:rsidP="00044AE7">
            <w:pPr>
              <w:pStyle w:val="rvps2"/>
              <w:shd w:val="clear" w:color="auto" w:fill="FFFFFF"/>
              <w:tabs>
                <w:tab w:val="left" w:pos="600"/>
                <w:tab w:val="left" w:pos="1066"/>
              </w:tabs>
              <w:spacing w:before="0" w:beforeAutospacing="0" w:after="0" w:afterAutospacing="0"/>
              <w:jc w:val="both"/>
              <w:rPr>
                <w:rStyle w:val="font141"/>
                <w:bCs/>
                <w:sz w:val="24"/>
                <w:szCs w:val="24"/>
                <w:highlight w:val="yellow"/>
                <w:lang w:val="uk-UA"/>
              </w:rPr>
            </w:pPr>
            <w:r>
              <w:rPr>
                <w:rStyle w:val="font141"/>
                <w:sz w:val="24"/>
                <w:szCs w:val="24"/>
                <w:lang w:val="uk-UA" w:eastAsia="uk-UA"/>
              </w:rPr>
              <w:t xml:space="preserve">Крім того, держава несе витрати, пов’язані з наданням неправомірної пільги на підставі недійсних документів (у разі </w:t>
            </w:r>
            <w:proofErr w:type="spellStart"/>
            <w:r w:rsidRPr="003C004B">
              <w:rPr>
                <w:rStyle w:val="font141"/>
                <w:sz w:val="24"/>
                <w:szCs w:val="24"/>
                <w:lang w:val="uk-UA" w:eastAsia="uk-UA"/>
              </w:rPr>
              <w:t>непідтвердження</w:t>
            </w:r>
            <w:proofErr w:type="spellEnd"/>
            <w:r w:rsidRPr="003C004B">
              <w:rPr>
                <w:rStyle w:val="font141"/>
                <w:sz w:val="24"/>
                <w:szCs w:val="24"/>
                <w:lang w:val="uk-UA" w:eastAsia="uk-UA"/>
              </w:rPr>
              <w:t xml:space="preserve"> достовірності документа, що підтверджує статус преференційного походження товару</w:t>
            </w:r>
            <w:r>
              <w:rPr>
                <w:rStyle w:val="font141"/>
                <w:sz w:val="24"/>
                <w:szCs w:val="24"/>
                <w:lang w:val="uk-UA" w:eastAsia="uk-UA"/>
              </w:rPr>
              <w:t xml:space="preserve"> в результаті отримання інформації від компетентних органів зарубіжних держав)</w:t>
            </w:r>
            <w:r w:rsidR="00CF1460">
              <w:rPr>
                <w:rStyle w:val="font141"/>
                <w:sz w:val="24"/>
                <w:szCs w:val="24"/>
                <w:lang w:val="uk-UA" w:eastAsia="uk-UA"/>
              </w:rPr>
              <w:t xml:space="preserve">, а також у разі </w:t>
            </w:r>
            <w:proofErr w:type="spellStart"/>
            <w:r w:rsidR="00985078">
              <w:t>недотримання</w:t>
            </w:r>
            <w:proofErr w:type="spellEnd"/>
            <w:r w:rsidR="00985078">
              <w:t xml:space="preserve"> </w:t>
            </w:r>
            <w:proofErr w:type="spellStart"/>
            <w:r w:rsidR="00985078">
              <w:t>суб’єктами</w:t>
            </w:r>
            <w:proofErr w:type="spellEnd"/>
            <w:r w:rsidR="00985078">
              <w:t xml:space="preserve"> ЗЕД </w:t>
            </w:r>
            <w:proofErr w:type="spellStart"/>
            <w:r w:rsidR="00985078">
              <w:t>вимог</w:t>
            </w:r>
            <w:proofErr w:type="spellEnd"/>
            <w:r w:rsidR="00985078">
              <w:t xml:space="preserve"> </w:t>
            </w:r>
            <w:proofErr w:type="spellStart"/>
            <w:r w:rsidR="00985078">
              <w:t>міжнародних</w:t>
            </w:r>
            <w:proofErr w:type="spellEnd"/>
            <w:r w:rsidR="00985078">
              <w:t xml:space="preserve"> </w:t>
            </w:r>
            <w:proofErr w:type="spellStart"/>
            <w:r w:rsidR="00985078">
              <w:t>договорів</w:t>
            </w:r>
            <w:proofErr w:type="spellEnd"/>
            <w:r w:rsidR="00985078">
              <w:t xml:space="preserve"> про </w:t>
            </w:r>
            <w:proofErr w:type="spellStart"/>
            <w:r w:rsidR="00985078">
              <w:t>вільну</w:t>
            </w:r>
            <w:proofErr w:type="spellEnd"/>
            <w:r w:rsidR="00985078">
              <w:t xml:space="preserve"> </w:t>
            </w:r>
            <w:proofErr w:type="spellStart"/>
            <w:r w:rsidR="00985078">
              <w:t>торгівлю</w:t>
            </w:r>
            <w:proofErr w:type="spellEnd"/>
            <w:r>
              <w:rPr>
                <w:rStyle w:val="font141"/>
                <w:sz w:val="24"/>
                <w:szCs w:val="24"/>
                <w:lang w:val="uk-UA" w:eastAsia="uk-UA"/>
              </w:rPr>
              <w:t>.</w:t>
            </w:r>
          </w:p>
        </w:tc>
      </w:tr>
      <w:tr w:rsidR="000623EB" w:rsidRPr="00FF426E" w14:paraId="17DE9945" w14:textId="77777777" w:rsidTr="002A4BC0">
        <w:tc>
          <w:tcPr>
            <w:tcW w:w="1872" w:type="dxa"/>
          </w:tcPr>
          <w:p w14:paraId="30F871F6" w14:textId="77777777" w:rsidR="00441950" w:rsidRPr="003C004B" w:rsidRDefault="00441950" w:rsidP="005352D4">
            <w:pPr>
              <w:jc w:val="center"/>
            </w:pPr>
            <w:r w:rsidRPr="003C004B">
              <w:rPr>
                <w:rStyle w:val="font141"/>
                <w:sz w:val="24"/>
                <w:szCs w:val="24"/>
              </w:rPr>
              <w:t>Альтернатива 2</w:t>
            </w:r>
          </w:p>
        </w:tc>
        <w:tc>
          <w:tcPr>
            <w:tcW w:w="3969" w:type="dxa"/>
          </w:tcPr>
          <w:p w14:paraId="4638B213" w14:textId="3C7190F6" w:rsidR="00C53FFF" w:rsidRPr="00FF6ADD" w:rsidRDefault="00441950" w:rsidP="00F906CB">
            <w:pPr>
              <w:jc w:val="both"/>
              <w:rPr>
                <w:rStyle w:val="font141"/>
                <w:sz w:val="24"/>
                <w:szCs w:val="24"/>
              </w:rPr>
            </w:pPr>
            <w:r w:rsidRPr="00FF6ADD">
              <w:rPr>
                <w:rStyle w:val="font141"/>
                <w:sz w:val="24"/>
                <w:szCs w:val="24"/>
              </w:rPr>
              <w:t>Вигоди високі, оскільки прийнятт</w:t>
            </w:r>
            <w:r w:rsidR="00A43BA9" w:rsidRPr="00FF6ADD">
              <w:rPr>
                <w:rStyle w:val="font141"/>
                <w:sz w:val="24"/>
                <w:szCs w:val="24"/>
              </w:rPr>
              <w:t xml:space="preserve">я </w:t>
            </w:r>
            <w:r w:rsidRPr="00FF6ADD">
              <w:rPr>
                <w:rStyle w:val="font141"/>
                <w:sz w:val="24"/>
                <w:szCs w:val="24"/>
              </w:rPr>
              <w:t>нового</w:t>
            </w:r>
            <w:r w:rsidR="00C73E49" w:rsidRPr="00FF6ADD">
              <w:rPr>
                <w:rStyle w:val="font141"/>
                <w:sz w:val="24"/>
                <w:szCs w:val="24"/>
              </w:rPr>
              <w:t xml:space="preserve"> </w:t>
            </w:r>
            <w:r w:rsidR="00E83604" w:rsidRPr="00FF6ADD">
              <w:rPr>
                <w:rStyle w:val="font141"/>
                <w:sz w:val="24"/>
                <w:szCs w:val="24"/>
              </w:rPr>
              <w:t xml:space="preserve">регуляторного акта </w:t>
            </w:r>
            <w:r w:rsidRPr="00FF6ADD">
              <w:rPr>
                <w:rStyle w:val="font141"/>
                <w:sz w:val="24"/>
                <w:szCs w:val="24"/>
              </w:rPr>
              <w:t xml:space="preserve">дасть </w:t>
            </w:r>
            <w:r w:rsidR="00E83604" w:rsidRPr="00FF6ADD">
              <w:rPr>
                <w:rStyle w:val="font141"/>
                <w:sz w:val="24"/>
                <w:szCs w:val="24"/>
              </w:rPr>
              <w:t>змогу</w:t>
            </w:r>
            <w:r w:rsidR="00A553BA" w:rsidRPr="00FF6ADD">
              <w:rPr>
                <w:rStyle w:val="font141"/>
                <w:sz w:val="24"/>
                <w:szCs w:val="24"/>
              </w:rPr>
              <w:t xml:space="preserve"> </w:t>
            </w:r>
            <w:r w:rsidR="00A43BA9" w:rsidRPr="00FF6ADD">
              <w:rPr>
                <w:rStyle w:val="font141"/>
                <w:sz w:val="24"/>
                <w:szCs w:val="24"/>
              </w:rPr>
              <w:t xml:space="preserve">реалізувати положення </w:t>
            </w:r>
            <w:r w:rsidR="00A43BA9" w:rsidRPr="00FF6ADD">
              <w:rPr>
                <w:rStyle w:val="font141"/>
                <w:sz w:val="24"/>
                <w:szCs w:val="24"/>
              </w:rPr>
              <w:lastRenderedPageBreak/>
              <w:t xml:space="preserve">міжнародних договорів України про вільну торгівлю та виконувати </w:t>
            </w:r>
            <w:r w:rsidR="00255A25" w:rsidRPr="00FF6ADD">
              <w:rPr>
                <w:rStyle w:val="font141"/>
                <w:sz w:val="24"/>
                <w:szCs w:val="24"/>
              </w:rPr>
              <w:t xml:space="preserve">міжнародні </w:t>
            </w:r>
            <w:r w:rsidR="00A43BA9" w:rsidRPr="00FF6ADD">
              <w:rPr>
                <w:rStyle w:val="font141"/>
                <w:sz w:val="24"/>
                <w:szCs w:val="24"/>
              </w:rPr>
              <w:t>зобов’язання України</w:t>
            </w:r>
            <w:r w:rsidR="00255A25" w:rsidRPr="00FF6ADD">
              <w:rPr>
                <w:rStyle w:val="font141"/>
                <w:sz w:val="24"/>
                <w:szCs w:val="24"/>
              </w:rPr>
              <w:t>, що в свою чергу</w:t>
            </w:r>
            <w:r w:rsidR="008C42E1" w:rsidRPr="00FF6ADD">
              <w:rPr>
                <w:rStyle w:val="font141"/>
                <w:sz w:val="24"/>
                <w:szCs w:val="24"/>
              </w:rPr>
              <w:t xml:space="preserve"> сприятиме лібералізації міжнародної торгівлі</w:t>
            </w:r>
            <w:r w:rsidR="00A43BA9" w:rsidRPr="00FF6ADD">
              <w:rPr>
                <w:rStyle w:val="font141"/>
                <w:sz w:val="24"/>
                <w:szCs w:val="24"/>
              </w:rPr>
              <w:t>.</w:t>
            </w:r>
          </w:p>
          <w:p w14:paraId="20B239AC" w14:textId="2182485B" w:rsidR="007315EE" w:rsidRPr="00FF6ADD" w:rsidRDefault="00A43BA9" w:rsidP="00744605">
            <w:pPr>
              <w:jc w:val="both"/>
              <w:rPr>
                <w:rStyle w:val="font141"/>
                <w:sz w:val="24"/>
                <w:szCs w:val="24"/>
              </w:rPr>
            </w:pPr>
            <w:r w:rsidRPr="00FF6ADD">
              <w:rPr>
                <w:rStyle w:val="font141"/>
                <w:sz w:val="24"/>
                <w:szCs w:val="24"/>
              </w:rPr>
              <w:t>Доповнення Порядку процедурою адміністрування тарифних квот при експорті (остаточному вивезенні) товарів з України</w:t>
            </w:r>
            <w:r w:rsidR="00255A25" w:rsidRPr="00FF6ADD">
              <w:rPr>
                <w:rStyle w:val="font141"/>
                <w:sz w:val="24"/>
                <w:szCs w:val="24"/>
              </w:rPr>
              <w:t xml:space="preserve"> та окремими положеннями щодо повернення тарифної квоти</w:t>
            </w:r>
            <w:r w:rsidRPr="00FF6ADD">
              <w:rPr>
                <w:rStyle w:val="font141"/>
                <w:sz w:val="24"/>
                <w:szCs w:val="24"/>
              </w:rPr>
              <w:t xml:space="preserve"> дасть змогу</w:t>
            </w:r>
            <w:r w:rsidR="00255A25" w:rsidRPr="00FF6ADD">
              <w:rPr>
                <w:rStyle w:val="font141"/>
                <w:sz w:val="24"/>
                <w:szCs w:val="24"/>
              </w:rPr>
              <w:t xml:space="preserve"> належним чином використовувати та адмініструвати тарифні квоти при експортно-імпортних операціях шляхом здійснення обліку та контролю за розподілом тарифної квоти за допомогою ПІК «Облік тарифних квот»</w:t>
            </w:r>
            <w:r w:rsidR="00744605" w:rsidRPr="00FF6ADD">
              <w:rPr>
                <w:rStyle w:val="font141"/>
                <w:sz w:val="24"/>
                <w:szCs w:val="24"/>
              </w:rPr>
              <w:t>.</w:t>
            </w:r>
          </w:p>
        </w:tc>
        <w:tc>
          <w:tcPr>
            <w:tcW w:w="3940" w:type="dxa"/>
          </w:tcPr>
          <w:p w14:paraId="2AB49A9B" w14:textId="77777777" w:rsidR="00344EAE" w:rsidRPr="00FF6ADD" w:rsidRDefault="00344EAE" w:rsidP="00344EAE">
            <w:pPr>
              <w:jc w:val="both"/>
              <w:rPr>
                <w:rStyle w:val="font141"/>
                <w:sz w:val="24"/>
                <w:szCs w:val="24"/>
              </w:rPr>
            </w:pPr>
            <w:r w:rsidRPr="00FF6ADD">
              <w:rPr>
                <w:rStyle w:val="font141"/>
                <w:sz w:val="24"/>
                <w:szCs w:val="24"/>
              </w:rPr>
              <w:lastRenderedPageBreak/>
              <w:t xml:space="preserve">Витрати </w:t>
            </w:r>
            <w:r w:rsidR="002D4CF3" w:rsidRPr="00FF6ADD">
              <w:rPr>
                <w:rStyle w:val="font141"/>
                <w:sz w:val="24"/>
                <w:szCs w:val="24"/>
              </w:rPr>
              <w:t>на доопрацювання програмного забезпечення ПІК</w:t>
            </w:r>
            <w:r w:rsidR="005835B0" w:rsidRPr="00FF6ADD">
              <w:rPr>
                <w:rStyle w:val="font141"/>
                <w:sz w:val="24"/>
                <w:szCs w:val="24"/>
              </w:rPr>
              <w:t> </w:t>
            </w:r>
            <w:r w:rsidR="002D4CF3" w:rsidRPr="00FF6ADD">
              <w:rPr>
                <w:rStyle w:val="font141"/>
                <w:sz w:val="24"/>
                <w:szCs w:val="24"/>
              </w:rPr>
              <w:t>«Облік тарифних квот»</w:t>
            </w:r>
            <w:r w:rsidR="005835B0" w:rsidRPr="00FF6ADD">
              <w:rPr>
                <w:rStyle w:val="font141"/>
                <w:sz w:val="24"/>
                <w:szCs w:val="24"/>
              </w:rPr>
              <w:t xml:space="preserve"> та інші </w:t>
            </w:r>
            <w:r w:rsidR="005835B0" w:rsidRPr="00FF6ADD">
              <w:rPr>
                <w:rStyle w:val="font141"/>
                <w:sz w:val="24"/>
                <w:szCs w:val="24"/>
              </w:rPr>
              <w:lastRenderedPageBreak/>
              <w:t>в</w:t>
            </w:r>
            <w:r w:rsidRPr="00FF6ADD">
              <w:rPr>
                <w:rStyle w:val="font141"/>
                <w:sz w:val="24"/>
                <w:szCs w:val="24"/>
              </w:rPr>
              <w:t>итрати пов’язані із виконанням вимог регуляторного акта, нестимуться Держмитслужбою в межах кошторисних витрат на її утримання та асигнувань, передбачених у бюджеті.</w:t>
            </w:r>
          </w:p>
          <w:p w14:paraId="29BB6CC9" w14:textId="06DF6878" w:rsidR="00BE173B" w:rsidRDefault="00BE173B" w:rsidP="00BE173B">
            <w:pPr>
              <w:jc w:val="both"/>
              <w:rPr>
                <w:rStyle w:val="font141"/>
                <w:sz w:val="24"/>
                <w:szCs w:val="24"/>
                <w:lang w:val="ru-RU"/>
              </w:rPr>
            </w:pPr>
            <w:r w:rsidRPr="00FF6ADD">
              <w:rPr>
                <w:rStyle w:val="font141"/>
                <w:sz w:val="24"/>
                <w:szCs w:val="24"/>
              </w:rPr>
              <w:t>Витрати на оплату робочого часу  посадовим особам митних органів, пов’язані з</w:t>
            </w:r>
            <w:r w:rsidRPr="00FF6ADD">
              <w:rPr>
                <w:rStyle w:val="font141"/>
                <w:sz w:val="24"/>
                <w:szCs w:val="24"/>
                <w:lang w:val="ru-RU"/>
              </w:rPr>
              <w:t>:</w:t>
            </w:r>
          </w:p>
          <w:p w14:paraId="43B77220" w14:textId="06B4BD46" w:rsidR="00FF6ADD" w:rsidRDefault="00FF6ADD" w:rsidP="00BE173B">
            <w:pPr>
              <w:jc w:val="both"/>
              <w:rPr>
                <w:rStyle w:val="font141"/>
                <w:sz w:val="24"/>
                <w:szCs w:val="24"/>
                <w:lang w:val="ru-RU"/>
              </w:rPr>
            </w:pPr>
            <w:proofErr w:type="spellStart"/>
            <w:r>
              <w:rPr>
                <w:rStyle w:val="font141"/>
                <w:sz w:val="24"/>
                <w:szCs w:val="24"/>
                <w:lang w:val="ru-RU"/>
              </w:rPr>
              <w:t>розглядом</w:t>
            </w:r>
            <w:proofErr w:type="spellEnd"/>
            <w:r>
              <w:rPr>
                <w:rStyle w:val="font141"/>
                <w:sz w:val="24"/>
                <w:szCs w:val="24"/>
                <w:lang w:val="ru-RU"/>
              </w:rPr>
              <w:t xml:space="preserve"> заявки на </w:t>
            </w:r>
            <w:proofErr w:type="spellStart"/>
            <w:r>
              <w:rPr>
                <w:rStyle w:val="font141"/>
                <w:sz w:val="24"/>
                <w:szCs w:val="24"/>
                <w:lang w:val="ru-RU"/>
              </w:rPr>
              <w:t>отримання</w:t>
            </w:r>
            <w:proofErr w:type="spellEnd"/>
            <w:r>
              <w:rPr>
                <w:rStyle w:val="font141"/>
                <w:sz w:val="24"/>
                <w:szCs w:val="24"/>
                <w:lang w:val="ru-RU"/>
              </w:rPr>
              <w:t xml:space="preserve"> </w:t>
            </w:r>
            <w:proofErr w:type="spellStart"/>
            <w:r>
              <w:rPr>
                <w:rStyle w:val="font141"/>
                <w:sz w:val="24"/>
                <w:szCs w:val="24"/>
                <w:lang w:val="ru-RU"/>
              </w:rPr>
              <w:t>тарифної</w:t>
            </w:r>
            <w:proofErr w:type="spellEnd"/>
            <w:r>
              <w:rPr>
                <w:rStyle w:val="font141"/>
                <w:sz w:val="24"/>
                <w:szCs w:val="24"/>
                <w:lang w:val="ru-RU"/>
              </w:rPr>
              <w:t xml:space="preserve"> </w:t>
            </w:r>
            <w:proofErr w:type="spellStart"/>
            <w:r>
              <w:rPr>
                <w:rStyle w:val="font141"/>
                <w:sz w:val="24"/>
                <w:szCs w:val="24"/>
                <w:lang w:val="ru-RU"/>
              </w:rPr>
              <w:t>квоти</w:t>
            </w:r>
            <w:proofErr w:type="spellEnd"/>
            <w:r>
              <w:rPr>
                <w:rStyle w:val="font141"/>
                <w:sz w:val="24"/>
                <w:szCs w:val="24"/>
                <w:lang w:val="ru-RU"/>
              </w:rPr>
              <w:t xml:space="preserve"> для остаточного </w:t>
            </w:r>
            <w:proofErr w:type="spellStart"/>
            <w:r>
              <w:rPr>
                <w:rStyle w:val="font141"/>
                <w:sz w:val="24"/>
                <w:szCs w:val="24"/>
                <w:lang w:val="ru-RU"/>
              </w:rPr>
              <w:t>вивезення</w:t>
            </w:r>
            <w:proofErr w:type="spellEnd"/>
            <w:r>
              <w:rPr>
                <w:rStyle w:val="font141"/>
                <w:sz w:val="24"/>
                <w:szCs w:val="24"/>
                <w:lang w:val="ru-RU"/>
              </w:rPr>
              <w:t xml:space="preserve"> </w:t>
            </w:r>
            <w:proofErr w:type="spellStart"/>
            <w:r>
              <w:rPr>
                <w:rStyle w:val="font141"/>
                <w:sz w:val="24"/>
                <w:szCs w:val="24"/>
                <w:lang w:val="ru-RU"/>
              </w:rPr>
              <w:t>товарів</w:t>
            </w:r>
            <w:proofErr w:type="spellEnd"/>
            <w:r>
              <w:rPr>
                <w:rStyle w:val="font141"/>
                <w:sz w:val="24"/>
                <w:szCs w:val="24"/>
                <w:lang w:val="ru-RU"/>
              </w:rPr>
              <w:t xml:space="preserve"> для </w:t>
            </w:r>
            <w:proofErr w:type="spellStart"/>
            <w:r>
              <w:rPr>
                <w:rStyle w:val="font141"/>
                <w:sz w:val="24"/>
                <w:szCs w:val="24"/>
                <w:lang w:val="ru-RU"/>
              </w:rPr>
              <w:t>вільного</w:t>
            </w:r>
            <w:proofErr w:type="spellEnd"/>
            <w:r>
              <w:rPr>
                <w:rStyle w:val="font141"/>
                <w:sz w:val="24"/>
                <w:szCs w:val="24"/>
                <w:lang w:val="ru-RU"/>
              </w:rPr>
              <w:t xml:space="preserve"> </w:t>
            </w:r>
            <w:proofErr w:type="spellStart"/>
            <w:r>
              <w:rPr>
                <w:rStyle w:val="font141"/>
                <w:sz w:val="24"/>
                <w:szCs w:val="24"/>
                <w:lang w:val="ru-RU"/>
              </w:rPr>
              <w:t>обігу</w:t>
            </w:r>
            <w:proofErr w:type="spellEnd"/>
            <w:r>
              <w:rPr>
                <w:rStyle w:val="font141"/>
                <w:sz w:val="24"/>
                <w:szCs w:val="24"/>
                <w:lang w:val="ru-RU"/>
              </w:rPr>
              <w:t xml:space="preserve"> за межами </w:t>
            </w:r>
            <w:proofErr w:type="spellStart"/>
            <w:r>
              <w:rPr>
                <w:rStyle w:val="font141"/>
                <w:sz w:val="24"/>
                <w:szCs w:val="24"/>
                <w:lang w:val="ru-RU"/>
              </w:rPr>
              <w:t>митної</w:t>
            </w:r>
            <w:proofErr w:type="spellEnd"/>
            <w:r>
              <w:rPr>
                <w:rStyle w:val="font141"/>
                <w:sz w:val="24"/>
                <w:szCs w:val="24"/>
                <w:lang w:val="ru-RU"/>
              </w:rPr>
              <w:t xml:space="preserve"> </w:t>
            </w:r>
            <w:proofErr w:type="spellStart"/>
            <w:r>
              <w:rPr>
                <w:rStyle w:val="font141"/>
                <w:sz w:val="24"/>
                <w:szCs w:val="24"/>
                <w:lang w:val="ru-RU"/>
              </w:rPr>
              <w:t>території</w:t>
            </w:r>
            <w:proofErr w:type="spellEnd"/>
            <w:r>
              <w:rPr>
                <w:rStyle w:val="font141"/>
                <w:sz w:val="24"/>
                <w:szCs w:val="24"/>
                <w:lang w:val="ru-RU"/>
              </w:rPr>
              <w:t xml:space="preserve"> </w:t>
            </w:r>
            <w:proofErr w:type="spellStart"/>
            <w:r>
              <w:rPr>
                <w:rStyle w:val="font141"/>
                <w:sz w:val="24"/>
                <w:szCs w:val="24"/>
                <w:lang w:val="ru-RU"/>
              </w:rPr>
              <w:t>України</w:t>
            </w:r>
            <w:proofErr w:type="spellEnd"/>
            <w:r w:rsidR="00B9525F">
              <w:rPr>
                <w:rStyle w:val="font141"/>
                <w:sz w:val="24"/>
                <w:szCs w:val="24"/>
                <w:lang w:val="ru-RU"/>
              </w:rPr>
              <w:t xml:space="preserve">, </w:t>
            </w:r>
            <w:r w:rsidR="00B9525F">
              <w:rPr>
                <w:rStyle w:val="font141"/>
                <w:sz w:val="24"/>
                <w:szCs w:val="24"/>
              </w:rPr>
              <w:t xml:space="preserve">надісланням на адресу експортера електронних повідомлень про розгляд заяви – витрати становитимуть </w:t>
            </w:r>
            <w:r w:rsidR="00B9525F">
              <w:rPr>
                <w:rStyle w:val="font141"/>
                <w:sz w:val="24"/>
                <w:szCs w:val="24"/>
                <w:lang w:val="ru-RU"/>
              </w:rPr>
              <w:t>2</w:t>
            </w:r>
            <w:r w:rsidR="00B9525F">
              <w:rPr>
                <w:rStyle w:val="font141"/>
                <w:sz w:val="24"/>
                <w:szCs w:val="24"/>
              </w:rPr>
              <w:t xml:space="preserve"> год робочого часу (</w:t>
            </w:r>
            <w:r w:rsidR="00B9525F">
              <w:rPr>
                <w:rStyle w:val="font141"/>
                <w:sz w:val="24"/>
                <w:szCs w:val="24"/>
                <w:lang w:val="ru-RU"/>
              </w:rPr>
              <w:t>104</w:t>
            </w:r>
            <w:r w:rsidR="00B9525F">
              <w:rPr>
                <w:rStyle w:val="font141"/>
                <w:sz w:val="24"/>
                <w:szCs w:val="24"/>
              </w:rPr>
              <w:t xml:space="preserve"> грн);</w:t>
            </w:r>
          </w:p>
          <w:p w14:paraId="16492461" w14:textId="0371FEEB" w:rsidR="00BE173B" w:rsidRPr="00FF6ADD" w:rsidRDefault="00BE173B" w:rsidP="00BE173B">
            <w:pPr>
              <w:jc w:val="both"/>
              <w:rPr>
                <w:rStyle w:val="font141"/>
                <w:sz w:val="24"/>
                <w:szCs w:val="24"/>
              </w:rPr>
            </w:pPr>
            <w:r w:rsidRPr="00FF6ADD">
              <w:rPr>
                <w:rStyle w:val="font141"/>
                <w:sz w:val="24"/>
                <w:szCs w:val="24"/>
              </w:rPr>
              <w:t xml:space="preserve">перевіркою перед </w:t>
            </w:r>
            <w:proofErr w:type="spellStart"/>
            <w:r w:rsidRPr="00FF6ADD">
              <w:rPr>
                <w:rStyle w:val="font141"/>
                <w:sz w:val="24"/>
                <w:szCs w:val="24"/>
              </w:rPr>
              <w:t>видачею</w:t>
            </w:r>
            <w:proofErr w:type="spellEnd"/>
            <w:r w:rsidRPr="00FF6ADD">
              <w:rPr>
                <w:rStyle w:val="font141"/>
                <w:sz w:val="24"/>
                <w:szCs w:val="24"/>
              </w:rPr>
              <w:t xml:space="preserve"> </w:t>
            </w:r>
            <w:r w:rsidR="00B9525F">
              <w:rPr>
                <w:rStyle w:val="font141"/>
                <w:sz w:val="24"/>
                <w:szCs w:val="24"/>
              </w:rPr>
              <w:t xml:space="preserve">документа, що підтверджує статус преференційного походження товарів </w:t>
            </w:r>
            <w:r w:rsidRPr="00FF6ADD">
              <w:rPr>
                <w:rStyle w:val="font141"/>
                <w:sz w:val="24"/>
                <w:szCs w:val="24"/>
              </w:rPr>
              <w:t xml:space="preserve">правильності заповнення </w:t>
            </w:r>
            <w:r w:rsidR="00B9525F">
              <w:rPr>
                <w:rStyle w:val="font141"/>
                <w:sz w:val="24"/>
                <w:szCs w:val="24"/>
              </w:rPr>
              <w:t xml:space="preserve">додаткових </w:t>
            </w:r>
            <w:r w:rsidRPr="00FF6ADD">
              <w:rPr>
                <w:rStyle w:val="font141"/>
                <w:sz w:val="24"/>
                <w:szCs w:val="24"/>
              </w:rPr>
              <w:t>документів та інформації до заяви</w:t>
            </w:r>
            <w:r w:rsidR="00B9525F">
              <w:rPr>
                <w:rStyle w:val="font141"/>
                <w:sz w:val="24"/>
                <w:szCs w:val="24"/>
              </w:rPr>
              <w:t xml:space="preserve"> експортера </w:t>
            </w:r>
            <w:r w:rsidRPr="00FF6ADD">
              <w:rPr>
                <w:rStyle w:val="font141"/>
                <w:sz w:val="24"/>
                <w:szCs w:val="24"/>
              </w:rPr>
              <w:t xml:space="preserve">та електронної копії </w:t>
            </w:r>
            <w:r w:rsidR="00B9525F">
              <w:rPr>
                <w:rStyle w:val="font141"/>
                <w:sz w:val="24"/>
                <w:szCs w:val="24"/>
              </w:rPr>
              <w:t>преференційного документа</w:t>
            </w:r>
            <w:r w:rsidRPr="00FF6ADD">
              <w:rPr>
                <w:rStyle w:val="font141"/>
                <w:sz w:val="24"/>
                <w:szCs w:val="24"/>
              </w:rPr>
              <w:t xml:space="preserve">, надісланням на адресу експортера електронних повідомлень про розгляд заяви – витрати становитимуть </w:t>
            </w:r>
            <w:r w:rsidRPr="00FF6ADD">
              <w:rPr>
                <w:rStyle w:val="font141"/>
                <w:sz w:val="24"/>
                <w:szCs w:val="24"/>
                <w:lang w:val="ru-RU"/>
              </w:rPr>
              <w:t>2</w:t>
            </w:r>
            <w:r w:rsidRPr="00FF6ADD">
              <w:rPr>
                <w:rStyle w:val="font141"/>
                <w:sz w:val="24"/>
                <w:szCs w:val="24"/>
              </w:rPr>
              <w:t xml:space="preserve"> год робочого часу (</w:t>
            </w:r>
            <w:r w:rsidR="00B9525F">
              <w:rPr>
                <w:rStyle w:val="font141"/>
                <w:sz w:val="24"/>
                <w:szCs w:val="24"/>
                <w:lang w:val="ru-RU"/>
              </w:rPr>
              <w:t>104</w:t>
            </w:r>
            <w:r w:rsidRPr="00FF6ADD">
              <w:rPr>
                <w:rStyle w:val="font141"/>
                <w:sz w:val="24"/>
                <w:szCs w:val="24"/>
              </w:rPr>
              <w:t xml:space="preserve"> грн);</w:t>
            </w:r>
          </w:p>
          <w:p w14:paraId="0F054A0C" w14:textId="3D9018C4" w:rsidR="00BE173B" w:rsidRPr="00FF6ADD" w:rsidRDefault="00BE173B" w:rsidP="00BE173B">
            <w:pPr>
              <w:jc w:val="both"/>
              <w:rPr>
                <w:rStyle w:val="font141"/>
                <w:sz w:val="24"/>
                <w:szCs w:val="24"/>
              </w:rPr>
            </w:pPr>
            <w:r w:rsidRPr="00FF6ADD">
              <w:rPr>
                <w:rStyle w:val="font141"/>
                <w:sz w:val="24"/>
                <w:szCs w:val="24"/>
              </w:rPr>
              <w:t>проведенням консультацій за зверненнями експортерів з питань застосування преференційних правил походження та надання додаткових документів, становлять 2 год (</w:t>
            </w:r>
            <w:r w:rsidR="00D145F3">
              <w:rPr>
                <w:rStyle w:val="font141"/>
                <w:sz w:val="24"/>
                <w:szCs w:val="24"/>
              </w:rPr>
              <w:t>104</w:t>
            </w:r>
            <w:r w:rsidRPr="00FF6ADD">
              <w:rPr>
                <w:rStyle w:val="font141"/>
                <w:sz w:val="24"/>
                <w:szCs w:val="24"/>
              </w:rPr>
              <w:t xml:space="preserve"> грн).</w:t>
            </w:r>
          </w:p>
          <w:p w14:paraId="16E986A1" w14:textId="5638D527" w:rsidR="00BE173B" w:rsidRPr="00FF6ADD" w:rsidRDefault="00BE173B" w:rsidP="00722B31">
            <w:pPr>
              <w:jc w:val="both"/>
              <w:rPr>
                <w:rStyle w:val="font141"/>
                <w:sz w:val="24"/>
                <w:szCs w:val="24"/>
              </w:rPr>
            </w:pPr>
            <w:r w:rsidRPr="00FF6ADD">
              <w:rPr>
                <w:rStyle w:val="font141"/>
                <w:sz w:val="24"/>
                <w:szCs w:val="24"/>
              </w:rPr>
              <w:t>Враховуючи, що суб’єкти господарювання щорічно отриму</w:t>
            </w:r>
            <w:r w:rsidR="008A242D">
              <w:rPr>
                <w:rStyle w:val="font141"/>
                <w:sz w:val="24"/>
                <w:szCs w:val="24"/>
              </w:rPr>
              <w:t>ватимуть</w:t>
            </w:r>
            <w:r w:rsidRPr="00FF6ADD">
              <w:rPr>
                <w:rStyle w:val="font141"/>
                <w:sz w:val="24"/>
                <w:szCs w:val="24"/>
              </w:rPr>
              <w:t xml:space="preserve"> </w:t>
            </w:r>
            <w:r w:rsidR="008A242D">
              <w:rPr>
                <w:rStyle w:val="font141"/>
                <w:sz w:val="24"/>
                <w:szCs w:val="24"/>
              </w:rPr>
              <w:t>5 преференційних документів про походження</w:t>
            </w:r>
            <w:r w:rsidRPr="00FF6ADD">
              <w:rPr>
                <w:rStyle w:val="font141"/>
                <w:sz w:val="24"/>
                <w:szCs w:val="24"/>
              </w:rPr>
              <w:t xml:space="preserve"> та за зверненнями </w:t>
            </w:r>
            <w:r w:rsidR="008A242D">
              <w:rPr>
                <w:rStyle w:val="font141"/>
                <w:sz w:val="24"/>
                <w:szCs w:val="24"/>
              </w:rPr>
              <w:t xml:space="preserve">21 </w:t>
            </w:r>
            <w:r w:rsidRPr="00FF6ADD">
              <w:rPr>
                <w:rStyle w:val="font141"/>
                <w:sz w:val="24"/>
                <w:szCs w:val="24"/>
              </w:rPr>
              <w:t>суб’єкт</w:t>
            </w:r>
            <w:r w:rsidR="008A242D">
              <w:rPr>
                <w:rStyle w:val="font141"/>
                <w:sz w:val="24"/>
                <w:szCs w:val="24"/>
              </w:rPr>
              <w:t>а</w:t>
            </w:r>
            <w:r w:rsidRPr="00FF6ADD">
              <w:rPr>
                <w:rStyle w:val="font141"/>
                <w:sz w:val="24"/>
                <w:szCs w:val="24"/>
              </w:rPr>
              <w:t xml:space="preserve"> господарювання проводи</w:t>
            </w:r>
            <w:r w:rsidR="00662428">
              <w:rPr>
                <w:rStyle w:val="font141"/>
                <w:sz w:val="24"/>
                <w:szCs w:val="24"/>
              </w:rPr>
              <w:t>ти</w:t>
            </w:r>
            <w:r w:rsidR="008A242D">
              <w:rPr>
                <w:rStyle w:val="font141"/>
                <w:sz w:val="24"/>
                <w:szCs w:val="24"/>
              </w:rPr>
              <w:t>му</w:t>
            </w:r>
            <w:r w:rsidRPr="00FF6ADD">
              <w:rPr>
                <w:rStyle w:val="font141"/>
                <w:sz w:val="24"/>
                <w:szCs w:val="24"/>
              </w:rPr>
              <w:t xml:space="preserve">ться </w:t>
            </w:r>
            <w:r w:rsidR="008A242D">
              <w:rPr>
                <w:rStyle w:val="font141"/>
                <w:sz w:val="24"/>
                <w:szCs w:val="24"/>
              </w:rPr>
              <w:t xml:space="preserve"> консультації для кожного </w:t>
            </w:r>
            <w:r w:rsidR="00662428">
              <w:rPr>
                <w:rStyle w:val="font141"/>
                <w:sz w:val="24"/>
                <w:szCs w:val="24"/>
              </w:rPr>
              <w:t>суб’єкта</w:t>
            </w:r>
            <w:r w:rsidR="008A242D">
              <w:rPr>
                <w:rStyle w:val="font141"/>
                <w:sz w:val="24"/>
                <w:szCs w:val="24"/>
              </w:rPr>
              <w:t xml:space="preserve"> одн</w:t>
            </w:r>
            <w:r w:rsidR="00722B31">
              <w:rPr>
                <w:rStyle w:val="font141"/>
                <w:sz w:val="24"/>
                <w:szCs w:val="24"/>
              </w:rPr>
              <w:t>о</w:t>
            </w:r>
            <w:r w:rsidR="008A242D">
              <w:rPr>
                <w:rStyle w:val="font141"/>
                <w:sz w:val="24"/>
                <w:szCs w:val="24"/>
              </w:rPr>
              <w:t>раз</w:t>
            </w:r>
            <w:r w:rsidR="00722B31">
              <w:rPr>
                <w:rStyle w:val="font141"/>
                <w:sz w:val="24"/>
                <w:szCs w:val="24"/>
              </w:rPr>
              <w:t>ово</w:t>
            </w:r>
            <w:r w:rsidRPr="00FF6ADD">
              <w:rPr>
                <w:rStyle w:val="font141"/>
                <w:sz w:val="24"/>
                <w:szCs w:val="24"/>
              </w:rPr>
              <w:t xml:space="preserve">, загальні витрати митних органів, пов’язані з процедурою видачі </w:t>
            </w:r>
            <w:r w:rsidR="008A242D">
              <w:rPr>
                <w:rStyle w:val="font141"/>
                <w:sz w:val="24"/>
                <w:szCs w:val="24"/>
              </w:rPr>
              <w:t xml:space="preserve">тарифної квоти при експорті </w:t>
            </w:r>
            <w:r w:rsidRPr="00FF6ADD">
              <w:rPr>
                <w:rStyle w:val="font141"/>
                <w:sz w:val="24"/>
                <w:szCs w:val="24"/>
              </w:rPr>
              <w:t xml:space="preserve"> та проведенням консультацій за один рік </w:t>
            </w:r>
            <w:r w:rsidRPr="00FF6ADD">
              <w:rPr>
                <w:rStyle w:val="font141"/>
                <w:sz w:val="24"/>
                <w:szCs w:val="24"/>
              </w:rPr>
              <w:lastRenderedPageBreak/>
              <w:t xml:space="preserve">становитимуть </w:t>
            </w:r>
            <w:r w:rsidR="00CA637F">
              <w:rPr>
                <w:rFonts w:eastAsia="Times New Roman"/>
                <w:lang w:eastAsia="ru-RU"/>
              </w:rPr>
              <w:t>24 024</w:t>
            </w:r>
            <w:r w:rsidRPr="00FF6ADD">
              <w:rPr>
                <w:rStyle w:val="font141"/>
                <w:sz w:val="24"/>
                <w:szCs w:val="24"/>
              </w:rPr>
              <w:t xml:space="preserve"> грн, а за п’ять років – </w:t>
            </w:r>
            <w:r w:rsidR="00CA637F">
              <w:rPr>
                <w:rFonts w:eastAsiaTheme="minorHAnsi"/>
                <w:lang w:eastAsia="en-US"/>
              </w:rPr>
              <w:t>120 120</w:t>
            </w:r>
            <w:r w:rsidRPr="00FF6ADD">
              <w:rPr>
                <w:rFonts w:eastAsiaTheme="minorHAnsi"/>
                <w:lang w:eastAsia="en-US"/>
              </w:rPr>
              <w:t xml:space="preserve"> грн.</w:t>
            </w:r>
          </w:p>
        </w:tc>
      </w:tr>
    </w:tbl>
    <w:p w14:paraId="6BA9A42C" w14:textId="4999AEC5" w:rsidR="00BE173B" w:rsidRDefault="00BE173B" w:rsidP="00BE173B">
      <w:pPr>
        <w:ind w:firstLine="567"/>
        <w:jc w:val="both"/>
        <w:rPr>
          <w:rFonts w:eastAsia="Times New Roman"/>
          <w:lang w:eastAsia="ru-RU"/>
        </w:rPr>
      </w:pPr>
      <w:r>
        <w:rPr>
          <w:rFonts w:eastAsia="Times New Roman"/>
          <w:lang w:eastAsia="ru-RU"/>
        </w:rPr>
        <w:lastRenderedPageBreak/>
        <w:t>*Розрахунок часових і матеріальних витрат посадової особи митного органу за один рік здійснено з урахуванням середньої заробітної плати по Україні відповідно до Закону України «Про державний бюджет України на 2026 рік», яким затверджено розмір мінімальної заробітної плати на 2026 рік (з 1 січня 2026 року мінімальна заробітна плата у місячному розмірі становить 8 647 гривень, погодинна – 52,0 гривень).</w:t>
      </w:r>
    </w:p>
    <w:p w14:paraId="3DC16F2C" w14:textId="77777777" w:rsidR="00344EAE" w:rsidRDefault="00344EAE" w:rsidP="00962378">
      <w:pPr>
        <w:ind w:firstLine="567"/>
        <w:jc w:val="both"/>
        <w:rPr>
          <w:rFonts w:eastAsia="Times New Roman"/>
          <w:sz w:val="28"/>
          <w:szCs w:val="28"/>
        </w:rPr>
      </w:pPr>
    </w:p>
    <w:p w14:paraId="47FBBE4F" w14:textId="2FD5ED6E" w:rsidR="009A602A" w:rsidRPr="00D35E0D" w:rsidRDefault="009A602A" w:rsidP="00962378">
      <w:pPr>
        <w:ind w:firstLine="567"/>
        <w:jc w:val="both"/>
        <w:rPr>
          <w:sz w:val="28"/>
          <w:szCs w:val="28"/>
          <w:shd w:val="clear" w:color="auto" w:fill="FFFFFF"/>
        </w:rPr>
      </w:pPr>
      <w:r w:rsidRPr="00D35E0D">
        <w:rPr>
          <w:sz w:val="28"/>
          <w:szCs w:val="28"/>
          <w:shd w:val="clear" w:color="auto" w:fill="FFFFFF"/>
        </w:rPr>
        <w:t>2.2. Оцінка впливу на сферу інтересів громадян</w:t>
      </w:r>
      <w:r w:rsidR="00E70524">
        <w:rPr>
          <w:sz w:val="28"/>
          <w:szCs w:val="28"/>
          <w:shd w:val="clear" w:color="auto" w:fill="FFFFFF"/>
        </w:rPr>
        <w:t>.</w:t>
      </w:r>
    </w:p>
    <w:p w14:paraId="68359E41" w14:textId="77777777" w:rsidR="00B66D03" w:rsidRDefault="00B66D03" w:rsidP="00962378">
      <w:pPr>
        <w:ind w:firstLine="567"/>
        <w:jc w:val="both"/>
        <w:rPr>
          <w:rFonts w:eastAsia="Times New Roman"/>
          <w:sz w:val="28"/>
          <w:szCs w:val="28"/>
        </w:rPr>
      </w:pPr>
    </w:p>
    <w:p w14:paraId="3D800950" w14:textId="4482A9F5" w:rsidR="009A602A" w:rsidRPr="00D35E0D" w:rsidRDefault="00A13298" w:rsidP="00962378">
      <w:pPr>
        <w:ind w:firstLine="567"/>
        <w:jc w:val="both"/>
        <w:rPr>
          <w:rFonts w:eastAsia="Times New Roman"/>
          <w:sz w:val="28"/>
          <w:szCs w:val="28"/>
        </w:rPr>
      </w:pPr>
      <w:r w:rsidRPr="00D35E0D">
        <w:rPr>
          <w:rFonts w:eastAsia="Times New Roman"/>
          <w:sz w:val="28"/>
          <w:szCs w:val="28"/>
        </w:rPr>
        <w:t>П</w:t>
      </w:r>
      <w:r w:rsidR="00044AE7">
        <w:rPr>
          <w:rFonts w:eastAsia="Times New Roman"/>
          <w:sz w:val="28"/>
          <w:szCs w:val="28"/>
        </w:rPr>
        <w:t xml:space="preserve">орядок контролю за розподілом тарифної квоти </w:t>
      </w:r>
      <w:r w:rsidRPr="00D35E0D">
        <w:rPr>
          <w:rFonts w:eastAsia="Times New Roman"/>
          <w:sz w:val="28"/>
          <w:szCs w:val="28"/>
        </w:rPr>
        <w:t>не стосується громадян.</w:t>
      </w:r>
    </w:p>
    <w:p w14:paraId="4756D6CD" w14:textId="77777777" w:rsidR="00320779" w:rsidRDefault="00320779" w:rsidP="00F906CB">
      <w:pPr>
        <w:ind w:firstLine="567"/>
        <w:jc w:val="both"/>
        <w:rPr>
          <w:rFonts w:eastAsia="Times New Roman"/>
          <w:sz w:val="28"/>
          <w:szCs w:val="28"/>
        </w:rPr>
      </w:pPr>
    </w:p>
    <w:p w14:paraId="78179CF6" w14:textId="77777777" w:rsidR="00441950" w:rsidRPr="00557B85" w:rsidRDefault="001C0D1D" w:rsidP="00F906CB">
      <w:pPr>
        <w:ind w:firstLine="567"/>
        <w:rPr>
          <w:rStyle w:val="font171"/>
          <w:lang w:val="ru-RU"/>
        </w:rPr>
      </w:pPr>
      <w:r w:rsidRPr="00557B85">
        <w:rPr>
          <w:rStyle w:val="font171"/>
        </w:rPr>
        <w:t xml:space="preserve">2.3. </w:t>
      </w:r>
      <w:r w:rsidR="00441950" w:rsidRPr="00557B85">
        <w:rPr>
          <w:rStyle w:val="font171"/>
        </w:rPr>
        <w:t>Оцінка впливу на сферу інтересів суб’єктів господарювання</w:t>
      </w:r>
      <w:r w:rsidRPr="00557B85">
        <w:rPr>
          <w:rStyle w:val="font171"/>
        </w:rPr>
        <w:t>.</w:t>
      </w:r>
    </w:p>
    <w:p w14:paraId="3CED72B8" w14:textId="77777777" w:rsidR="007434D8" w:rsidRDefault="007434D8" w:rsidP="007434D8">
      <w:pPr>
        <w:ind w:firstLine="567"/>
        <w:jc w:val="both"/>
        <w:rPr>
          <w:rFonts w:eastAsia="Times New Roman"/>
          <w:sz w:val="28"/>
          <w:szCs w:val="28"/>
        </w:rPr>
      </w:pPr>
    </w:p>
    <w:p w14:paraId="7C56BF4D" w14:textId="77777777" w:rsidR="007434D8" w:rsidRPr="007434D8" w:rsidRDefault="007434D8" w:rsidP="003367ED">
      <w:pPr>
        <w:ind w:firstLine="567"/>
        <w:jc w:val="both"/>
        <w:rPr>
          <w:rFonts w:eastAsia="Times New Roman"/>
          <w:sz w:val="28"/>
          <w:szCs w:val="28"/>
        </w:rPr>
      </w:pPr>
      <w:r w:rsidRPr="007434D8">
        <w:rPr>
          <w:rFonts w:eastAsia="Times New Roman"/>
          <w:sz w:val="28"/>
          <w:szCs w:val="28"/>
        </w:rPr>
        <w:t>Відповідно до норм статті 455 Митного кодексу</w:t>
      </w:r>
      <w:r w:rsidR="00242366">
        <w:rPr>
          <w:rFonts w:eastAsia="Times New Roman"/>
          <w:sz w:val="28"/>
          <w:szCs w:val="28"/>
        </w:rPr>
        <w:t xml:space="preserve"> України</w:t>
      </w:r>
      <w:r w:rsidRPr="007434D8">
        <w:rPr>
          <w:rFonts w:eastAsia="Times New Roman"/>
          <w:sz w:val="28"/>
          <w:szCs w:val="28"/>
        </w:rPr>
        <w:t xml:space="preserve"> Держмитслужбою ведеться облік осіб, які під час провадження своєї діяльності є учасниками відносин, що регулюються законодавством України з питань митної справи без їх розподілу на суб’єктів великого, середньог</w:t>
      </w:r>
      <w:r w:rsidR="00242366">
        <w:rPr>
          <w:rFonts w:eastAsia="Times New Roman"/>
          <w:sz w:val="28"/>
          <w:szCs w:val="28"/>
        </w:rPr>
        <w:t>о та малого підприємництва.</w:t>
      </w:r>
      <w:r w:rsidRPr="007434D8">
        <w:rPr>
          <w:rFonts w:eastAsia="Times New Roman"/>
          <w:sz w:val="28"/>
          <w:szCs w:val="28"/>
        </w:rPr>
        <w:t>  </w:t>
      </w:r>
    </w:p>
    <w:p w14:paraId="11725378" w14:textId="14EDFC90" w:rsidR="00407B8D" w:rsidRDefault="001C0D1D" w:rsidP="00407B8D">
      <w:pPr>
        <w:ind w:firstLine="567"/>
        <w:jc w:val="both"/>
        <w:rPr>
          <w:rFonts w:eastAsia="Times New Roman"/>
          <w:sz w:val="28"/>
          <w:szCs w:val="28"/>
          <w:lang w:eastAsia="ru-RU"/>
        </w:rPr>
      </w:pPr>
      <w:r w:rsidRPr="00557B85">
        <w:rPr>
          <w:rStyle w:val="font171"/>
        </w:rPr>
        <w:t xml:space="preserve">За даними інформаційних систем Держмитслужби </w:t>
      </w:r>
      <w:r w:rsidR="00D75EF8" w:rsidRPr="00557B85">
        <w:rPr>
          <w:rStyle w:val="font171"/>
        </w:rPr>
        <w:t>протягом</w:t>
      </w:r>
      <w:r w:rsidR="00242366">
        <w:rPr>
          <w:rStyle w:val="font171"/>
        </w:rPr>
        <w:t xml:space="preserve"> </w:t>
      </w:r>
      <w:r w:rsidR="000623EB" w:rsidRPr="00557B85">
        <w:rPr>
          <w:rStyle w:val="font171"/>
        </w:rPr>
        <w:t>2024</w:t>
      </w:r>
      <w:r w:rsidR="00044AE7">
        <w:rPr>
          <w:rStyle w:val="font171"/>
        </w:rPr>
        <w:t> </w:t>
      </w:r>
      <w:r w:rsidR="00E20DDE" w:rsidRPr="00557B85">
        <w:rPr>
          <w:rStyle w:val="font171"/>
        </w:rPr>
        <w:t>–</w:t>
      </w:r>
      <w:r w:rsidR="00044AE7">
        <w:rPr>
          <w:rStyle w:val="font171"/>
        </w:rPr>
        <w:t> </w:t>
      </w:r>
      <w:r w:rsidR="000623EB" w:rsidRPr="00557B85">
        <w:rPr>
          <w:rStyle w:val="font171"/>
        </w:rPr>
        <w:t>202</w:t>
      </w:r>
      <w:r w:rsidR="00044AE7">
        <w:rPr>
          <w:rStyle w:val="font171"/>
        </w:rPr>
        <w:t>6 р</w:t>
      </w:r>
      <w:r w:rsidR="00817303">
        <w:rPr>
          <w:rStyle w:val="font171"/>
        </w:rPr>
        <w:t>оків</w:t>
      </w:r>
      <w:r w:rsidR="000623EB" w:rsidRPr="00557B85">
        <w:rPr>
          <w:rFonts w:eastAsia="Times New Roman"/>
          <w:sz w:val="28"/>
          <w:szCs w:val="28"/>
          <w:lang w:eastAsia="ru-RU"/>
        </w:rPr>
        <w:t xml:space="preserve"> станом на 01.0</w:t>
      </w:r>
      <w:r w:rsidR="00407B8D">
        <w:rPr>
          <w:rFonts w:eastAsia="Times New Roman"/>
          <w:sz w:val="28"/>
          <w:szCs w:val="28"/>
          <w:lang w:eastAsia="ru-RU"/>
        </w:rPr>
        <w:t>6</w:t>
      </w:r>
      <w:r w:rsidR="000623EB" w:rsidRPr="00557B85">
        <w:rPr>
          <w:rFonts w:eastAsia="Times New Roman"/>
          <w:sz w:val="28"/>
          <w:szCs w:val="28"/>
          <w:lang w:eastAsia="ru-RU"/>
        </w:rPr>
        <w:t>.202</w:t>
      </w:r>
      <w:r w:rsidR="00044AE7">
        <w:rPr>
          <w:rFonts w:eastAsia="Times New Roman"/>
          <w:sz w:val="28"/>
          <w:szCs w:val="28"/>
          <w:lang w:eastAsia="ru-RU"/>
        </w:rPr>
        <w:t>6</w:t>
      </w:r>
      <w:r w:rsidR="00D75EF8" w:rsidRPr="00557B85">
        <w:rPr>
          <w:rFonts w:eastAsia="Times New Roman"/>
          <w:sz w:val="28"/>
          <w:szCs w:val="28"/>
          <w:lang w:eastAsia="ru-RU"/>
        </w:rPr>
        <w:t xml:space="preserve"> </w:t>
      </w:r>
      <w:r w:rsidR="00411838" w:rsidRPr="00557B85">
        <w:rPr>
          <w:rFonts w:eastAsia="Times New Roman"/>
          <w:sz w:val="28"/>
          <w:szCs w:val="28"/>
          <w:lang w:eastAsia="ru-RU"/>
        </w:rPr>
        <w:t>експорт</w:t>
      </w:r>
      <w:r w:rsidR="00044AE7">
        <w:rPr>
          <w:rFonts w:eastAsia="Times New Roman"/>
          <w:sz w:val="28"/>
          <w:szCs w:val="28"/>
          <w:lang w:eastAsia="ru-RU"/>
        </w:rPr>
        <w:t xml:space="preserve"> товарів </w:t>
      </w:r>
      <w:r w:rsidR="000C0D69">
        <w:rPr>
          <w:rFonts w:eastAsia="Times New Roman"/>
          <w:sz w:val="28"/>
          <w:szCs w:val="28"/>
          <w:lang w:eastAsia="ru-RU"/>
        </w:rPr>
        <w:t xml:space="preserve">з України </w:t>
      </w:r>
      <w:r w:rsidR="00044AE7">
        <w:rPr>
          <w:rFonts w:eastAsia="Times New Roman"/>
          <w:sz w:val="28"/>
          <w:szCs w:val="28"/>
          <w:lang w:eastAsia="ru-RU"/>
        </w:rPr>
        <w:t>до</w:t>
      </w:r>
      <w:r w:rsidR="00044AE7" w:rsidRPr="00044AE7">
        <w:t xml:space="preserve"> </w:t>
      </w:r>
      <w:r w:rsidR="00044AE7" w:rsidRPr="00044AE7">
        <w:rPr>
          <w:rFonts w:eastAsia="Times New Roman"/>
          <w:sz w:val="28"/>
          <w:szCs w:val="28"/>
          <w:lang w:eastAsia="ru-RU"/>
        </w:rPr>
        <w:t>Об’єднаних Арабських Еміратів</w:t>
      </w:r>
      <w:r w:rsidR="00044AE7">
        <w:rPr>
          <w:rFonts w:eastAsia="Times New Roman"/>
          <w:sz w:val="28"/>
          <w:szCs w:val="28"/>
          <w:lang w:eastAsia="ru-RU"/>
        </w:rPr>
        <w:t>, що підпадатимуть під експортну квоту не здійснювався</w:t>
      </w:r>
      <w:r w:rsidR="00817303">
        <w:rPr>
          <w:rFonts w:eastAsia="Times New Roman"/>
          <w:sz w:val="28"/>
          <w:szCs w:val="28"/>
          <w:lang w:eastAsia="ru-RU"/>
        </w:rPr>
        <w:t>.</w:t>
      </w:r>
      <w:r w:rsidR="007F516D">
        <w:rPr>
          <w:rFonts w:eastAsia="Times New Roman"/>
          <w:sz w:val="28"/>
          <w:szCs w:val="28"/>
          <w:lang w:eastAsia="ru-RU"/>
        </w:rPr>
        <w:t xml:space="preserve"> </w:t>
      </w:r>
      <w:r w:rsidR="00817303">
        <w:rPr>
          <w:rFonts w:eastAsia="Times New Roman"/>
          <w:sz w:val="28"/>
          <w:szCs w:val="28"/>
          <w:lang w:eastAsia="ru-RU"/>
        </w:rPr>
        <w:t>При цьому</w:t>
      </w:r>
      <w:r w:rsidR="00D73321">
        <w:rPr>
          <w:rFonts w:eastAsia="Times New Roman"/>
          <w:sz w:val="28"/>
          <w:szCs w:val="28"/>
          <w:lang w:eastAsia="ru-RU"/>
        </w:rPr>
        <w:t xml:space="preserve"> у 2024</w:t>
      </w:r>
      <w:r w:rsidR="00817303">
        <w:rPr>
          <w:rFonts w:eastAsia="Times New Roman"/>
          <w:sz w:val="28"/>
          <w:szCs w:val="28"/>
          <w:lang w:eastAsia="ru-RU"/>
        </w:rPr>
        <w:t xml:space="preserve"> </w:t>
      </w:r>
      <w:r w:rsidR="00817303">
        <w:rPr>
          <w:rStyle w:val="font141"/>
        </w:rPr>
        <w:t xml:space="preserve">– </w:t>
      </w:r>
      <w:r w:rsidR="00D73321">
        <w:rPr>
          <w:rFonts w:eastAsia="Times New Roman"/>
          <w:sz w:val="28"/>
          <w:szCs w:val="28"/>
          <w:lang w:eastAsia="ru-RU"/>
        </w:rPr>
        <w:t>2025</w:t>
      </w:r>
      <w:r w:rsidR="00817303">
        <w:rPr>
          <w:rFonts w:eastAsia="Times New Roman"/>
          <w:sz w:val="28"/>
          <w:szCs w:val="28"/>
          <w:lang w:eastAsia="ru-RU"/>
        </w:rPr>
        <w:t xml:space="preserve"> </w:t>
      </w:r>
      <w:r w:rsidR="00D73321">
        <w:rPr>
          <w:rFonts w:eastAsia="Times New Roman"/>
          <w:sz w:val="28"/>
          <w:szCs w:val="28"/>
          <w:lang w:eastAsia="ru-RU"/>
        </w:rPr>
        <w:t>р</w:t>
      </w:r>
      <w:r w:rsidR="00817303">
        <w:rPr>
          <w:rFonts w:eastAsia="Times New Roman"/>
          <w:sz w:val="28"/>
          <w:szCs w:val="28"/>
          <w:lang w:eastAsia="ru-RU"/>
        </w:rPr>
        <w:t>оках</w:t>
      </w:r>
      <w:r w:rsidR="00407B8D">
        <w:rPr>
          <w:rFonts w:eastAsia="Times New Roman"/>
          <w:sz w:val="28"/>
          <w:szCs w:val="28"/>
          <w:lang w:eastAsia="ru-RU"/>
        </w:rPr>
        <w:t xml:space="preserve"> експортні операції </w:t>
      </w:r>
      <w:r w:rsidR="00180740">
        <w:rPr>
          <w:rFonts w:eastAsia="Times New Roman"/>
          <w:sz w:val="28"/>
          <w:szCs w:val="28"/>
          <w:lang w:eastAsia="ru-RU"/>
        </w:rPr>
        <w:t xml:space="preserve">з подібними товарами </w:t>
      </w:r>
      <w:r w:rsidR="00407B8D">
        <w:rPr>
          <w:rFonts w:eastAsia="Times New Roman"/>
          <w:sz w:val="28"/>
          <w:szCs w:val="28"/>
          <w:lang w:eastAsia="ru-RU"/>
        </w:rPr>
        <w:t>здійсн</w:t>
      </w:r>
      <w:r w:rsidR="00180740">
        <w:rPr>
          <w:rFonts w:eastAsia="Times New Roman"/>
          <w:sz w:val="28"/>
          <w:szCs w:val="28"/>
          <w:lang w:eastAsia="ru-RU"/>
        </w:rPr>
        <w:t xml:space="preserve">ювалися 21  </w:t>
      </w:r>
      <w:r w:rsidR="00407B8D">
        <w:rPr>
          <w:rStyle w:val="font171"/>
        </w:rPr>
        <w:t>суб’єкт</w:t>
      </w:r>
      <w:r w:rsidR="00180740">
        <w:rPr>
          <w:rStyle w:val="font171"/>
        </w:rPr>
        <w:t xml:space="preserve">ом </w:t>
      </w:r>
      <w:r w:rsidR="00407B8D">
        <w:rPr>
          <w:rStyle w:val="font171"/>
        </w:rPr>
        <w:t>господарювання</w:t>
      </w:r>
      <w:r w:rsidR="00D73321">
        <w:rPr>
          <w:rStyle w:val="font171"/>
        </w:rPr>
        <w:t xml:space="preserve"> щорічно</w:t>
      </w:r>
      <w:r w:rsidR="00407B8D">
        <w:rPr>
          <w:rFonts w:eastAsia="Times New Roman"/>
          <w:sz w:val="28"/>
          <w:szCs w:val="28"/>
          <w:lang w:eastAsia="ru-RU"/>
        </w:rPr>
        <w:t>.</w:t>
      </w:r>
    </w:p>
    <w:p w14:paraId="61732D30" w14:textId="77777777" w:rsidR="006A1CE0" w:rsidRDefault="006A1CE0" w:rsidP="00407B8D">
      <w:pPr>
        <w:ind w:firstLine="567"/>
        <w:jc w:val="both"/>
        <w:rPr>
          <w:rFonts w:eastAsia="Times New Roman"/>
          <w:sz w:val="28"/>
          <w:szCs w:val="28"/>
          <w:lang w:val="ru-RU" w:eastAsia="ru-RU"/>
        </w:rPr>
      </w:pPr>
    </w:p>
    <w:tbl>
      <w:tblPr>
        <w:tblStyle w:val="ad"/>
        <w:tblW w:w="9781" w:type="dxa"/>
        <w:tblInd w:w="108" w:type="dxa"/>
        <w:tblLook w:val="04A0" w:firstRow="1" w:lastRow="0" w:firstColumn="1" w:lastColumn="0" w:noHBand="0" w:noVBand="1"/>
      </w:tblPr>
      <w:tblGrid>
        <w:gridCol w:w="2268"/>
        <w:gridCol w:w="1560"/>
        <w:gridCol w:w="1384"/>
        <w:gridCol w:w="1568"/>
        <w:gridCol w:w="1493"/>
        <w:gridCol w:w="1508"/>
      </w:tblGrid>
      <w:tr w:rsidR="00407B8D" w14:paraId="437E981C" w14:textId="77777777" w:rsidTr="00407B8D">
        <w:tc>
          <w:tcPr>
            <w:tcW w:w="2268" w:type="dxa"/>
            <w:tcBorders>
              <w:top w:val="single" w:sz="4" w:space="0" w:color="auto"/>
              <w:left w:val="single" w:sz="4" w:space="0" w:color="auto"/>
              <w:bottom w:val="single" w:sz="4" w:space="0" w:color="auto"/>
              <w:right w:val="single" w:sz="4" w:space="0" w:color="auto"/>
            </w:tcBorders>
            <w:hideMark/>
          </w:tcPr>
          <w:p w14:paraId="69F8E98C" w14:textId="77777777" w:rsidR="00407B8D" w:rsidRDefault="00407B8D">
            <w:pPr>
              <w:jc w:val="center"/>
              <w:rPr>
                <w:rFonts w:eastAsia="Times New Roman"/>
                <w:b/>
                <w:lang w:eastAsia="ru-RU"/>
              </w:rPr>
            </w:pPr>
            <w:r>
              <w:rPr>
                <w:rFonts w:eastAsia="Times New Roman"/>
                <w:b/>
                <w:lang w:eastAsia="ru-RU"/>
              </w:rPr>
              <w:t>Показник</w:t>
            </w:r>
          </w:p>
        </w:tc>
        <w:tc>
          <w:tcPr>
            <w:tcW w:w="1560" w:type="dxa"/>
            <w:tcBorders>
              <w:top w:val="single" w:sz="4" w:space="0" w:color="auto"/>
              <w:left w:val="single" w:sz="4" w:space="0" w:color="auto"/>
              <w:bottom w:val="single" w:sz="4" w:space="0" w:color="auto"/>
              <w:right w:val="single" w:sz="4" w:space="0" w:color="auto"/>
            </w:tcBorders>
            <w:hideMark/>
          </w:tcPr>
          <w:p w14:paraId="0D24A097" w14:textId="77777777" w:rsidR="00407B8D" w:rsidRDefault="00407B8D">
            <w:pPr>
              <w:jc w:val="center"/>
              <w:rPr>
                <w:rFonts w:eastAsia="Times New Roman"/>
                <w:b/>
                <w:lang w:eastAsia="ru-RU"/>
              </w:rPr>
            </w:pPr>
            <w:r>
              <w:rPr>
                <w:rFonts w:eastAsia="Times New Roman"/>
                <w:b/>
                <w:lang w:eastAsia="ru-RU"/>
              </w:rPr>
              <w:t>Великі</w:t>
            </w:r>
          </w:p>
        </w:tc>
        <w:tc>
          <w:tcPr>
            <w:tcW w:w="1384" w:type="dxa"/>
            <w:tcBorders>
              <w:top w:val="single" w:sz="4" w:space="0" w:color="auto"/>
              <w:left w:val="single" w:sz="4" w:space="0" w:color="auto"/>
              <w:bottom w:val="single" w:sz="4" w:space="0" w:color="auto"/>
              <w:right w:val="single" w:sz="4" w:space="0" w:color="auto"/>
            </w:tcBorders>
            <w:hideMark/>
          </w:tcPr>
          <w:p w14:paraId="51317694" w14:textId="77777777" w:rsidR="00407B8D" w:rsidRDefault="00407B8D">
            <w:pPr>
              <w:jc w:val="center"/>
              <w:rPr>
                <w:rFonts w:eastAsia="Times New Roman"/>
                <w:b/>
                <w:lang w:eastAsia="ru-RU"/>
              </w:rPr>
            </w:pPr>
            <w:r>
              <w:rPr>
                <w:rFonts w:eastAsia="Times New Roman"/>
                <w:b/>
                <w:lang w:eastAsia="ru-RU"/>
              </w:rPr>
              <w:t>Середні</w:t>
            </w:r>
          </w:p>
        </w:tc>
        <w:tc>
          <w:tcPr>
            <w:tcW w:w="1568" w:type="dxa"/>
            <w:tcBorders>
              <w:top w:val="single" w:sz="4" w:space="0" w:color="auto"/>
              <w:left w:val="single" w:sz="4" w:space="0" w:color="auto"/>
              <w:bottom w:val="single" w:sz="4" w:space="0" w:color="auto"/>
              <w:right w:val="single" w:sz="4" w:space="0" w:color="auto"/>
            </w:tcBorders>
            <w:hideMark/>
          </w:tcPr>
          <w:p w14:paraId="719EEEAB" w14:textId="77777777" w:rsidR="00407B8D" w:rsidRDefault="00407B8D">
            <w:pPr>
              <w:jc w:val="center"/>
              <w:rPr>
                <w:rFonts w:eastAsia="Times New Roman"/>
                <w:b/>
                <w:lang w:eastAsia="ru-RU"/>
              </w:rPr>
            </w:pPr>
            <w:r>
              <w:rPr>
                <w:rFonts w:eastAsia="Times New Roman"/>
                <w:b/>
                <w:lang w:eastAsia="ru-RU"/>
              </w:rPr>
              <w:t>Малі</w:t>
            </w:r>
          </w:p>
        </w:tc>
        <w:tc>
          <w:tcPr>
            <w:tcW w:w="1493" w:type="dxa"/>
            <w:tcBorders>
              <w:top w:val="single" w:sz="4" w:space="0" w:color="auto"/>
              <w:left w:val="single" w:sz="4" w:space="0" w:color="auto"/>
              <w:bottom w:val="single" w:sz="4" w:space="0" w:color="auto"/>
              <w:right w:val="single" w:sz="4" w:space="0" w:color="auto"/>
            </w:tcBorders>
            <w:hideMark/>
          </w:tcPr>
          <w:p w14:paraId="79370D54" w14:textId="77777777" w:rsidR="00407B8D" w:rsidRDefault="00407B8D">
            <w:pPr>
              <w:jc w:val="center"/>
              <w:rPr>
                <w:rFonts w:eastAsia="Times New Roman"/>
                <w:b/>
                <w:lang w:eastAsia="ru-RU"/>
              </w:rPr>
            </w:pPr>
            <w:r>
              <w:rPr>
                <w:rFonts w:eastAsia="Times New Roman"/>
                <w:b/>
                <w:lang w:eastAsia="ru-RU"/>
              </w:rPr>
              <w:t>Мікро</w:t>
            </w:r>
          </w:p>
        </w:tc>
        <w:tc>
          <w:tcPr>
            <w:tcW w:w="1508" w:type="dxa"/>
            <w:tcBorders>
              <w:top w:val="single" w:sz="4" w:space="0" w:color="auto"/>
              <w:left w:val="single" w:sz="4" w:space="0" w:color="auto"/>
              <w:bottom w:val="single" w:sz="4" w:space="0" w:color="auto"/>
              <w:right w:val="single" w:sz="4" w:space="0" w:color="auto"/>
            </w:tcBorders>
            <w:hideMark/>
          </w:tcPr>
          <w:p w14:paraId="50074F6B" w14:textId="77777777" w:rsidR="00407B8D" w:rsidRDefault="00407B8D">
            <w:pPr>
              <w:jc w:val="center"/>
              <w:rPr>
                <w:rFonts w:eastAsia="Times New Roman"/>
                <w:b/>
                <w:lang w:eastAsia="ru-RU"/>
              </w:rPr>
            </w:pPr>
            <w:r>
              <w:rPr>
                <w:rFonts w:eastAsia="Times New Roman"/>
                <w:b/>
                <w:lang w:eastAsia="ru-RU"/>
              </w:rPr>
              <w:t>Разом</w:t>
            </w:r>
          </w:p>
        </w:tc>
      </w:tr>
      <w:tr w:rsidR="00407B8D" w14:paraId="03939E7F" w14:textId="77777777" w:rsidTr="00407B8D">
        <w:tc>
          <w:tcPr>
            <w:tcW w:w="2268" w:type="dxa"/>
            <w:tcBorders>
              <w:top w:val="single" w:sz="4" w:space="0" w:color="auto"/>
              <w:left w:val="single" w:sz="4" w:space="0" w:color="auto"/>
              <w:bottom w:val="single" w:sz="4" w:space="0" w:color="auto"/>
              <w:right w:val="single" w:sz="4" w:space="0" w:color="auto"/>
            </w:tcBorders>
            <w:hideMark/>
          </w:tcPr>
          <w:p w14:paraId="6A9E34A6" w14:textId="77777777" w:rsidR="00407B8D" w:rsidRDefault="00407B8D">
            <w:pPr>
              <w:jc w:val="center"/>
              <w:rPr>
                <w:rFonts w:eastAsia="Times New Roman"/>
                <w:lang w:eastAsia="ru-RU"/>
              </w:rPr>
            </w:pPr>
            <w:r>
              <w:rPr>
                <w:rFonts w:eastAsia="Times New Roman"/>
                <w:lang w:eastAsia="ru-RU"/>
              </w:rPr>
              <w:t>Кількість суб’єктів господарювання, що підпадають під дію регулювання одиниць</w:t>
            </w:r>
          </w:p>
        </w:tc>
        <w:tc>
          <w:tcPr>
            <w:tcW w:w="1560" w:type="dxa"/>
            <w:tcBorders>
              <w:top w:val="single" w:sz="4" w:space="0" w:color="auto"/>
              <w:left w:val="single" w:sz="4" w:space="0" w:color="auto"/>
              <w:bottom w:val="single" w:sz="4" w:space="0" w:color="auto"/>
              <w:right w:val="single" w:sz="4" w:space="0" w:color="auto"/>
            </w:tcBorders>
          </w:tcPr>
          <w:p w14:paraId="5256B346" w14:textId="77777777" w:rsidR="00407B8D" w:rsidRDefault="00407B8D">
            <w:pPr>
              <w:jc w:val="center"/>
              <w:rPr>
                <w:rFonts w:eastAsia="Times New Roman"/>
                <w:lang w:eastAsia="ru-RU"/>
              </w:rPr>
            </w:pPr>
          </w:p>
          <w:p w14:paraId="63285EA4" w14:textId="77777777" w:rsidR="00407B8D" w:rsidRDefault="00407B8D">
            <w:pPr>
              <w:jc w:val="center"/>
              <w:rPr>
                <w:rFonts w:eastAsia="Times New Roman"/>
                <w:lang w:eastAsia="ru-RU"/>
              </w:rPr>
            </w:pPr>
          </w:p>
          <w:p w14:paraId="1EC3AE18" w14:textId="5E702080" w:rsidR="00407B8D" w:rsidRDefault="00407B8D">
            <w:pPr>
              <w:jc w:val="center"/>
              <w:rPr>
                <w:rFonts w:eastAsia="Times New Roman"/>
                <w:lang w:eastAsia="ru-RU"/>
              </w:rPr>
            </w:pPr>
            <w:r>
              <w:rPr>
                <w:rFonts w:eastAsia="Times New Roman"/>
                <w:lang w:eastAsia="ru-RU"/>
              </w:rPr>
              <w:t>1</w:t>
            </w:r>
          </w:p>
        </w:tc>
        <w:tc>
          <w:tcPr>
            <w:tcW w:w="1384" w:type="dxa"/>
            <w:tcBorders>
              <w:top w:val="single" w:sz="4" w:space="0" w:color="auto"/>
              <w:left w:val="single" w:sz="4" w:space="0" w:color="auto"/>
              <w:bottom w:val="single" w:sz="4" w:space="0" w:color="auto"/>
              <w:right w:val="single" w:sz="4" w:space="0" w:color="auto"/>
            </w:tcBorders>
          </w:tcPr>
          <w:p w14:paraId="53FA9381" w14:textId="77777777" w:rsidR="00407B8D" w:rsidRDefault="00407B8D">
            <w:pPr>
              <w:jc w:val="center"/>
              <w:rPr>
                <w:rFonts w:eastAsia="Times New Roman"/>
                <w:lang w:eastAsia="ru-RU"/>
              </w:rPr>
            </w:pPr>
          </w:p>
          <w:p w14:paraId="4EF98BF6" w14:textId="77777777" w:rsidR="00407B8D" w:rsidRDefault="00407B8D">
            <w:pPr>
              <w:jc w:val="center"/>
              <w:rPr>
                <w:rFonts w:eastAsia="Times New Roman"/>
                <w:lang w:eastAsia="ru-RU"/>
              </w:rPr>
            </w:pPr>
          </w:p>
          <w:p w14:paraId="567B3CE0" w14:textId="7440508A" w:rsidR="00407B8D" w:rsidRDefault="00407B8D">
            <w:pPr>
              <w:jc w:val="center"/>
              <w:rPr>
                <w:rFonts w:eastAsia="Times New Roman"/>
                <w:lang w:eastAsia="ru-RU"/>
              </w:rPr>
            </w:pPr>
            <w:r>
              <w:rPr>
                <w:rFonts w:eastAsia="Times New Roman"/>
                <w:lang w:eastAsia="ru-RU"/>
              </w:rPr>
              <w:t>1</w:t>
            </w:r>
          </w:p>
        </w:tc>
        <w:tc>
          <w:tcPr>
            <w:tcW w:w="1568" w:type="dxa"/>
            <w:tcBorders>
              <w:top w:val="single" w:sz="4" w:space="0" w:color="auto"/>
              <w:left w:val="single" w:sz="4" w:space="0" w:color="auto"/>
              <w:bottom w:val="single" w:sz="4" w:space="0" w:color="auto"/>
              <w:right w:val="single" w:sz="4" w:space="0" w:color="auto"/>
            </w:tcBorders>
          </w:tcPr>
          <w:p w14:paraId="50DB356A" w14:textId="77777777" w:rsidR="00407B8D" w:rsidRDefault="00407B8D">
            <w:pPr>
              <w:jc w:val="center"/>
              <w:rPr>
                <w:rFonts w:eastAsia="Times New Roman"/>
                <w:lang w:eastAsia="ru-RU"/>
              </w:rPr>
            </w:pPr>
          </w:p>
          <w:p w14:paraId="049D0DC3" w14:textId="77777777" w:rsidR="00407B8D" w:rsidRDefault="00407B8D">
            <w:pPr>
              <w:jc w:val="center"/>
              <w:rPr>
                <w:rFonts w:eastAsia="Times New Roman"/>
                <w:lang w:eastAsia="ru-RU"/>
              </w:rPr>
            </w:pPr>
          </w:p>
          <w:p w14:paraId="182594AF" w14:textId="69F5FF38" w:rsidR="00407B8D" w:rsidRDefault="00407B8D">
            <w:pPr>
              <w:jc w:val="center"/>
              <w:rPr>
                <w:rFonts w:eastAsia="Times New Roman"/>
                <w:lang w:eastAsia="ru-RU"/>
              </w:rPr>
            </w:pPr>
            <w:r>
              <w:rPr>
                <w:rFonts w:eastAsia="Times New Roman"/>
                <w:lang w:eastAsia="ru-RU"/>
              </w:rPr>
              <w:t>2</w:t>
            </w:r>
          </w:p>
        </w:tc>
        <w:tc>
          <w:tcPr>
            <w:tcW w:w="1493" w:type="dxa"/>
            <w:tcBorders>
              <w:top w:val="single" w:sz="4" w:space="0" w:color="auto"/>
              <w:left w:val="single" w:sz="4" w:space="0" w:color="auto"/>
              <w:bottom w:val="single" w:sz="4" w:space="0" w:color="auto"/>
              <w:right w:val="single" w:sz="4" w:space="0" w:color="auto"/>
            </w:tcBorders>
          </w:tcPr>
          <w:p w14:paraId="74C5C2CE" w14:textId="77777777" w:rsidR="00407B8D" w:rsidRDefault="00407B8D">
            <w:pPr>
              <w:jc w:val="center"/>
              <w:rPr>
                <w:rFonts w:eastAsia="Times New Roman"/>
                <w:lang w:eastAsia="ru-RU"/>
              </w:rPr>
            </w:pPr>
          </w:p>
          <w:p w14:paraId="61CF52BE" w14:textId="77777777" w:rsidR="00407B8D" w:rsidRDefault="00407B8D">
            <w:pPr>
              <w:jc w:val="center"/>
              <w:rPr>
                <w:rFonts w:eastAsia="Times New Roman"/>
                <w:lang w:eastAsia="ru-RU"/>
              </w:rPr>
            </w:pPr>
          </w:p>
          <w:p w14:paraId="69A6313E" w14:textId="19829C77" w:rsidR="00407B8D" w:rsidRDefault="00407B8D" w:rsidP="00407B8D">
            <w:pPr>
              <w:jc w:val="center"/>
              <w:rPr>
                <w:rFonts w:eastAsia="Times New Roman"/>
                <w:lang w:eastAsia="ru-RU"/>
              </w:rPr>
            </w:pPr>
            <w:r>
              <w:rPr>
                <w:rFonts w:eastAsia="Times New Roman"/>
                <w:lang w:eastAsia="ru-RU"/>
              </w:rPr>
              <w:t>17</w:t>
            </w:r>
          </w:p>
        </w:tc>
        <w:tc>
          <w:tcPr>
            <w:tcW w:w="1508" w:type="dxa"/>
            <w:tcBorders>
              <w:top w:val="single" w:sz="4" w:space="0" w:color="auto"/>
              <w:left w:val="single" w:sz="4" w:space="0" w:color="auto"/>
              <w:bottom w:val="single" w:sz="4" w:space="0" w:color="auto"/>
              <w:right w:val="single" w:sz="4" w:space="0" w:color="auto"/>
            </w:tcBorders>
          </w:tcPr>
          <w:p w14:paraId="27BBF8C8" w14:textId="77777777" w:rsidR="00407B8D" w:rsidRDefault="00407B8D">
            <w:pPr>
              <w:jc w:val="center"/>
              <w:rPr>
                <w:rFonts w:eastAsia="Times New Roman"/>
                <w:lang w:eastAsia="ru-RU"/>
              </w:rPr>
            </w:pPr>
          </w:p>
          <w:p w14:paraId="7143E1A7" w14:textId="77777777" w:rsidR="00407B8D" w:rsidRDefault="00407B8D">
            <w:pPr>
              <w:jc w:val="center"/>
              <w:rPr>
                <w:rFonts w:eastAsia="Times New Roman"/>
                <w:lang w:eastAsia="ru-RU"/>
              </w:rPr>
            </w:pPr>
          </w:p>
          <w:p w14:paraId="5434AB11" w14:textId="305719AB" w:rsidR="00407B8D" w:rsidRDefault="00407B8D">
            <w:pPr>
              <w:jc w:val="center"/>
              <w:rPr>
                <w:rFonts w:eastAsia="Times New Roman"/>
                <w:lang w:eastAsia="ru-RU"/>
              </w:rPr>
            </w:pPr>
            <w:r>
              <w:rPr>
                <w:rFonts w:eastAsia="Times New Roman"/>
                <w:lang w:eastAsia="ru-RU"/>
              </w:rPr>
              <w:t>21</w:t>
            </w:r>
          </w:p>
        </w:tc>
      </w:tr>
      <w:tr w:rsidR="00407B8D" w14:paraId="01E7FC98" w14:textId="77777777" w:rsidTr="00D30DD0">
        <w:trPr>
          <w:trHeight w:val="1021"/>
        </w:trPr>
        <w:tc>
          <w:tcPr>
            <w:tcW w:w="2268" w:type="dxa"/>
            <w:tcBorders>
              <w:top w:val="single" w:sz="4" w:space="0" w:color="auto"/>
              <w:left w:val="single" w:sz="4" w:space="0" w:color="auto"/>
              <w:bottom w:val="single" w:sz="4" w:space="0" w:color="auto"/>
              <w:right w:val="single" w:sz="4" w:space="0" w:color="auto"/>
            </w:tcBorders>
            <w:hideMark/>
          </w:tcPr>
          <w:p w14:paraId="51341027" w14:textId="77777777" w:rsidR="00407B8D" w:rsidRDefault="00407B8D">
            <w:pPr>
              <w:jc w:val="center"/>
              <w:rPr>
                <w:rFonts w:eastAsia="Times New Roman"/>
                <w:lang w:val="ru-RU" w:eastAsia="ru-RU"/>
              </w:rPr>
            </w:pPr>
            <w:r>
              <w:rPr>
                <w:rFonts w:eastAsia="Times New Roman"/>
                <w:lang w:eastAsia="ru-RU"/>
              </w:rPr>
              <w:t>Питома вага групи у загальній кількості, відсотків</w:t>
            </w:r>
            <w:r>
              <w:rPr>
                <w:rFonts w:eastAsia="Times New Roman"/>
                <w:lang w:val="ru-RU" w:eastAsia="ru-RU"/>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55C93D7" w14:textId="61E99946" w:rsidR="00407B8D" w:rsidRDefault="00180740" w:rsidP="00407B8D">
            <w:pPr>
              <w:jc w:val="center"/>
              <w:rPr>
                <w:rFonts w:eastAsia="Times New Roman"/>
                <w:lang w:eastAsia="ru-RU"/>
              </w:rPr>
            </w:pPr>
            <w:r>
              <w:rPr>
                <w:rFonts w:eastAsia="Times New Roman"/>
                <w:lang w:eastAsia="ru-RU"/>
              </w:rPr>
              <w:t>5</w:t>
            </w:r>
          </w:p>
        </w:tc>
        <w:tc>
          <w:tcPr>
            <w:tcW w:w="1384" w:type="dxa"/>
            <w:tcBorders>
              <w:top w:val="single" w:sz="4" w:space="0" w:color="auto"/>
              <w:left w:val="single" w:sz="4" w:space="0" w:color="auto"/>
              <w:bottom w:val="single" w:sz="4" w:space="0" w:color="auto"/>
              <w:right w:val="single" w:sz="4" w:space="0" w:color="auto"/>
            </w:tcBorders>
            <w:vAlign w:val="center"/>
          </w:tcPr>
          <w:p w14:paraId="5BA0799E" w14:textId="00224DC5" w:rsidR="00407B8D" w:rsidRDefault="00180740">
            <w:pPr>
              <w:jc w:val="center"/>
              <w:rPr>
                <w:rFonts w:eastAsia="Times New Roman"/>
                <w:lang w:eastAsia="ru-RU"/>
              </w:rPr>
            </w:pPr>
            <w:r>
              <w:rPr>
                <w:rFonts w:eastAsia="Times New Roman"/>
                <w:lang w:eastAsia="ru-RU"/>
              </w:rPr>
              <w:t>5</w:t>
            </w:r>
          </w:p>
        </w:tc>
        <w:tc>
          <w:tcPr>
            <w:tcW w:w="1568" w:type="dxa"/>
            <w:tcBorders>
              <w:top w:val="single" w:sz="4" w:space="0" w:color="auto"/>
              <w:left w:val="single" w:sz="4" w:space="0" w:color="auto"/>
              <w:bottom w:val="single" w:sz="4" w:space="0" w:color="auto"/>
              <w:right w:val="single" w:sz="4" w:space="0" w:color="auto"/>
            </w:tcBorders>
            <w:vAlign w:val="center"/>
            <w:hideMark/>
          </w:tcPr>
          <w:p w14:paraId="36668C6C" w14:textId="00406C1D" w:rsidR="00407B8D" w:rsidRDefault="00407B8D">
            <w:pPr>
              <w:jc w:val="center"/>
              <w:rPr>
                <w:rFonts w:eastAsia="Times New Roman"/>
                <w:lang w:eastAsia="ru-RU"/>
              </w:rPr>
            </w:pPr>
            <w:r>
              <w:rPr>
                <w:rFonts w:eastAsia="Times New Roman"/>
                <w:lang w:eastAsia="ru-RU"/>
              </w:rPr>
              <w:t>9</w:t>
            </w:r>
          </w:p>
        </w:tc>
        <w:tc>
          <w:tcPr>
            <w:tcW w:w="1493" w:type="dxa"/>
            <w:tcBorders>
              <w:top w:val="single" w:sz="4" w:space="0" w:color="auto"/>
              <w:left w:val="single" w:sz="4" w:space="0" w:color="auto"/>
              <w:bottom w:val="single" w:sz="4" w:space="0" w:color="auto"/>
              <w:right w:val="single" w:sz="4" w:space="0" w:color="auto"/>
            </w:tcBorders>
            <w:vAlign w:val="center"/>
            <w:hideMark/>
          </w:tcPr>
          <w:p w14:paraId="1725E5E7" w14:textId="7080ABEE" w:rsidR="00407B8D" w:rsidRDefault="00407B8D">
            <w:pPr>
              <w:jc w:val="center"/>
              <w:rPr>
                <w:rFonts w:eastAsia="Times New Roman"/>
                <w:lang w:eastAsia="ru-RU"/>
              </w:rPr>
            </w:pPr>
            <w:r>
              <w:rPr>
                <w:rFonts w:eastAsia="Times New Roman"/>
                <w:lang w:eastAsia="ru-RU"/>
              </w:rPr>
              <w:t>81</w:t>
            </w:r>
          </w:p>
        </w:tc>
        <w:tc>
          <w:tcPr>
            <w:tcW w:w="1508" w:type="dxa"/>
            <w:tcBorders>
              <w:top w:val="single" w:sz="4" w:space="0" w:color="auto"/>
              <w:left w:val="single" w:sz="4" w:space="0" w:color="auto"/>
              <w:bottom w:val="single" w:sz="4" w:space="0" w:color="auto"/>
              <w:right w:val="single" w:sz="4" w:space="0" w:color="auto"/>
            </w:tcBorders>
            <w:vAlign w:val="center"/>
            <w:hideMark/>
          </w:tcPr>
          <w:p w14:paraId="23F17A27" w14:textId="7D452E48" w:rsidR="00407B8D" w:rsidRPr="00180740" w:rsidRDefault="00180740">
            <w:pPr>
              <w:jc w:val="center"/>
              <w:rPr>
                <w:rFonts w:eastAsia="Times New Roman"/>
                <w:lang w:eastAsia="ru-RU"/>
              </w:rPr>
            </w:pPr>
            <w:r>
              <w:rPr>
                <w:rFonts w:eastAsia="Times New Roman"/>
                <w:lang w:eastAsia="ru-RU"/>
              </w:rPr>
              <w:t>100</w:t>
            </w:r>
          </w:p>
        </w:tc>
      </w:tr>
      <w:tr w:rsidR="00407B8D" w14:paraId="02383946" w14:textId="77777777" w:rsidTr="00D30DD0">
        <w:tc>
          <w:tcPr>
            <w:tcW w:w="9781" w:type="dxa"/>
            <w:gridSpan w:val="6"/>
            <w:tcBorders>
              <w:top w:val="single" w:sz="4" w:space="0" w:color="auto"/>
              <w:left w:val="nil"/>
              <w:bottom w:val="nil"/>
              <w:right w:val="nil"/>
            </w:tcBorders>
            <w:hideMark/>
          </w:tcPr>
          <w:p w14:paraId="3BD1FF34" w14:textId="64D6C0D1" w:rsidR="00407B8D" w:rsidRPr="00560D5D" w:rsidRDefault="00407B8D" w:rsidP="00560D5D">
            <w:pPr>
              <w:jc w:val="both"/>
              <w:rPr>
                <w:rFonts w:eastAsia="Times New Roman"/>
                <w:lang w:eastAsia="ru-RU"/>
              </w:rPr>
            </w:pPr>
            <w:r>
              <w:rPr>
                <w:rFonts w:eastAsia="Times New Roman"/>
                <w:lang w:eastAsia="ru-RU"/>
              </w:rPr>
              <w:t xml:space="preserve">*Поділ осіб, які підпадають під дію регулювання, здійснено з урахуванням </w:t>
            </w:r>
            <w:r w:rsidR="00180740">
              <w:rPr>
                <w:rFonts w:eastAsia="Times New Roman"/>
                <w:lang w:eastAsia="ru-RU"/>
              </w:rPr>
              <w:t>експортних операцій</w:t>
            </w:r>
            <w:r w:rsidR="004F70C2">
              <w:rPr>
                <w:rFonts w:eastAsia="Times New Roman"/>
                <w:lang w:eastAsia="ru-RU"/>
              </w:rPr>
              <w:t xml:space="preserve"> з товарами (які наразі не підпадають, однак </w:t>
            </w:r>
            <w:r w:rsidR="004F70C2" w:rsidRPr="004F70C2">
              <w:rPr>
                <w:rFonts w:eastAsia="Times New Roman"/>
                <w:lang w:eastAsia="ru-RU"/>
              </w:rPr>
              <w:t>підпадатимуть під експортну квоту</w:t>
            </w:r>
            <w:r w:rsidR="004F70C2">
              <w:rPr>
                <w:rFonts w:eastAsia="Times New Roman"/>
                <w:lang w:eastAsia="ru-RU"/>
              </w:rPr>
              <w:t>),</w:t>
            </w:r>
            <w:r w:rsidR="004F70C2" w:rsidRPr="004F70C2">
              <w:rPr>
                <w:rFonts w:eastAsia="Times New Roman"/>
                <w:lang w:eastAsia="ru-RU"/>
              </w:rPr>
              <w:t xml:space="preserve"> </w:t>
            </w:r>
            <w:r>
              <w:rPr>
                <w:rFonts w:eastAsia="Times New Roman"/>
                <w:lang w:eastAsia="ru-RU"/>
              </w:rPr>
              <w:t xml:space="preserve">здійснених суб’єктами господарювання </w:t>
            </w:r>
            <w:r w:rsidR="00180740">
              <w:rPr>
                <w:rFonts w:eastAsia="Times New Roman"/>
                <w:lang w:eastAsia="ru-RU"/>
              </w:rPr>
              <w:t>у 2025 році</w:t>
            </w:r>
            <w:r w:rsidR="00560D5D">
              <w:rPr>
                <w:rFonts w:eastAsia="Times New Roman"/>
                <w:lang w:eastAsia="ru-RU"/>
              </w:rPr>
              <w:t xml:space="preserve"> та з урахуванням положень Закону України від 16 липня 1999 року № 996-</w:t>
            </w:r>
            <w:r w:rsidR="00560D5D">
              <w:rPr>
                <w:rFonts w:eastAsia="Times New Roman"/>
                <w:lang w:val="en-US" w:eastAsia="ru-RU"/>
              </w:rPr>
              <w:t>XIV</w:t>
            </w:r>
            <w:r w:rsidR="00560D5D">
              <w:rPr>
                <w:rFonts w:eastAsia="Times New Roman"/>
                <w:lang w:eastAsia="ru-RU"/>
              </w:rPr>
              <w:t xml:space="preserve"> «Про бухгалтерський облік та фінансову звітність в Україні» (стаття 2)</w:t>
            </w:r>
          </w:p>
        </w:tc>
      </w:tr>
    </w:tbl>
    <w:p w14:paraId="29E3CAAB" w14:textId="00F283AE" w:rsidR="00407B8D" w:rsidRDefault="00407B8D" w:rsidP="00F523C1">
      <w:pPr>
        <w:ind w:firstLine="567"/>
        <w:jc w:val="both"/>
        <w:rPr>
          <w:rFonts w:eastAsia="Times New Roman"/>
          <w:sz w:val="28"/>
          <w:szCs w:val="28"/>
          <w:lang w:eastAsia="ru-RU"/>
        </w:rPr>
      </w:pPr>
    </w:p>
    <w:p w14:paraId="211139D3" w14:textId="3B3FFA6C" w:rsidR="00407B8D" w:rsidRDefault="00407B8D" w:rsidP="00407B8D">
      <w:pPr>
        <w:ind w:firstLine="567"/>
        <w:jc w:val="both"/>
        <w:rPr>
          <w:rFonts w:eastAsia="Times New Roman"/>
          <w:sz w:val="28"/>
          <w:szCs w:val="28"/>
          <w:lang w:eastAsia="ru-RU"/>
        </w:rPr>
      </w:pPr>
      <w:r>
        <w:rPr>
          <w:rFonts w:eastAsia="Times New Roman"/>
          <w:sz w:val="28"/>
          <w:szCs w:val="28"/>
          <w:lang w:eastAsia="ru-RU"/>
        </w:rPr>
        <w:t>Враховуючи встановлений обсяг тарифної квоти, що складає 2000 тон на товари</w:t>
      </w:r>
      <w:r w:rsidR="00817303">
        <w:rPr>
          <w:rFonts w:eastAsia="Times New Roman"/>
          <w:sz w:val="28"/>
          <w:szCs w:val="28"/>
          <w:lang w:eastAsia="ru-RU"/>
        </w:rPr>
        <w:t>,</w:t>
      </w:r>
      <w:r>
        <w:rPr>
          <w:rFonts w:eastAsia="Times New Roman"/>
          <w:sz w:val="28"/>
          <w:szCs w:val="28"/>
          <w:lang w:eastAsia="ru-RU"/>
        </w:rPr>
        <w:t xml:space="preserve"> зазначені у Додатку 2С «Вилучення до статті 2.15 «Експортні мита та збори, що ма</w:t>
      </w:r>
      <w:r w:rsidR="00C65B1E">
        <w:rPr>
          <w:rFonts w:eastAsia="Times New Roman"/>
          <w:sz w:val="28"/>
          <w:szCs w:val="28"/>
          <w:lang w:eastAsia="ru-RU"/>
        </w:rPr>
        <w:t>ють еквівалентний ефект»» Угоди</w:t>
      </w:r>
      <w:r>
        <w:rPr>
          <w:rFonts w:eastAsia="Times New Roman"/>
          <w:sz w:val="28"/>
          <w:szCs w:val="28"/>
          <w:lang w:eastAsia="ru-RU"/>
        </w:rPr>
        <w:t xml:space="preserve">, нами оцінено в середньому економію фінансових витрат усіх суб’єктів господарювання разом на сплату </w:t>
      </w:r>
      <w:r>
        <w:rPr>
          <w:rFonts w:eastAsia="Times New Roman"/>
          <w:sz w:val="28"/>
          <w:szCs w:val="28"/>
          <w:lang w:eastAsia="ru-RU"/>
        </w:rPr>
        <w:lastRenderedPageBreak/>
        <w:t>вивізного експортного мита, яка складатиме 4</w:t>
      </w:r>
      <w:r w:rsidR="00F9024C">
        <w:rPr>
          <w:rFonts w:eastAsia="Times New Roman"/>
          <w:sz w:val="28"/>
          <w:szCs w:val="28"/>
          <w:lang w:eastAsia="ru-RU"/>
        </w:rPr>
        <w:t> </w:t>
      </w:r>
      <w:r>
        <w:rPr>
          <w:rFonts w:eastAsia="Times New Roman"/>
          <w:sz w:val="28"/>
          <w:szCs w:val="28"/>
          <w:lang w:eastAsia="ru-RU"/>
        </w:rPr>
        <w:t xml:space="preserve"> млн грн в рік або ж 20 млн грн за 5 років. </w:t>
      </w:r>
    </w:p>
    <w:p w14:paraId="2CE40A20" w14:textId="6C48A262" w:rsidR="00407B8D" w:rsidRDefault="00407B8D" w:rsidP="00407B8D">
      <w:pPr>
        <w:ind w:firstLine="567"/>
        <w:jc w:val="both"/>
        <w:rPr>
          <w:rFonts w:eastAsia="Times New Roman"/>
          <w:sz w:val="28"/>
          <w:szCs w:val="28"/>
          <w:lang w:eastAsia="ru-RU"/>
        </w:rPr>
      </w:pPr>
      <w:r>
        <w:rPr>
          <w:rFonts w:eastAsia="Times New Roman"/>
          <w:sz w:val="28"/>
          <w:szCs w:val="28"/>
          <w:lang w:eastAsia="ru-RU"/>
        </w:rPr>
        <w:t>Середня вага однієї партії такого товару, яка надавалася до митного оформлення у 2024</w:t>
      </w:r>
      <w:r w:rsidR="00817303">
        <w:rPr>
          <w:rStyle w:val="font141"/>
        </w:rPr>
        <w:t>–</w:t>
      </w:r>
      <w:r>
        <w:rPr>
          <w:rFonts w:eastAsia="Times New Roman"/>
          <w:sz w:val="28"/>
          <w:szCs w:val="28"/>
          <w:lang w:eastAsia="ru-RU"/>
        </w:rPr>
        <w:t>2025</w:t>
      </w:r>
      <w:r w:rsidR="00817303">
        <w:rPr>
          <w:rFonts w:eastAsia="Times New Roman"/>
          <w:sz w:val="28"/>
          <w:szCs w:val="28"/>
          <w:lang w:eastAsia="ru-RU"/>
        </w:rPr>
        <w:t xml:space="preserve"> </w:t>
      </w:r>
      <w:r>
        <w:rPr>
          <w:rFonts w:eastAsia="Times New Roman"/>
          <w:sz w:val="28"/>
          <w:szCs w:val="28"/>
          <w:lang w:eastAsia="ru-RU"/>
        </w:rPr>
        <w:t>р</w:t>
      </w:r>
      <w:r w:rsidR="00817303">
        <w:rPr>
          <w:rFonts w:eastAsia="Times New Roman"/>
          <w:sz w:val="28"/>
          <w:szCs w:val="28"/>
          <w:lang w:eastAsia="ru-RU"/>
        </w:rPr>
        <w:t>оках,</w:t>
      </w:r>
      <w:r>
        <w:rPr>
          <w:rFonts w:eastAsia="Times New Roman"/>
          <w:sz w:val="28"/>
          <w:szCs w:val="28"/>
          <w:lang w:eastAsia="ru-RU"/>
        </w:rPr>
        <w:t xml:space="preserve"> становила 21,15 т, що може </w:t>
      </w:r>
      <w:r w:rsidR="004F70C2">
        <w:rPr>
          <w:rFonts w:eastAsia="Times New Roman"/>
          <w:sz w:val="28"/>
          <w:szCs w:val="28"/>
          <w:lang w:eastAsia="ru-RU"/>
        </w:rPr>
        <w:t>складати</w:t>
      </w:r>
      <w:r>
        <w:rPr>
          <w:rFonts w:eastAsia="Times New Roman"/>
          <w:sz w:val="28"/>
          <w:szCs w:val="28"/>
          <w:lang w:eastAsia="ru-RU"/>
        </w:rPr>
        <w:t xml:space="preserve"> </w:t>
      </w:r>
      <w:r w:rsidR="004F70C2">
        <w:rPr>
          <w:rFonts w:eastAsia="Times New Roman"/>
          <w:sz w:val="28"/>
          <w:szCs w:val="28"/>
          <w:lang w:eastAsia="ru-RU"/>
        </w:rPr>
        <w:t xml:space="preserve">95 окремих партій товару </w:t>
      </w:r>
      <w:r>
        <w:rPr>
          <w:rFonts w:eastAsia="Times New Roman"/>
          <w:sz w:val="28"/>
          <w:szCs w:val="28"/>
          <w:lang w:eastAsia="ru-RU"/>
        </w:rPr>
        <w:t xml:space="preserve">при обсязі тарифної квоти у 2000 тон (2000 т/21,15 т =94,7). Якщо врахувати, що тарифна квота надається при експорті товарів з України до </w:t>
      </w:r>
      <w:r w:rsidR="00C65B1E">
        <w:rPr>
          <w:rFonts w:eastAsia="Times New Roman"/>
          <w:sz w:val="28"/>
          <w:szCs w:val="28"/>
          <w:lang w:eastAsia="ru-RU"/>
        </w:rPr>
        <w:t xml:space="preserve">Об’єднаних Арабських Еміратів </w:t>
      </w:r>
      <w:r>
        <w:rPr>
          <w:rFonts w:eastAsia="Times New Roman"/>
          <w:sz w:val="28"/>
          <w:szCs w:val="28"/>
          <w:lang w:eastAsia="ru-RU"/>
        </w:rPr>
        <w:t xml:space="preserve">за принципом «перший прийшов – перший обслуговується», то в середньому </w:t>
      </w:r>
      <w:r w:rsidR="004F70C2">
        <w:rPr>
          <w:rFonts w:eastAsia="Times New Roman"/>
          <w:sz w:val="28"/>
          <w:szCs w:val="28"/>
          <w:lang w:eastAsia="ru-RU"/>
        </w:rPr>
        <w:t xml:space="preserve">95  разів </w:t>
      </w:r>
      <w:r>
        <w:rPr>
          <w:rFonts w:eastAsia="Times New Roman"/>
          <w:sz w:val="28"/>
          <w:szCs w:val="28"/>
          <w:lang w:eastAsia="ru-RU"/>
        </w:rPr>
        <w:t xml:space="preserve">обслуговуватимуться </w:t>
      </w:r>
      <w:r w:rsidR="004F70C2">
        <w:rPr>
          <w:rFonts w:eastAsia="Times New Roman"/>
          <w:sz w:val="28"/>
          <w:szCs w:val="28"/>
          <w:lang w:eastAsia="ru-RU"/>
        </w:rPr>
        <w:t>від одного до 21 суб’єкта господарювання</w:t>
      </w:r>
      <w:r w:rsidR="00560D5D">
        <w:rPr>
          <w:rFonts w:eastAsia="Times New Roman"/>
          <w:sz w:val="28"/>
          <w:szCs w:val="28"/>
          <w:lang w:eastAsia="ru-RU"/>
        </w:rPr>
        <w:t xml:space="preserve"> (загальну кількість суб’єктів господарювання підрахувати об’єктивно неможливо)</w:t>
      </w:r>
      <w:r w:rsidR="004F70C2">
        <w:rPr>
          <w:rFonts w:eastAsia="Times New Roman"/>
          <w:sz w:val="28"/>
          <w:szCs w:val="28"/>
          <w:lang w:eastAsia="ru-RU"/>
        </w:rPr>
        <w:t>.</w:t>
      </w:r>
      <w:r w:rsidR="00A56EDF">
        <w:rPr>
          <w:rFonts w:eastAsia="Times New Roman"/>
          <w:sz w:val="28"/>
          <w:szCs w:val="28"/>
          <w:lang w:eastAsia="ru-RU"/>
        </w:rPr>
        <w:t xml:space="preserve"> Враховуючи, що на кожну партію буде потреба в отриманні одного преференційного документа про походження, один суб’єкт господарювання в рік отримуватиме в середньому 5 </w:t>
      </w:r>
      <w:r w:rsidR="00A56EDF" w:rsidRPr="00A56EDF">
        <w:rPr>
          <w:rFonts w:eastAsia="Times New Roman"/>
          <w:sz w:val="28"/>
          <w:szCs w:val="28"/>
          <w:lang w:eastAsia="ru-RU"/>
        </w:rPr>
        <w:t>преференційн</w:t>
      </w:r>
      <w:r w:rsidR="00A56EDF">
        <w:rPr>
          <w:rFonts w:eastAsia="Times New Roman"/>
          <w:sz w:val="28"/>
          <w:szCs w:val="28"/>
          <w:lang w:eastAsia="ru-RU"/>
        </w:rPr>
        <w:t>их</w:t>
      </w:r>
      <w:r w:rsidR="00A56EDF" w:rsidRPr="00A56EDF">
        <w:rPr>
          <w:rFonts w:eastAsia="Times New Roman"/>
          <w:sz w:val="28"/>
          <w:szCs w:val="28"/>
          <w:lang w:eastAsia="ru-RU"/>
        </w:rPr>
        <w:t xml:space="preserve"> документ</w:t>
      </w:r>
      <w:r w:rsidR="00A56EDF">
        <w:rPr>
          <w:rFonts w:eastAsia="Times New Roman"/>
          <w:sz w:val="28"/>
          <w:szCs w:val="28"/>
          <w:lang w:eastAsia="ru-RU"/>
        </w:rPr>
        <w:t>ів</w:t>
      </w:r>
      <w:r w:rsidR="00A56EDF" w:rsidRPr="00A56EDF">
        <w:rPr>
          <w:rFonts w:eastAsia="Times New Roman"/>
          <w:sz w:val="28"/>
          <w:szCs w:val="28"/>
          <w:lang w:eastAsia="ru-RU"/>
        </w:rPr>
        <w:t xml:space="preserve"> про походження</w:t>
      </w:r>
      <w:r w:rsidR="00A56EDF">
        <w:rPr>
          <w:rFonts w:eastAsia="Times New Roman"/>
          <w:sz w:val="28"/>
          <w:szCs w:val="28"/>
          <w:lang w:eastAsia="ru-RU"/>
        </w:rPr>
        <w:t xml:space="preserve">. </w:t>
      </w:r>
    </w:p>
    <w:p w14:paraId="429B552A" w14:textId="4A6E65E5" w:rsidR="00AC1B9E" w:rsidRDefault="00AC1B9E" w:rsidP="00F523C1">
      <w:pPr>
        <w:ind w:firstLine="567"/>
        <w:jc w:val="both"/>
        <w:rPr>
          <w:rFonts w:eastAsia="Times New Roman"/>
          <w:sz w:val="28"/>
          <w:szCs w:val="28"/>
          <w:lang w:eastAsia="ru-RU"/>
        </w:rPr>
      </w:pPr>
    </w:p>
    <w:tbl>
      <w:tblPr>
        <w:tblStyle w:val="ad"/>
        <w:tblW w:w="9781" w:type="dxa"/>
        <w:tblInd w:w="108" w:type="dxa"/>
        <w:tblLook w:val="04A0" w:firstRow="1" w:lastRow="0" w:firstColumn="1" w:lastColumn="0" w:noHBand="0" w:noVBand="1"/>
      </w:tblPr>
      <w:tblGrid>
        <w:gridCol w:w="1738"/>
        <w:gridCol w:w="3536"/>
        <w:gridCol w:w="4507"/>
      </w:tblGrid>
      <w:tr w:rsidR="00441950" w14:paraId="23ABED0C" w14:textId="77777777" w:rsidTr="00441C60">
        <w:trPr>
          <w:tblHeader/>
        </w:trPr>
        <w:tc>
          <w:tcPr>
            <w:tcW w:w="1738" w:type="dxa"/>
            <w:tcBorders>
              <w:top w:val="single" w:sz="4" w:space="0" w:color="auto"/>
            </w:tcBorders>
            <w:vAlign w:val="center"/>
          </w:tcPr>
          <w:p w14:paraId="3B94EF7C" w14:textId="77777777" w:rsidR="00441950" w:rsidRPr="00557B85" w:rsidRDefault="00441950" w:rsidP="00F906CB">
            <w:pPr>
              <w:jc w:val="center"/>
            </w:pPr>
            <w:r w:rsidRPr="00557B85">
              <w:rPr>
                <w:rStyle w:val="font141"/>
                <w:b/>
                <w:sz w:val="24"/>
                <w:szCs w:val="24"/>
              </w:rPr>
              <w:t>Вид альтернативи</w:t>
            </w:r>
          </w:p>
        </w:tc>
        <w:tc>
          <w:tcPr>
            <w:tcW w:w="3536" w:type="dxa"/>
            <w:tcBorders>
              <w:top w:val="single" w:sz="4" w:space="0" w:color="auto"/>
            </w:tcBorders>
            <w:vAlign w:val="center"/>
          </w:tcPr>
          <w:p w14:paraId="5BB448C7" w14:textId="77777777" w:rsidR="00441950" w:rsidRPr="00557B85" w:rsidRDefault="00441950" w:rsidP="00F906CB">
            <w:pPr>
              <w:jc w:val="center"/>
            </w:pPr>
            <w:r w:rsidRPr="00557B85">
              <w:rPr>
                <w:rStyle w:val="font141"/>
                <w:b/>
                <w:sz w:val="24"/>
                <w:szCs w:val="24"/>
              </w:rPr>
              <w:t>Вигоди</w:t>
            </w:r>
          </w:p>
        </w:tc>
        <w:tc>
          <w:tcPr>
            <w:tcW w:w="4507" w:type="dxa"/>
            <w:tcBorders>
              <w:top w:val="single" w:sz="4" w:space="0" w:color="auto"/>
            </w:tcBorders>
            <w:vAlign w:val="center"/>
          </w:tcPr>
          <w:p w14:paraId="2E58E73D" w14:textId="77777777" w:rsidR="00441950" w:rsidRPr="00985801" w:rsidRDefault="00441950" w:rsidP="00F906CB">
            <w:pPr>
              <w:jc w:val="center"/>
            </w:pPr>
            <w:r w:rsidRPr="00557B85">
              <w:rPr>
                <w:rStyle w:val="font141"/>
                <w:b/>
                <w:sz w:val="24"/>
                <w:szCs w:val="24"/>
              </w:rPr>
              <w:t>Витрати</w:t>
            </w:r>
          </w:p>
        </w:tc>
      </w:tr>
      <w:tr w:rsidR="00441950" w14:paraId="4630C6F4" w14:textId="77777777" w:rsidTr="00441C60">
        <w:tc>
          <w:tcPr>
            <w:tcW w:w="1738" w:type="dxa"/>
            <w:vAlign w:val="center"/>
          </w:tcPr>
          <w:p w14:paraId="15B1AFB1" w14:textId="77777777" w:rsidR="00441950" w:rsidRPr="00985801" w:rsidRDefault="00441950" w:rsidP="00F906CB">
            <w:pPr>
              <w:jc w:val="center"/>
              <w:rPr>
                <w:lang w:val="en-US"/>
              </w:rPr>
            </w:pPr>
            <w:r w:rsidRPr="00985801">
              <w:rPr>
                <w:rStyle w:val="font141"/>
                <w:sz w:val="24"/>
                <w:szCs w:val="24"/>
              </w:rPr>
              <w:t xml:space="preserve">Альтернатива </w:t>
            </w:r>
            <w:r w:rsidRPr="00985801">
              <w:rPr>
                <w:rStyle w:val="font141"/>
                <w:sz w:val="24"/>
                <w:szCs w:val="24"/>
                <w:lang w:val="en-US"/>
              </w:rPr>
              <w:t>1</w:t>
            </w:r>
          </w:p>
        </w:tc>
        <w:tc>
          <w:tcPr>
            <w:tcW w:w="3536" w:type="dxa"/>
          </w:tcPr>
          <w:p w14:paraId="5CADD3F8" w14:textId="0347E0AD" w:rsidR="00441950" w:rsidRPr="002B418C" w:rsidRDefault="00D34CAE" w:rsidP="009D22B1">
            <w:pPr>
              <w:jc w:val="both"/>
              <w:rPr>
                <w:highlight w:val="yellow"/>
              </w:rPr>
            </w:pPr>
            <w:r w:rsidRPr="00D34CAE">
              <w:rPr>
                <w:rStyle w:val="font141"/>
                <w:sz w:val="24"/>
                <w:szCs w:val="24"/>
              </w:rPr>
              <w:t>Залишаючи чинне регулювання без змін, вигоди відсутні</w:t>
            </w:r>
          </w:p>
        </w:tc>
        <w:tc>
          <w:tcPr>
            <w:tcW w:w="4507" w:type="dxa"/>
            <w:vAlign w:val="center"/>
          </w:tcPr>
          <w:p w14:paraId="405B4A5E" w14:textId="5852BA98" w:rsidR="00976216" w:rsidRDefault="003C10E8" w:rsidP="001170F1">
            <w:pPr>
              <w:jc w:val="both"/>
              <w:rPr>
                <w:rStyle w:val="font141"/>
                <w:sz w:val="24"/>
                <w:szCs w:val="24"/>
              </w:rPr>
            </w:pPr>
            <w:r>
              <w:rPr>
                <w:rStyle w:val="font141"/>
                <w:sz w:val="24"/>
                <w:szCs w:val="24"/>
              </w:rPr>
              <w:t xml:space="preserve">Суб’єкти господарювання, які здійснюють експорт товарів в рамках </w:t>
            </w:r>
            <w:r w:rsidRPr="003C10E8">
              <w:rPr>
                <w:rStyle w:val="font141"/>
                <w:sz w:val="24"/>
                <w:szCs w:val="24"/>
              </w:rPr>
              <w:t>міжнародних договорів України про вільну торгівлю</w:t>
            </w:r>
            <w:r>
              <w:rPr>
                <w:rStyle w:val="font141"/>
                <w:sz w:val="24"/>
                <w:szCs w:val="24"/>
              </w:rPr>
              <w:t xml:space="preserve">, не можуть скористатися експортною тарифною квотою і несуть фінансові витрати </w:t>
            </w:r>
            <w:r w:rsidRPr="003C10E8">
              <w:rPr>
                <w:rStyle w:val="font141"/>
                <w:sz w:val="24"/>
                <w:szCs w:val="24"/>
              </w:rPr>
              <w:t>на сплату передбачених законодавством митних платежів у повному обсязі</w:t>
            </w:r>
            <w:r w:rsidR="00AC1B9E">
              <w:rPr>
                <w:rStyle w:val="font141"/>
                <w:sz w:val="24"/>
                <w:szCs w:val="24"/>
              </w:rPr>
              <w:t xml:space="preserve"> (близько 4 млн грн щорічно</w:t>
            </w:r>
            <w:r w:rsidR="00C45BA1">
              <w:rPr>
                <w:rStyle w:val="font141"/>
                <w:sz w:val="24"/>
                <w:szCs w:val="24"/>
              </w:rPr>
              <w:t>)</w:t>
            </w:r>
            <w:r>
              <w:rPr>
                <w:rStyle w:val="font141"/>
                <w:sz w:val="24"/>
                <w:szCs w:val="24"/>
              </w:rPr>
              <w:t>.</w:t>
            </w:r>
          </w:p>
          <w:p w14:paraId="7059F59F" w14:textId="068778FE" w:rsidR="003C10E8" w:rsidRPr="00242AE5" w:rsidRDefault="00976216" w:rsidP="00242AE5">
            <w:pPr>
              <w:spacing w:before="120"/>
              <w:jc w:val="both"/>
            </w:pPr>
            <w:r>
              <w:rPr>
                <w:rStyle w:val="font141"/>
                <w:sz w:val="24"/>
                <w:szCs w:val="24"/>
              </w:rPr>
              <w:t xml:space="preserve">У зв’язку з </w:t>
            </w:r>
            <w:r w:rsidR="00861D0D">
              <w:rPr>
                <w:rStyle w:val="font141"/>
                <w:sz w:val="24"/>
                <w:szCs w:val="24"/>
              </w:rPr>
              <w:t>використан</w:t>
            </w:r>
            <w:r>
              <w:rPr>
                <w:rStyle w:val="font141"/>
                <w:sz w:val="24"/>
                <w:szCs w:val="24"/>
              </w:rPr>
              <w:t>ою</w:t>
            </w:r>
            <w:r w:rsidR="00861D0D">
              <w:rPr>
                <w:rStyle w:val="font141"/>
                <w:sz w:val="24"/>
                <w:szCs w:val="24"/>
              </w:rPr>
              <w:t xml:space="preserve"> тарифн</w:t>
            </w:r>
            <w:r>
              <w:rPr>
                <w:rStyle w:val="font141"/>
                <w:sz w:val="24"/>
                <w:szCs w:val="24"/>
              </w:rPr>
              <w:t>ою квотою</w:t>
            </w:r>
            <w:r w:rsidR="00861D0D">
              <w:rPr>
                <w:rStyle w:val="font141"/>
                <w:sz w:val="24"/>
                <w:szCs w:val="24"/>
              </w:rPr>
              <w:t xml:space="preserve"> </w:t>
            </w:r>
            <w:r w:rsidR="00CF45C8">
              <w:rPr>
                <w:rStyle w:val="font141"/>
                <w:sz w:val="24"/>
                <w:szCs w:val="24"/>
              </w:rPr>
              <w:t>суб’єкт</w:t>
            </w:r>
            <w:r>
              <w:rPr>
                <w:rStyle w:val="font141"/>
                <w:sz w:val="24"/>
                <w:szCs w:val="24"/>
              </w:rPr>
              <w:t xml:space="preserve">ами </w:t>
            </w:r>
            <w:r w:rsidR="00CF45C8">
              <w:rPr>
                <w:rStyle w:val="font141"/>
                <w:sz w:val="24"/>
                <w:szCs w:val="24"/>
              </w:rPr>
              <w:t>господарювання, як</w:t>
            </w:r>
            <w:r>
              <w:rPr>
                <w:rStyle w:val="font141"/>
                <w:sz w:val="24"/>
                <w:szCs w:val="24"/>
              </w:rPr>
              <w:t>і</w:t>
            </w:r>
            <w:r w:rsidR="00CF45C8">
              <w:rPr>
                <w:rStyle w:val="font141"/>
                <w:sz w:val="24"/>
                <w:szCs w:val="24"/>
              </w:rPr>
              <w:t xml:space="preserve"> </w:t>
            </w:r>
            <w:r w:rsidR="00817303">
              <w:rPr>
                <w:rStyle w:val="font141"/>
                <w:sz w:val="24"/>
                <w:szCs w:val="24"/>
              </w:rPr>
              <w:t xml:space="preserve">порушили умови </w:t>
            </w:r>
            <w:r w:rsidR="00CF45C8" w:rsidRPr="00CF45C8">
              <w:rPr>
                <w:rStyle w:val="font141"/>
                <w:sz w:val="24"/>
                <w:szCs w:val="24"/>
              </w:rPr>
              <w:t>міжнародн</w:t>
            </w:r>
            <w:r w:rsidR="00817303">
              <w:rPr>
                <w:rStyle w:val="font141"/>
                <w:sz w:val="24"/>
                <w:szCs w:val="24"/>
              </w:rPr>
              <w:t>их угод</w:t>
            </w:r>
            <w:r w:rsidR="00CF45C8" w:rsidRPr="00CF45C8">
              <w:rPr>
                <w:rStyle w:val="font141"/>
                <w:sz w:val="24"/>
                <w:szCs w:val="24"/>
              </w:rPr>
              <w:t xml:space="preserve"> про вільну торгівлю</w:t>
            </w:r>
            <w:r w:rsidR="00CF45C8">
              <w:rPr>
                <w:rStyle w:val="font141"/>
                <w:sz w:val="24"/>
                <w:szCs w:val="24"/>
              </w:rPr>
              <w:t xml:space="preserve">, </w:t>
            </w:r>
            <w:r w:rsidR="00D643AD">
              <w:rPr>
                <w:rStyle w:val="font141"/>
                <w:sz w:val="24"/>
                <w:szCs w:val="24"/>
              </w:rPr>
              <w:t xml:space="preserve">інші </w:t>
            </w:r>
            <w:r w:rsidRPr="00976216">
              <w:rPr>
                <w:rStyle w:val="font141"/>
                <w:sz w:val="24"/>
                <w:szCs w:val="24"/>
              </w:rPr>
              <w:t xml:space="preserve">суб’єкти господарювання не можуть отримати тарифну квоту та </w:t>
            </w:r>
            <w:r w:rsidR="00CF45C8" w:rsidRPr="00976216">
              <w:rPr>
                <w:rStyle w:val="font141"/>
                <w:sz w:val="24"/>
                <w:szCs w:val="24"/>
              </w:rPr>
              <w:t>несуть фінансові витрати на сплату передбачених законодавством митних платежів у повному обсязі.</w:t>
            </w:r>
            <w:r w:rsidR="00242AE5">
              <w:rPr>
                <w:rStyle w:val="font141"/>
                <w:sz w:val="24"/>
                <w:szCs w:val="24"/>
              </w:rPr>
              <w:t xml:space="preserve"> Це в тому числі може стосуватися випадку, коли </w:t>
            </w:r>
            <w:r w:rsidR="00947165" w:rsidRPr="00947165">
              <w:rPr>
                <w:rStyle w:val="font141"/>
                <w:sz w:val="24"/>
                <w:szCs w:val="24"/>
              </w:rPr>
              <w:t xml:space="preserve">суб’єктами господарювання </w:t>
            </w:r>
            <w:r w:rsidR="003C10E8" w:rsidRPr="00947165">
              <w:rPr>
                <w:rStyle w:val="font141"/>
                <w:sz w:val="24"/>
                <w:szCs w:val="24"/>
              </w:rPr>
              <w:t xml:space="preserve">на підставі недійсних документів (у разі </w:t>
            </w:r>
            <w:proofErr w:type="spellStart"/>
            <w:r w:rsidR="003C10E8" w:rsidRPr="00947165">
              <w:rPr>
                <w:rStyle w:val="font141"/>
                <w:sz w:val="24"/>
                <w:szCs w:val="24"/>
              </w:rPr>
              <w:t>непідтвердження</w:t>
            </w:r>
            <w:proofErr w:type="spellEnd"/>
            <w:r w:rsidR="003C10E8" w:rsidRPr="00947165">
              <w:rPr>
                <w:rStyle w:val="font141"/>
                <w:sz w:val="24"/>
                <w:szCs w:val="24"/>
              </w:rPr>
              <w:t xml:space="preserve"> достовірності документа, що підтверджує статус преференційного походження товару в результаті отримання інформації від компетентних органів зарубіжних держав),</w:t>
            </w:r>
            <w:r w:rsidR="00947165" w:rsidRPr="00947165">
              <w:rPr>
                <w:rStyle w:val="font141"/>
                <w:sz w:val="24"/>
                <w:szCs w:val="24"/>
              </w:rPr>
              <w:t xml:space="preserve"> </w:t>
            </w:r>
            <w:r w:rsidR="00242AE5">
              <w:rPr>
                <w:rStyle w:val="font141"/>
                <w:sz w:val="24"/>
                <w:szCs w:val="24"/>
              </w:rPr>
              <w:t>отримано</w:t>
            </w:r>
            <w:r w:rsidR="00242AE5" w:rsidRPr="00947165">
              <w:rPr>
                <w:rStyle w:val="font141"/>
                <w:sz w:val="24"/>
                <w:szCs w:val="24"/>
              </w:rPr>
              <w:t xml:space="preserve"> неправомірн</w:t>
            </w:r>
            <w:r w:rsidR="00242AE5">
              <w:rPr>
                <w:rStyle w:val="font141"/>
                <w:sz w:val="24"/>
                <w:szCs w:val="24"/>
              </w:rPr>
              <w:t>і</w:t>
            </w:r>
            <w:r w:rsidR="00242AE5" w:rsidRPr="00947165">
              <w:rPr>
                <w:rStyle w:val="font141"/>
                <w:sz w:val="24"/>
                <w:szCs w:val="24"/>
              </w:rPr>
              <w:t xml:space="preserve"> пільги</w:t>
            </w:r>
            <w:r w:rsidR="00242AE5">
              <w:rPr>
                <w:rStyle w:val="font141"/>
                <w:sz w:val="24"/>
                <w:szCs w:val="24"/>
              </w:rPr>
              <w:t>, а</w:t>
            </w:r>
            <w:r w:rsidR="00242AE5" w:rsidRPr="00947165">
              <w:rPr>
                <w:rStyle w:val="font141"/>
                <w:sz w:val="24"/>
                <w:szCs w:val="24"/>
              </w:rPr>
              <w:t xml:space="preserve"> </w:t>
            </w:r>
            <w:r w:rsidR="00D643AD">
              <w:rPr>
                <w:rStyle w:val="font141"/>
                <w:sz w:val="24"/>
                <w:szCs w:val="24"/>
              </w:rPr>
              <w:t xml:space="preserve">інші </w:t>
            </w:r>
            <w:r w:rsidR="00947165">
              <w:rPr>
                <w:rStyle w:val="font141"/>
                <w:sz w:val="24"/>
                <w:szCs w:val="24"/>
              </w:rPr>
              <w:t>суб’єкти господарювання не можуть отримати тарифну квоту та несуть фінансові витрати на сплату передбачених законодавством митних платежів у повному обсязі.</w:t>
            </w:r>
          </w:p>
        </w:tc>
      </w:tr>
      <w:tr w:rsidR="00441950" w:rsidRPr="00B243E4" w14:paraId="63B96DEB" w14:textId="77777777" w:rsidTr="00441C60">
        <w:tc>
          <w:tcPr>
            <w:tcW w:w="1738" w:type="dxa"/>
            <w:vAlign w:val="center"/>
          </w:tcPr>
          <w:p w14:paraId="584D5196" w14:textId="77777777" w:rsidR="00441950" w:rsidRPr="00B243E4" w:rsidRDefault="00441950" w:rsidP="00F906CB">
            <w:pPr>
              <w:jc w:val="center"/>
            </w:pPr>
            <w:r w:rsidRPr="004347A3">
              <w:lastRenderedPageBreak/>
              <w:t>Альтернатива 2</w:t>
            </w:r>
          </w:p>
        </w:tc>
        <w:tc>
          <w:tcPr>
            <w:tcW w:w="3536" w:type="dxa"/>
          </w:tcPr>
          <w:p w14:paraId="293FC441" w14:textId="55F2AFE6" w:rsidR="009D22B1" w:rsidRPr="007F7EAE" w:rsidRDefault="00E20DDE" w:rsidP="00DC2961">
            <w:pPr>
              <w:spacing w:before="120"/>
              <w:jc w:val="both"/>
            </w:pPr>
            <w:r w:rsidRPr="007F7EAE">
              <w:t>Реалізація норм проє</w:t>
            </w:r>
            <w:r w:rsidR="00242366" w:rsidRPr="007F7EAE">
              <w:t>кту наказу сприятиме</w:t>
            </w:r>
            <w:r w:rsidR="009D22B1" w:rsidRPr="007F7EAE">
              <w:t xml:space="preserve"> імп</w:t>
            </w:r>
            <w:r w:rsidR="00F017AB" w:rsidRPr="007F7EAE">
              <w:t>лементації</w:t>
            </w:r>
            <w:r w:rsidR="009D22B1" w:rsidRPr="007F7EAE">
              <w:t xml:space="preserve"> положень </w:t>
            </w:r>
            <w:r w:rsidR="00F72CEC" w:rsidRPr="007F7EAE">
              <w:t xml:space="preserve">чинних міжнародних договорів України про вільну торгівлю </w:t>
            </w:r>
            <w:r w:rsidR="009D22B1" w:rsidRPr="007F7EAE">
              <w:t>та забезпечить:</w:t>
            </w:r>
          </w:p>
          <w:p w14:paraId="70502892" w14:textId="0E3ACE00" w:rsidR="00F72CEC" w:rsidRPr="007F7EAE" w:rsidRDefault="00D54552" w:rsidP="00DC2961">
            <w:pPr>
              <w:spacing w:before="120"/>
              <w:jc w:val="both"/>
            </w:pPr>
            <w:r w:rsidRPr="007F7EAE">
              <w:t>отримання тарифної квоти при остаточному вивезенні товарів для вільного обігу за межами митної території України, що підвищить конкурентоспроможність суб’єктів господарювання</w:t>
            </w:r>
            <w:r w:rsidR="00C45BA1" w:rsidRPr="007F7EAE">
              <w:t xml:space="preserve"> та забезпечить </w:t>
            </w:r>
            <w:r w:rsidRPr="007F7EAE">
              <w:t>економію фінансових витрат суб’єктів господарювання на сплату передбачених законодавством митних платежів</w:t>
            </w:r>
            <w:r w:rsidR="00C45BA1" w:rsidRPr="007F7EAE">
              <w:t xml:space="preserve"> у розмірі близько 4 млн грн щорічно</w:t>
            </w:r>
            <w:r w:rsidR="00F72CEC" w:rsidRPr="007F7EAE">
              <w:t>;</w:t>
            </w:r>
          </w:p>
          <w:p w14:paraId="7EC43B58" w14:textId="2D853216" w:rsidR="00F72CEC" w:rsidRPr="007F7EAE" w:rsidRDefault="00D54552" w:rsidP="00985E63">
            <w:pPr>
              <w:spacing w:before="120"/>
              <w:jc w:val="both"/>
              <w:rPr>
                <w:highlight w:val="yellow"/>
              </w:rPr>
            </w:pPr>
            <w:r w:rsidRPr="007F7EAE">
              <w:t xml:space="preserve">економію фінансових витрат </w:t>
            </w:r>
            <w:r w:rsidR="00DC2961" w:rsidRPr="007F7EAE">
              <w:t xml:space="preserve">інших </w:t>
            </w:r>
            <w:r w:rsidRPr="007F7EAE">
              <w:t>суб’єктів господарювання на сплату передбачених законодавством митних платежів</w:t>
            </w:r>
            <w:r w:rsidR="00DC2961" w:rsidRPr="007F7EAE">
              <w:t xml:space="preserve">, які можуть скористатися вивільненою тарифною квотою </w:t>
            </w:r>
            <w:r w:rsidR="007F516D" w:rsidRPr="007F7EAE">
              <w:t xml:space="preserve">в результаті зміни статусу тарифної квоти на невикористану </w:t>
            </w:r>
            <w:r w:rsidR="00D92A59" w:rsidRPr="007F7EAE">
              <w:t xml:space="preserve">у разі  </w:t>
            </w:r>
            <w:r w:rsidR="00985E63" w:rsidRPr="007F7EAE">
              <w:t>порушення</w:t>
            </w:r>
            <w:r w:rsidR="00D92A59" w:rsidRPr="007F7EAE">
              <w:t xml:space="preserve"> </w:t>
            </w:r>
            <w:r w:rsidR="007F516D" w:rsidRPr="007F7EAE">
              <w:t>суб’єктами господарювання</w:t>
            </w:r>
            <w:r w:rsidR="00411A38" w:rsidRPr="007F7EAE">
              <w:t>, які первинно отримали тарифну квоту,</w:t>
            </w:r>
            <w:r w:rsidR="00985E63" w:rsidRPr="007F7EAE">
              <w:rPr>
                <w:rStyle w:val="font141"/>
                <w:sz w:val="24"/>
                <w:szCs w:val="24"/>
              </w:rPr>
              <w:t xml:space="preserve"> умов міжнародних угод про вільну торгівлю.</w:t>
            </w:r>
          </w:p>
        </w:tc>
        <w:tc>
          <w:tcPr>
            <w:tcW w:w="4507" w:type="dxa"/>
          </w:tcPr>
          <w:p w14:paraId="09E90E5E" w14:textId="755446D1" w:rsidR="004419DE" w:rsidRPr="007F7EAE" w:rsidRDefault="004419DE" w:rsidP="00DC2961">
            <w:pPr>
              <w:spacing w:before="120"/>
              <w:jc w:val="both"/>
            </w:pPr>
            <w:r w:rsidRPr="007F7EAE">
              <w:t>Суб’єкти господарювання понесуть витрати, пов’язані з ознайомленням з положеннями регуляторного акта – витрати становитимуть 1 робочу годину (</w:t>
            </w:r>
            <w:r w:rsidR="009021E6" w:rsidRPr="007F7EAE">
              <w:t>52</w:t>
            </w:r>
            <w:r w:rsidRPr="007F7EAE">
              <w:t xml:space="preserve"> грн).</w:t>
            </w:r>
          </w:p>
          <w:p w14:paraId="74D6A6ED" w14:textId="18E5BE8B" w:rsidR="00E535A0" w:rsidRPr="007F7EAE" w:rsidRDefault="00656A3E" w:rsidP="00DC2961">
            <w:pPr>
              <w:spacing w:before="120"/>
              <w:jc w:val="both"/>
            </w:pPr>
            <w:r w:rsidRPr="007F7EAE">
              <w:t xml:space="preserve">Витрати </w:t>
            </w:r>
            <w:r w:rsidR="007C10E1" w:rsidRPr="007F7EAE">
              <w:t xml:space="preserve">становитимуть орієнтовно </w:t>
            </w:r>
            <w:r w:rsidR="006C3F3F" w:rsidRPr="007F7EAE">
              <w:t>29</w:t>
            </w:r>
            <w:r w:rsidR="007C10E1" w:rsidRPr="007F7EAE">
              <w:t>,1 грн на витратні матеріали (папір офсетний, тонер для картриджу принтера) для подання експортером додаткових документів (обсяг документів становитиме 20 аркушів) митниці під час експорту для отримання</w:t>
            </w:r>
            <w:r w:rsidR="00E535A0" w:rsidRPr="007F7EAE">
              <w:t xml:space="preserve"> </w:t>
            </w:r>
            <w:r w:rsidR="006C3F3F" w:rsidRPr="007F7EAE">
              <w:t xml:space="preserve">преференційного </w:t>
            </w:r>
            <w:r w:rsidR="00010229" w:rsidRPr="007F7EAE">
              <w:t>документу</w:t>
            </w:r>
            <w:r w:rsidR="006C3F3F" w:rsidRPr="007F7EAE">
              <w:t xml:space="preserve"> про походження </w:t>
            </w:r>
            <w:r w:rsidR="00010229" w:rsidRPr="007F7EAE">
              <w:t>товарів, передбаченого міжнародним догово</w:t>
            </w:r>
            <w:r w:rsidR="006C3F3F" w:rsidRPr="007F7EAE">
              <w:t>ром України про вільну торгівлю</w:t>
            </w:r>
            <w:r w:rsidR="00E535A0" w:rsidRPr="007F7EAE">
              <w:t>.</w:t>
            </w:r>
          </w:p>
          <w:p w14:paraId="48FF6E8C" w14:textId="52EFC25E" w:rsidR="00E535A0" w:rsidRPr="007F7EAE" w:rsidRDefault="00E535A0" w:rsidP="00E535A0">
            <w:pPr>
              <w:jc w:val="both"/>
            </w:pPr>
            <w:r w:rsidRPr="007F7EAE">
              <w:t>Витрати часу, пов’язані з підготовкою</w:t>
            </w:r>
            <w:r w:rsidR="006C3F3F" w:rsidRPr="007F7EAE">
              <w:t xml:space="preserve"> заявки на отримання тарифної квоти при експорті та</w:t>
            </w:r>
            <w:r w:rsidRPr="007F7EAE">
              <w:t xml:space="preserve"> додаткових документів що подаватимуться експортером під час експорту до митниці для отримання </w:t>
            </w:r>
            <w:r w:rsidR="006C3F3F" w:rsidRPr="007F7EAE">
              <w:t>преференційного документа про походження</w:t>
            </w:r>
            <w:r w:rsidRPr="007F7EAE">
              <w:t xml:space="preserve"> становитимуть </w:t>
            </w:r>
            <w:r w:rsidR="006C3F3F" w:rsidRPr="007F7EAE">
              <w:t>5</w:t>
            </w:r>
            <w:r w:rsidRPr="007F7EAE">
              <w:t xml:space="preserve"> год – </w:t>
            </w:r>
            <w:r w:rsidR="006C3F3F" w:rsidRPr="007F7EAE">
              <w:t>260</w:t>
            </w:r>
            <w:r w:rsidRPr="007F7EAE">
              <w:t xml:space="preserve"> грн (</w:t>
            </w:r>
            <w:r w:rsidR="006C3F3F" w:rsidRPr="007F7EAE">
              <w:t xml:space="preserve">щорічно суб’єкти господарювання приблизно отримуватимуть 5 преференційних документів про походження </w:t>
            </w:r>
            <w:r w:rsidRPr="007F7EAE">
              <w:t>товарів).</w:t>
            </w:r>
          </w:p>
          <w:p w14:paraId="43CB278F" w14:textId="32084F91" w:rsidR="001179A5" w:rsidRPr="007F7EAE" w:rsidRDefault="00E535A0" w:rsidP="00B96BAF">
            <w:pPr>
              <w:spacing w:before="120"/>
              <w:jc w:val="both"/>
              <w:rPr>
                <w:highlight w:val="yellow"/>
              </w:rPr>
            </w:pPr>
            <w:r w:rsidRPr="007F7EAE">
              <w:t>Загальні ви</w:t>
            </w:r>
            <w:r w:rsidR="003316A9" w:rsidRPr="007F7EAE">
              <w:t xml:space="preserve">трати усіх суб’єктів господарювання </w:t>
            </w:r>
            <w:r w:rsidRPr="007F7EAE">
              <w:t xml:space="preserve">на </w:t>
            </w:r>
            <w:r w:rsidR="006C3F3F" w:rsidRPr="007F7EAE">
              <w:t xml:space="preserve">підготовку заявки на отримання тарифної квоти і </w:t>
            </w:r>
            <w:r w:rsidRPr="007F7EAE">
              <w:t xml:space="preserve">отримання преференційного </w:t>
            </w:r>
            <w:r w:rsidR="006C3F3F" w:rsidRPr="007F7EAE">
              <w:t xml:space="preserve">документу про </w:t>
            </w:r>
            <w:r w:rsidRPr="007F7EAE">
              <w:t xml:space="preserve">походження товарів за перший рік становитимуть </w:t>
            </w:r>
            <w:r w:rsidR="006C3F3F" w:rsidRPr="007F7EAE">
              <w:t>7</w:t>
            </w:r>
            <w:r w:rsidR="00B96BAF" w:rsidRPr="007F7EAE">
              <w:t> </w:t>
            </w:r>
            <w:r w:rsidR="006C3F3F" w:rsidRPr="007F7EAE">
              <w:t>163,1</w:t>
            </w:r>
            <w:r w:rsidR="003316A9" w:rsidRPr="007F7EAE">
              <w:t xml:space="preserve"> </w:t>
            </w:r>
            <w:r w:rsidRPr="007F7EAE">
              <w:t xml:space="preserve">грн, а за п’ять років </w:t>
            </w:r>
            <w:r w:rsidR="006C3F3F" w:rsidRPr="007F7EAE">
              <w:t>31</w:t>
            </w:r>
            <w:r w:rsidR="00B96BAF" w:rsidRPr="007F7EAE">
              <w:t> </w:t>
            </w:r>
            <w:r w:rsidR="006C3F3F" w:rsidRPr="007F7EAE">
              <w:t>447,5</w:t>
            </w:r>
            <w:r w:rsidR="00B96BAF" w:rsidRPr="007F7EAE">
              <w:t> </w:t>
            </w:r>
            <w:r w:rsidRPr="007F7EAE">
              <w:t xml:space="preserve"> грн</w:t>
            </w:r>
          </w:p>
        </w:tc>
      </w:tr>
    </w:tbl>
    <w:p w14:paraId="3483704E" w14:textId="77777777" w:rsidR="00915164" w:rsidRDefault="00915164" w:rsidP="00242366">
      <w:pPr>
        <w:ind w:firstLine="567"/>
        <w:jc w:val="both"/>
        <w:rPr>
          <w:rFonts w:eastAsia="Times New Roman"/>
          <w:lang w:eastAsia="ru-RU"/>
        </w:rPr>
      </w:pPr>
    </w:p>
    <w:p w14:paraId="00D294C1" w14:textId="79F1BDEF" w:rsidR="005C3C13" w:rsidRDefault="00B96BAF" w:rsidP="00242366">
      <w:pPr>
        <w:ind w:firstLine="567"/>
        <w:jc w:val="both"/>
        <w:rPr>
          <w:rFonts w:eastAsia="Times New Roman"/>
          <w:sz w:val="28"/>
          <w:szCs w:val="28"/>
          <w:lang w:eastAsia="ru-RU"/>
        </w:rPr>
      </w:pPr>
      <w:r>
        <w:rPr>
          <w:rFonts w:eastAsia="Times New Roman"/>
          <w:sz w:val="28"/>
          <w:szCs w:val="28"/>
          <w:lang w:eastAsia="ru-RU"/>
        </w:rPr>
        <w:t>Витрати суб’єктів господарювання великого і середнього підприємництва, які будуть виникати внаслідок дії регуляторно</w:t>
      </w:r>
      <w:r w:rsidR="00183EBA">
        <w:rPr>
          <w:rFonts w:eastAsia="Times New Roman"/>
          <w:sz w:val="28"/>
          <w:szCs w:val="28"/>
          <w:lang w:eastAsia="ru-RU"/>
        </w:rPr>
        <w:t>го акта, розраховані у додатку 1</w:t>
      </w:r>
      <w:r>
        <w:rPr>
          <w:rFonts w:eastAsia="Times New Roman"/>
          <w:sz w:val="28"/>
          <w:szCs w:val="28"/>
          <w:lang w:eastAsia="ru-RU"/>
        </w:rPr>
        <w:t xml:space="preserve"> до АРВ.</w:t>
      </w:r>
    </w:p>
    <w:p w14:paraId="660CA6DA" w14:textId="77777777" w:rsidR="005C3C13" w:rsidRPr="00D35E0D" w:rsidRDefault="005C3C13" w:rsidP="00242366">
      <w:pPr>
        <w:ind w:firstLine="567"/>
        <w:jc w:val="both"/>
        <w:rPr>
          <w:rFonts w:eastAsia="Times New Roman"/>
          <w:sz w:val="28"/>
          <w:szCs w:val="28"/>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5075"/>
      </w:tblGrid>
      <w:tr w:rsidR="006451DC" w:rsidRPr="006451DC" w14:paraId="02B9F803" w14:textId="77777777" w:rsidTr="00723DED">
        <w:tc>
          <w:tcPr>
            <w:tcW w:w="4814" w:type="dxa"/>
          </w:tcPr>
          <w:p w14:paraId="7D0AD27D" w14:textId="77777777" w:rsidR="006451DC" w:rsidRPr="006451DC" w:rsidRDefault="006451DC" w:rsidP="006451DC">
            <w:pPr>
              <w:ind w:firstLine="567"/>
              <w:jc w:val="center"/>
              <w:rPr>
                <w:bCs/>
              </w:rPr>
            </w:pPr>
            <w:r w:rsidRPr="006451DC">
              <w:rPr>
                <w:bCs/>
              </w:rPr>
              <w:t>Сумарні витрати за альтернативами</w:t>
            </w:r>
          </w:p>
        </w:tc>
        <w:tc>
          <w:tcPr>
            <w:tcW w:w="5075" w:type="dxa"/>
          </w:tcPr>
          <w:p w14:paraId="2339FD5F" w14:textId="77777777" w:rsidR="006451DC" w:rsidRPr="006451DC" w:rsidRDefault="006451DC" w:rsidP="006451DC">
            <w:pPr>
              <w:ind w:firstLine="567"/>
              <w:jc w:val="center"/>
              <w:rPr>
                <w:bCs/>
              </w:rPr>
            </w:pPr>
            <w:r w:rsidRPr="006451DC">
              <w:rPr>
                <w:bCs/>
              </w:rPr>
              <w:t>Сума витрат</w:t>
            </w:r>
          </w:p>
        </w:tc>
      </w:tr>
      <w:tr w:rsidR="006451DC" w:rsidRPr="006451DC" w14:paraId="320B0350" w14:textId="77777777" w:rsidTr="00723DED">
        <w:tc>
          <w:tcPr>
            <w:tcW w:w="4814" w:type="dxa"/>
          </w:tcPr>
          <w:p w14:paraId="336C3E0B" w14:textId="77777777" w:rsidR="006451DC" w:rsidRPr="001170F1" w:rsidRDefault="006451DC" w:rsidP="001170F1">
            <w:pPr>
              <w:jc w:val="both"/>
              <w:rPr>
                <w:bCs/>
              </w:rPr>
            </w:pPr>
            <w:r w:rsidRPr="006451DC">
              <w:rPr>
                <w:bCs/>
              </w:rPr>
              <w:t>Альтернатива 1. Сумарні витрати для суб’єктів господарювання</w:t>
            </w:r>
            <w:r w:rsidR="00EB48B3" w:rsidRPr="00EB48B3">
              <w:rPr>
                <w:bCs/>
              </w:rPr>
              <w:t xml:space="preserve"> </w:t>
            </w:r>
            <w:r w:rsidR="00EB48B3">
              <w:rPr>
                <w:bCs/>
              </w:rPr>
              <w:t>великого і</w:t>
            </w:r>
            <w:r w:rsidRPr="006451DC">
              <w:rPr>
                <w:bCs/>
              </w:rPr>
              <w:t xml:space="preserve">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w:t>
            </w:r>
            <w:r w:rsidRPr="006451DC">
              <w:rPr>
                <w:bCs/>
              </w:rPr>
              <w:lastRenderedPageBreak/>
              <w:t>підприємництва, які виникають внаслідок дії регуляторного акта»)</w:t>
            </w:r>
          </w:p>
        </w:tc>
        <w:tc>
          <w:tcPr>
            <w:tcW w:w="5075" w:type="dxa"/>
          </w:tcPr>
          <w:p w14:paraId="5A94F341" w14:textId="0B7971CF" w:rsidR="001170F1" w:rsidRDefault="0060179B" w:rsidP="001170F1">
            <w:pPr>
              <w:jc w:val="both"/>
              <w:rPr>
                <w:rStyle w:val="font141"/>
                <w:sz w:val="24"/>
                <w:szCs w:val="24"/>
              </w:rPr>
            </w:pPr>
            <w:r w:rsidRPr="0060179B">
              <w:rPr>
                <w:bCs/>
              </w:rPr>
              <w:lastRenderedPageBreak/>
              <w:t>4 003 421</w:t>
            </w:r>
            <w:r w:rsidR="001E5A11" w:rsidRPr="001E5A11">
              <w:rPr>
                <w:bCs/>
              </w:rPr>
              <w:t xml:space="preserve"> </w:t>
            </w:r>
            <w:r w:rsidR="001170F1">
              <w:rPr>
                <w:bCs/>
              </w:rPr>
              <w:t xml:space="preserve">грн </w:t>
            </w:r>
            <w:r w:rsidR="00183CF6">
              <w:rPr>
                <w:bCs/>
              </w:rPr>
              <w:t xml:space="preserve">на рік </w:t>
            </w:r>
            <w:r w:rsidR="00183CF6">
              <w:rPr>
                <w:rStyle w:val="font141"/>
                <w:sz w:val="24"/>
                <w:szCs w:val="24"/>
              </w:rPr>
              <w:t xml:space="preserve">та </w:t>
            </w:r>
            <w:r w:rsidRPr="0060179B">
              <w:t>20 017</w:t>
            </w:r>
            <w:r>
              <w:t> </w:t>
            </w:r>
            <w:r w:rsidRPr="0060179B">
              <w:t>105</w:t>
            </w:r>
            <w:r>
              <w:t xml:space="preserve"> </w:t>
            </w:r>
            <w:r w:rsidR="00183CF6">
              <w:t xml:space="preserve">грн </w:t>
            </w:r>
            <w:r w:rsidR="00183CF6">
              <w:rPr>
                <w:rStyle w:val="font141"/>
                <w:sz w:val="24"/>
                <w:szCs w:val="24"/>
              </w:rPr>
              <w:t xml:space="preserve">за п’ять років </w:t>
            </w:r>
          </w:p>
          <w:p w14:paraId="1F44EB7E" w14:textId="77777777" w:rsidR="006451DC" w:rsidRPr="001170F1" w:rsidRDefault="006451DC" w:rsidP="006451DC">
            <w:pPr>
              <w:jc w:val="center"/>
              <w:rPr>
                <w:bCs/>
              </w:rPr>
            </w:pPr>
          </w:p>
        </w:tc>
      </w:tr>
      <w:tr w:rsidR="006451DC" w:rsidRPr="006451DC" w14:paraId="3FDA4FDC" w14:textId="77777777" w:rsidTr="00723DED">
        <w:tc>
          <w:tcPr>
            <w:tcW w:w="4814" w:type="dxa"/>
          </w:tcPr>
          <w:p w14:paraId="6B8AD2ED" w14:textId="2E9A3381" w:rsidR="006451DC" w:rsidRPr="006451DC" w:rsidRDefault="006451DC" w:rsidP="00226454">
            <w:pPr>
              <w:jc w:val="both"/>
              <w:rPr>
                <w:bCs/>
              </w:rPr>
            </w:pPr>
            <w:r w:rsidRPr="006451DC">
              <w:rPr>
                <w:bCs/>
              </w:rPr>
              <w:lastRenderedPageBreak/>
              <w:t xml:space="preserve">Альтернатива 2. </w:t>
            </w:r>
            <w:r w:rsidR="002A786C" w:rsidRPr="002A786C">
              <w:rPr>
                <w:bCs/>
              </w:rPr>
              <w:t>Сумарні витрати для суб’єктів господарювання великого і середнього підприємництва відрізняються від Альтернативи 1 на витрати</w:t>
            </w:r>
            <w:r w:rsidR="00DA1AA1">
              <w:rPr>
                <w:bCs/>
              </w:rPr>
              <w:t>,</w:t>
            </w:r>
            <w:r w:rsidR="002A786C" w:rsidRPr="002A786C">
              <w:rPr>
                <w:bCs/>
              </w:rPr>
              <w:t xml:space="preserve"> </w:t>
            </w:r>
            <w:r w:rsidR="00F11C27">
              <w:rPr>
                <w:bCs/>
              </w:rPr>
              <w:t xml:space="preserve">пов’язані з </w:t>
            </w:r>
            <w:r w:rsidR="002A786C" w:rsidRPr="002A786C">
              <w:rPr>
                <w:bCs/>
              </w:rPr>
              <w:t>ознайомлення</w:t>
            </w:r>
            <w:r w:rsidR="00F11C27">
              <w:rPr>
                <w:bCs/>
              </w:rPr>
              <w:t>м</w:t>
            </w:r>
            <w:r w:rsidRPr="006451DC">
              <w:rPr>
                <w:bCs/>
              </w:rPr>
              <w:t xml:space="preserve"> </w:t>
            </w:r>
            <w:r w:rsidR="002A786C">
              <w:rPr>
                <w:bCs/>
              </w:rPr>
              <w:t xml:space="preserve">суб’єктів господарювання </w:t>
            </w:r>
            <w:r w:rsidRPr="006451DC">
              <w:rPr>
                <w:bCs/>
              </w:rPr>
              <w:t>з нормами регуляторного акта</w:t>
            </w:r>
            <w:r w:rsidR="002A786C">
              <w:rPr>
                <w:bCs/>
              </w:rPr>
              <w:t xml:space="preserve">, підготовкою </w:t>
            </w:r>
            <w:r w:rsidR="005E6FE5">
              <w:rPr>
                <w:bCs/>
              </w:rPr>
              <w:t>заяв</w:t>
            </w:r>
            <w:r w:rsidR="00226454">
              <w:rPr>
                <w:bCs/>
              </w:rPr>
              <w:t>к</w:t>
            </w:r>
            <w:r w:rsidR="005E6FE5">
              <w:rPr>
                <w:bCs/>
              </w:rPr>
              <w:t>и</w:t>
            </w:r>
            <w:r w:rsidR="00226454">
              <w:rPr>
                <w:bCs/>
              </w:rPr>
              <w:t xml:space="preserve"> на отримання тарифної квоти та документів для отримання</w:t>
            </w:r>
            <w:r w:rsidR="005E6FE5">
              <w:rPr>
                <w:bCs/>
              </w:rPr>
              <w:t xml:space="preserve"> </w:t>
            </w:r>
            <w:r w:rsidR="00F11C27">
              <w:rPr>
                <w:bCs/>
              </w:rPr>
              <w:t>преференційн</w:t>
            </w:r>
            <w:r w:rsidR="00226454">
              <w:rPr>
                <w:bCs/>
              </w:rPr>
              <w:t>ого</w:t>
            </w:r>
            <w:r w:rsidR="00F11C27">
              <w:rPr>
                <w:bCs/>
              </w:rPr>
              <w:t xml:space="preserve"> </w:t>
            </w:r>
            <w:r w:rsidR="00226454">
              <w:rPr>
                <w:bCs/>
              </w:rPr>
              <w:t xml:space="preserve">документа про </w:t>
            </w:r>
            <w:r w:rsidR="00F11C27">
              <w:rPr>
                <w:bCs/>
              </w:rPr>
              <w:t>походження товарів з України</w:t>
            </w:r>
            <w:r w:rsidR="00226454">
              <w:rPr>
                <w:bCs/>
              </w:rPr>
              <w:t>. При отриманні преференційного документа і тарифної квоти у експортера відсутні фінансові витрати на сплату передбачених законодавством митних платежів у повному обсязі.</w:t>
            </w:r>
            <w:r w:rsidR="002A786C">
              <w:rPr>
                <w:bCs/>
              </w:rPr>
              <w:t xml:space="preserve"> </w:t>
            </w:r>
          </w:p>
        </w:tc>
        <w:tc>
          <w:tcPr>
            <w:tcW w:w="5075" w:type="dxa"/>
          </w:tcPr>
          <w:p w14:paraId="46E0F9C2" w14:textId="29BD2DAD" w:rsidR="006451DC" w:rsidRPr="006451DC" w:rsidRDefault="00A815CB" w:rsidP="00226454">
            <w:pPr>
              <w:jc w:val="both"/>
              <w:rPr>
                <w:bCs/>
              </w:rPr>
            </w:pPr>
            <w:r w:rsidRPr="00723DED">
              <w:rPr>
                <w:bCs/>
              </w:rPr>
              <w:t xml:space="preserve">Прогнозні показники фінансових витрат суб’єктів господарювання </w:t>
            </w:r>
            <w:r w:rsidR="00E70524">
              <w:rPr>
                <w:bCs/>
              </w:rPr>
              <w:t>становитимуть</w:t>
            </w:r>
            <w:r w:rsidRPr="00723DED">
              <w:rPr>
                <w:bCs/>
              </w:rPr>
              <w:t xml:space="preserve"> </w:t>
            </w:r>
            <w:r w:rsidR="00B96BAF">
              <w:rPr>
                <w:bCs/>
              </w:rPr>
              <w:t>7163,1</w:t>
            </w:r>
            <w:r w:rsidR="00723DED" w:rsidRPr="00723DED">
              <w:rPr>
                <w:bCs/>
              </w:rPr>
              <w:t xml:space="preserve"> </w:t>
            </w:r>
            <w:r w:rsidR="008417B8" w:rsidRPr="00723DED">
              <w:rPr>
                <w:bCs/>
              </w:rPr>
              <w:t>грн</w:t>
            </w:r>
            <w:r w:rsidRPr="00723DED">
              <w:rPr>
                <w:bCs/>
              </w:rPr>
              <w:t xml:space="preserve"> за перший рік та </w:t>
            </w:r>
            <w:r w:rsidR="00B96BAF">
              <w:rPr>
                <w:bCs/>
              </w:rPr>
              <w:t>31447,5</w:t>
            </w:r>
            <w:r w:rsidR="00004404">
              <w:rPr>
                <w:bCs/>
              </w:rPr>
              <w:t xml:space="preserve"> </w:t>
            </w:r>
            <w:r w:rsidR="00E70524">
              <w:rPr>
                <w:rFonts w:eastAsia="Times New Roman"/>
                <w:lang w:eastAsia="ru-RU"/>
              </w:rPr>
              <w:t>грн за п’ять років</w:t>
            </w:r>
          </w:p>
        </w:tc>
      </w:tr>
    </w:tbl>
    <w:p w14:paraId="41294BE7" w14:textId="1B6A33EC" w:rsidR="00C91F89" w:rsidRDefault="00C91F89" w:rsidP="003679A9">
      <w:pPr>
        <w:jc w:val="center"/>
        <w:rPr>
          <w:rStyle w:val="font171"/>
          <w:b/>
          <w:bCs/>
        </w:rPr>
      </w:pPr>
    </w:p>
    <w:p w14:paraId="5456A4B9" w14:textId="77777777" w:rsidR="00441C60" w:rsidRPr="00B52AA1" w:rsidRDefault="00441C60" w:rsidP="003679A9">
      <w:pPr>
        <w:jc w:val="center"/>
        <w:rPr>
          <w:rStyle w:val="font171"/>
          <w:b/>
          <w:bCs/>
        </w:rPr>
      </w:pPr>
    </w:p>
    <w:p w14:paraId="047C61F3" w14:textId="77777777" w:rsidR="00441950" w:rsidRDefault="00441950" w:rsidP="003679A9">
      <w:pPr>
        <w:jc w:val="center"/>
      </w:pPr>
      <w:r>
        <w:rPr>
          <w:rStyle w:val="font171"/>
          <w:b/>
          <w:bCs/>
        </w:rPr>
        <w:t>IV. Вибір найбільш оптимального альтернативного способу</w:t>
      </w:r>
    </w:p>
    <w:p w14:paraId="32C66AF0" w14:textId="77777777" w:rsidR="00441950" w:rsidRPr="00812031" w:rsidRDefault="00441950" w:rsidP="003679A9">
      <w:pPr>
        <w:jc w:val="center"/>
        <w:rPr>
          <w:rStyle w:val="font171"/>
          <w:b/>
          <w:bCs/>
          <w:lang w:val="ru-RU"/>
        </w:rPr>
      </w:pPr>
      <w:r>
        <w:rPr>
          <w:rStyle w:val="font171"/>
          <w:b/>
          <w:bCs/>
        </w:rPr>
        <w:t>досягнення цілей</w:t>
      </w:r>
    </w:p>
    <w:p w14:paraId="010153DB" w14:textId="77777777" w:rsidR="003679A9" w:rsidRPr="00812031" w:rsidRDefault="003679A9" w:rsidP="003679A9">
      <w:pPr>
        <w:jc w:val="center"/>
        <w:rPr>
          <w:rStyle w:val="font171"/>
          <w:b/>
          <w:bCs/>
          <w:lang w:val="ru-RU"/>
        </w:rPr>
      </w:pPr>
    </w:p>
    <w:p w14:paraId="2AFAA3CB" w14:textId="77777777" w:rsidR="008402FD" w:rsidRPr="008402FD" w:rsidRDefault="008402FD" w:rsidP="008402FD">
      <w:pPr>
        <w:ind w:firstLine="567"/>
        <w:jc w:val="both"/>
        <w:rPr>
          <w:rStyle w:val="font171"/>
          <w:bCs/>
        </w:rPr>
      </w:pPr>
      <w:r w:rsidRPr="008402FD">
        <w:rPr>
          <w:rStyle w:val="font171"/>
          <w:bCs/>
        </w:rPr>
        <w:t>Бали визначаються за чотир</w:t>
      </w:r>
      <w:r w:rsidR="00DA1AA1">
        <w:rPr>
          <w:rStyle w:val="font171"/>
          <w:bCs/>
        </w:rPr>
        <w:t>ибальною системою оцінки ступеня</w:t>
      </w:r>
      <w:r w:rsidRPr="008402FD">
        <w:rPr>
          <w:rStyle w:val="font171"/>
          <w:bCs/>
        </w:rPr>
        <w:t xml:space="preserve"> досягнення визначених цілей, де: </w:t>
      </w:r>
    </w:p>
    <w:p w14:paraId="6C6A752A" w14:textId="77777777" w:rsidR="008402FD" w:rsidRPr="008402FD" w:rsidRDefault="008402FD" w:rsidP="008402FD">
      <w:pPr>
        <w:ind w:firstLine="567"/>
        <w:jc w:val="both"/>
        <w:rPr>
          <w:rStyle w:val="font171"/>
          <w:bCs/>
        </w:rPr>
      </w:pPr>
      <w:r w:rsidRPr="008402FD">
        <w:rPr>
          <w:rStyle w:val="font171"/>
          <w:bCs/>
        </w:rPr>
        <w:t xml:space="preserve">1 – цілі прийняття регуляторного акта, які не можуть бути досягнуті (проблема продовжує існувати); </w:t>
      </w:r>
    </w:p>
    <w:p w14:paraId="4B1DD078" w14:textId="77777777" w:rsidR="008402FD" w:rsidRPr="008402FD" w:rsidRDefault="008402FD" w:rsidP="008402FD">
      <w:pPr>
        <w:ind w:firstLine="567"/>
        <w:jc w:val="both"/>
        <w:rPr>
          <w:rStyle w:val="font171"/>
          <w:bCs/>
        </w:rPr>
      </w:pPr>
      <w:r w:rsidRPr="008402FD">
        <w:rPr>
          <w:rStyle w:val="font171"/>
          <w:bCs/>
        </w:rPr>
        <w:t xml:space="preserve">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  </w:t>
      </w:r>
    </w:p>
    <w:p w14:paraId="51D365BB" w14:textId="77777777" w:rsidR="008402FD" w:rsidRPr="008402FD" w:rsidRDefault="008402FD" w:rsidP="008402FD">
      <w:pPr>
        <w:ind w:firstLine="567"/>
        <w:jc w:val="both"/>
        <w:rPr>
          <w:rStyle w:val="font171"/>
          <w:bCs/>
        </w:rPr>
      </w:pPr>
      <w:r w:rsidRPr="008402FD">
        <w:rPr>
          <w:rStyle w:val="font171"/>
          <w:bCs/>
        </w:rPr>
        <w:t xml:space="preserve">3 – цілі прийняття регуляторного акта, які можуть бути досягнуті майже повною мірою (усі важливі аспекти проблеми існувати не будуть); </w:t>
      </w:r>
    </w:p>
    <w:p w14:paraId="35F2A47B" w14:textId="77777777" w:rsidR="008402FD" w:rsidRPr="008402FD" w:rsidRDefault="008402FD" w:rsidP="008402FD">
      <w:pPr>
        <w:ind w:firstLine="567"/>
        <w:jc w:val="both"/>
        <w:rPr>
          <w:rStyle w:val="font171"/>
          <w:bCs/>
        </w:rPr>
      </w:pPr>
      <w:r w:rsidRPr="008402FD">
        <w:rPr>
          <w:rStyle w:val="font171"/>
          <w:bCs/>
        </w:rPr>
        <w:t xml:space="preserve">4 – цілі прийняття регуляторного акта, які можуть бути досягнуті повною мірою (проблема більше існувати не буде). </w:t>
      </w:r>
    </w:p>
    <w:p w14:paraId="389CCB97" w14:textId="35CE0E58" w:rsidR="00FD56D5" w:rsidRDefault="008402FD" w:rsidP="008402FD">
      <w:pPr>
        <w:ind w:firstLine="567"/>
        <w:jc w:val="both"/>
        <w:rPr>
          <w:rStyle w:val="font171"/>
          <w:bCs/>
        </w:rPr>
      </w:pPr>
      <w:r w:rsidRPr="008402FD">
        <w:rPr>
          <w:rStyle w:val="font171"/>
          <w:bCs/>
        </w:rPr>
        <w:t>Вибір оптимального способу досягнення цілей полягає у ви</w:t>
      </w:r>
      <w:r w:rsidR="00DA1AA1">
        <w:rPr>
          <w:rStyle w:val="font171"/>
          <w:bCs/>
        </w:rPr>
        <w:t>значенні способу, який дасть змогу за</w:t>
      </w:r>
      <w:r w:rsidRPr="008402FD">
        <w:rPr>
          <w:rStyle w:val="font171"/>
          <w:bCs/>
        </w:rPr>
        <w:t xml:space="preserve">безпечити </w:t>
      </w:r>
      <w:r w:rsidR="00D34D29" w:rsidRPr="00D34D29">
        <w:rPr>
          <w:rStyle w:val="font171"/>
          <w:bCs/>
        </w:rPr>
        <w:t>реалізаці</w:t>
      </w:r>
      <w:r w:rsidR="00D34D29">
        <w:rPr>
          <w:rStyle w:val="font171"/>
          <w:bCs/>
        </w:rPr>
        <w:t>ю</w:t>
      </w:r>
      <w:r w:rsidR="00D34D29" w:rsidRPr="00D34D29">
        <w:rPr>
          <w:rStyle w:val="font171"/>
          <w:bCs/>
        </w:rPr>
        <w:t xml:space="preserve"> положень міжнародних угод про вільну торгівлю, укладених між Україною та деякими країнами світу, в частині використання та адміністрування тарифних квот при </w:t>
      </w:r>
      <w:proofErr w:type="spellStart"/>
      <w:r w:rsidR="00D34D29" w:rsidRPr="00D34D29">
        <w:rPr>
          <w:rStyle w:val="font171"/>
          <w:bCs/>
        </w:rPr>
        <w:t>імпортно</w:t>
      </w:r>
      <w:proofErr w:type="spellEnd"/>
      <w:r w:rsidR="00D34D29" w:rsidRPr="00D34D29">
        <w:rPr>
          <w:rStyle w:val="font171"/>
          <w:bCs/>
        </w:rPr>
        <w:t>-експортних операціях шляхом здійснення обліку та контролю за розподілом тарифної квоти за допомогою ПІК  «Облік тарифних квот»</w:t>
      </w:r>
      <w:r w:rsidR="00D34D29" w:rsidRPr="00D34D29">
        <w:t xml:space="preserve"> </w:t>
      </w:r>
      <w:r w:rsidR="00D34D29" w:rsidRPr="00D34D29">
        <w:rPr>
          <w:rStyle w:val="font171"/>
          <w:bCs/>
        </w:rPr>
        <w:t>та виріш</w:t>
      </w:r>
      <w:r w:rsidR="00D34D29">
        <w:rPr>
          <w:rStyle w:val="font171"/>
          <w:bCs/>
        </w:rPr>
        <w:t>ити</w:t>
      </w:r>
      <w:r w:rsidR="00D34D29" w:rsidRPr="00D34D29">
        <w:rPr>
          <w:rStyle w:val="font171"/>
          <w:bCs/>
        </w:rPr>
        <w:t xml:space="preserve"> окрем</w:t>
      </w:r>
      <w:r w:rsidR="00D34D29">
        <w:rPr>
          <w:rStyle w:val="font171"/>
          <w:bCs/>
        </w:rPr>
        <w:t>і</w:t>
      </w:r>
      <w:r w:rsidR="00D34D29" w:rsidRPr="00D34D29">
        <w:rPr>
          <w:rStyle w:val="font171"/>
          <w:bCs/>
        </w:rPr>
        <w:t xml:space="preserve"> проблемн</w:t>
      </w:r>
      <w:r w:rsidR="00D34D29">
        <w:rPr>
          <w:rStyle w:val="font171"/>
          <w:bCs/>
        </w:rPr>
        <w:t>і</w:t>
      </w:r>
      <w:r w:rsidR="00D34D29" w:rsidRPr="00D34D29">
        <w:rPr>
          <w:rStyle w:val="font171"/>
          <w:bCs/>
        </w:rPr>
        <w:t xml:space="preserve"> питан</w:t>
      </w:r>
      <w:r w:rsidR="00D34D29">
        <w:rPr>
          <w:rStyle w:val="font171"/>
          <w:bCs/>
        </w:rPr>
        <w:t>ня</w:t>
      </w:r>
      <w:r w:rsidR="00D34D29" w:rsidRPr="00D34D29">
        <w:rPr>
          <w:rStyle w:val="font171"/>
          <w:bCs/>
        </w:rPr>
        <w:t xml:space="preserve"> адміністрування тарифних квот, які виникають при імпорті</w:t>
      </w:r>
      <w:r w:rsidRPr="008402FD">
        <w:rPr>
          <w:rStyle w:val="font171"/>
          <w:bCs/>
        </w:rPr>
        <w:t xml:space="preserve">.   </w:t>
      </w:r>
    </w:p>
    <w:p w14:paraId="723B2F94" w14:textId="77777777" w:rsidR="008402FD" w:rsidRPr="008402FD" w:rsidRDefault="008402FD" w:rsidP="008402FD">
      <w:pPr>
        <w:ind w:firstLine="567"/>
        <w:jc w:val="both"/>
        <w:rPr>
          <w:rStyle w:val="font171"/>
          <w:bCs/>
        </w:rPr>
      </w:pPr>
    </w:p>
    <w:tbl>
      <w:tblPr>
        <w:tblStyle w:val="ad"/>
        <w:tblW w:w="9746" w:type="dxa"/>
        <w:tblInd w:w="108" w:type="dxa"/>
        <w:tblLook w:val="04A0" w:firstRow="1" w:lastRow="0" w:firstColumn="1" w:lastColumn="0" w:noHBand="0" w:noVBand="1"/>
      </w:tblPr>
      <w:tblGrid>
        <w:gridCol w:w="2108"/>
        <w:gridCol w:w="2108"/>
        <w:gridCol w:w="5530"/>
      </w:tblGrid>
      <w:tr w:rsidR="00441950" w:rsidRPr="007F7EAE" w14:paraId="6599DE18" w14:textId="77777777" w:rsidTr="003F79DA">
        <w:tc>
          <w:tcPr>
            <w:tcW w:w="2108" w:type="dxa"/>
            <w:vAlign w:val="center"/>
          </w:tcPr>
          <w:p w14:paraId="639D24CB" w14:textId="77777777" w:rsidR="00441950" w:rsidRPr="007F7EAE" w:rsidRDefault="00441950" w:rsidP="00F906CB">
            <w:pPr>
              <w:jc w:val="center"/>
            </w:pPr>
            <w:r w:rsidRPr="007F7EAE">
              <w:rPr>
                <w:rStyle w:val="font141"/>
                <w:b/>
                <w:sz w:val="24"/>
                <w:szCs w:val="24"/>
              </w:rPr>
              <w:t>Рейтинг результативності (досягнення цілей під час вирішення проблеми)</w:t>
            </w:r>
          </w:p>
        </w:tc>
        <w:tc>
          <w:tcPr>
            <w:tcW w:w="2032" w:type="dxa"/>
            <w:vAlign w:val="center"/>
          </w:tcPr>
          <w:p w14:paraId="1E996C78" w14:textId="77777777" w:rsidR="00441950" w:rsidRPr="007F7EAE" w:rsidRDefault="00441950" w:rsidP="00F906CB">
            <w:pPr>
              <w:jc w:val="center"/>
            </w:pPr>
            <w:r w:rsidRPr="007F7EAE">
              <w:rPr>
                <w:rStyle w:val="font141"/>
                <w:b/>
                <w:sz w:val="24"/>
                <w:szCs w:val="24"/>
              </w:rPr>
              <w:t>Бал результативності (за чотирибальною системою оцінки)</w:t>
            </w:r>
          </w:p>
        </w:tc>
        <w:tc>
          <w:tcPr>
            <w:tcW w:w="5606" w:type="dxa"/>
            <w:vAlign w:val="center"/>
          </w:tcPr>
          <w:p w14:paraId="7EE30092" w14:textId="77777777" w:rsidR="00441950" w:rsidRPr="007F7EAE" w:rsidRDefault="00441950" w:rsidP="00F906CB">
            <w:pPr>
              <w:jc w:val="center"/>
            </w:pPr>
            <w:r w:rsidRPr="007F7EAE">
              <w:rPr>
                <w:rStyle w:val="font141"/>
                <w:b/>
                <w:sz w:val="24"/>
                <w:szCs w:val="24"/>
              </w:rPr>
              <w:t xml:space="preserve">Коментарі щодо присвоєння відповідного </w:t>
            </w:r>
            <w:proofErr w:type="spellStart"/>
            <w:r w:rsidRPr="007F7EAE">
              <w:rPr>
                <w:rStyle w:val="font141"/>
                <w:b/>
                <w:sz w:val="24"/>
                <w:szCs w:val="24"/>
              </w:rPr>
              <w:t>бала</w:t>
            </w:r>
            <w:proofErr w:type="spellEnd"/>
          </w:p>
        </w:tc>
      </w:tr>
      <w:tr w:rsidR="00441950" w:rsidRPr="007F7EAE" w14:paraId="67D6663A" w14:textId="77777777" w:rsidTr="003F79DA">
        <w:tc>
          <w:tcPr>
            <w:tcW w:w="2108" w:type="dxa"/>
            <w:vAlign w:val="center"/>
          </w:tcPr>
          <w:p w14:paraId="5AEA1EB3" w14:textId="77777777" w:rsidR="00441950" w:rsidRPr="007F7EAE" w:rsidRDefault="00441950" w:rsidP="00F906CB">
            <w:pPr>
              <w:jc w:val="center"/>
            </w:pPr>
            <w:r w:rsidRPr="007F7EAE">
              <w:rPr>
                <w:rStyle w:val="font141"/>
                <w:sz w:val="24"/>
                <w:szCs w:val="24"/>
              </w:rPr>
              <w:lastRenderedPageBreak/>
              <w:t>Альтернатива 1</w:t>
            </w:r>
          </w:p>
        </w:tc>
        <w:tc>
          <w:tcPr>
            <w:tcW w:w="2032" w:type="dxa"/>
            <w:vAlign w:val="center"/>
          </w:tcPr>
          <w:p w14:paraId="62A8AD04" w14:textId="77777777" w:rsidR="00441950" w:rsidRPr="007F7EAE" w:rsidRDefault="00441950" w:rsidP="00F906CB">
            <w:pPr>
              <w:jc w:val="center"/>
            </w:pPr>
            <w:r w:rsidRPr="007F7EAE">
              <w:rPr>
                <w:rStyle w:val="font141"/>
                <w:sz w:val="24"/>
                <w:szCs w:val="24"/>
              </w:rPr>
              <w:t>1</w:t>
            </w:r>
          </w:p>
        </w:tc>
        <w:tc>
          <w:tcPr>
            <w:tcW w:w="5606" w:type="dxa"/>
            <w:vAlign w:val="center"/>
          </w:tcPr>
          <w:p w14:paraId="7C02532F" w14:textId="77777777" w:rsidR="00FA09E4" w:rsidRPr="007F7EAE" w:rsidRDefault="00FA09E4" w:rsidP="00C55DB8">
            <w:pPr>
              <w:jc w:val="both"/>
              <w:rPr>
                <w:rStyle w:val="font141"/>
                <w:sz w:val="24"/>
                <w:szCs w:val="24"/>
              </w:rPr>
            </w:pPr>
            <w:r w:rsidRPr="007F7EAE">
              <w:rPr>
                <w:rStyle w:val="font141"/>
                <w:sz w:val="24"/>
                <w:szCs w:val="24"/>
              </w:rPr>
              <w:t>Не дає змоги досягнути поставлених цілей державного регулювання.</w:t>
            </w:r>
          </w:p>
          <w:p w14:paraId="003E1F06" w14:textId="77777777" w:rsidR="00441950" w:rsidRPr="007F7EAE" w:rsidRDefault="00FA09E4" w:rsidP="00C55DB8">
            <w:pPr>
              <w:jc w:val="both"/>
              <w:rPr>
                <w:rStyle w:val="font141"/>
                <w:sz w:val="24"/>
                <w:szCs w:val="24"/>
              </w:rPr>
            </w:pPr>
            <w:r w:rsidRPr="007F7EAE">
              <w:rPr>
                <w:rStyle w:val="font141"/>
                <w:sz w:val="24"/>
                <w:szCs w:val="24"/>
              </w:rPr>
              <w:t xml:space="preserve">Фактори впливу на вибір </w:t>
            </w:r>
            <w:proofErr w:type="spellStart"/>
            <w:r w:rsidRPr="007F7EAE">
              <w:rPr>
                <w:rStyle w:val="font141"/>
                <w:sz w:val="24"/>
                <w:szCs w:val="24"/>
              </w:rPr>
              <w:t>бала</w:t>
            </w:r>
            <w:proofErr w:type="spellEnd"/>
            <w:r w:rsidRPr="007F7EAE">
              <w:rPr>
                <w:rStyle w:val="font141"/>
                <w:sz w:val="24"/>
                <w:szCs w:val="24"/>
              </w:rPr>
              <w:t xml:space="preserve"> результативності, пов’язані з наявністю таких ризиків від неприйняття регуляторного акта:</w:t>
            </w:r>
          </w:p>
          <w:p w14:paraId="6A38E0D9" w14:textId="2F778DE1" w:rsidR="00C55DB8" w:rsidRPr="007F7EAE" w:rsidRDefault="00C55DB8" w:rsidP="00C55DB8">
            <w:pPr>
              <w:jc w:val="both"/>
              <w:rPr>
                <w:rStyle w:val="font141"/>
                <w:sz w:val="24"/>
                <w:szCs w:val="24"/>
                <w:lang w:val="ru-RU"/>
              </w:rPr>
            </w:pPr>
            <w:r w:rsidRPr="007F7EAE">
              <w:rPr>
                <w:rStyle w:val="font141"/>
                <w:sz w:val="24"/>
                <w:szCs w:val="24"/>
              </w:rPr>
              <w:t>1) фінансові витрати суб’єктів господарювання</w:t>
            </w:r>
            <w:r w:rsidR="00534133" w:rsidRPr="007F7EAE">
              <w:rPr>
                <w:rStyle w:val="font141"/>
                <w:sz w:val="24"/>
                <w:szCs w:val="24"/>
              </w:rPr>
              <w:t>, які</w:t>
            </w:r>
            <w:r w:rsidRPr="007F7EAE">
              <w:rPr>
                <w:rStyle w:val="font141"/>
                <w:sz w:val="24"/>
                <w:szCs w:val="24"/>
              </w:rPr>
              <w:t xml:space="preserve"> </w:t>
            </w:r>
            <w:r w:rsidR="00534133" w:rsidRPr="007F7EAE">
              <w:rPr>
                <w:rStyle w:val="font141"/>
                <w:sz w:val="24"/>
                <w:szCs w:val="24"/>
              </w:rPr>
              <w:t>не можуть скористатися експортною тарифною квотою і несуть фінансові витрати на сплату передбачених законодавством митних платежів у повному обсязі</w:t>
            </w:r>
            <w:r w:rsidR="00626D1E" w:rsidRPr="007F7EAE">
              <w:rPr>
                <w:rStyle w:val="font141"/>
                <w:sz w:val="24"/>
                <w:szCs w:val="24"/>
                <w:lang w:val="ru-RU"/>
              </w:rPr>
              <w:t>;</w:t>
            </w:r>
          </w:p>
          <w:p w14:paraId="2316E377" w14:textId="1359682B" w:rsidR="00D576C6" w:rsidRPr="007F7EAE" w:rsidRDefault="00626D1E" w:rsidP="00C55DB8">
            <w:pPr>
              <w:jc w:val="both"/>
            </w:pPr>
            <w:r w:rsidRPr="007F7EAE">
              <w:rPr>
                <w:lang w:val="ru-RU"/>
              </w:rPr>
              <w:t>2</w:t>
            </w:r>
            <w:r w:rsidR="00D576C6" w:rsidRPr="007F7EAE">
              <w:t xml:space="preserve">) </w:t>
            </w:r>
            <w:r w:rsidR="00A12E21" w:rsidRPr="007F7EAE">
              <w:rPr>
                <w:rStyle w:val="font141"/>
                <w:sz w:val="24"/>
                <w:szCs w:val="24"/>
              </w:rPr>
              <w:t>фінансові витрати суб’єктів господарювання, оскільки відсутня</w:t>
            </w:r>
            <w:r w:rsidR="00A12E21" w:rsidRPr="007F7EAE">
              <w:t xml:space="preserve"> </w:t>
            </w:r>
            <w:r w:rsidR="00D576C6" w:rsidRPr="007F7EAE">
              <w:t xml:space="preserve">можливість </w:t>
            </w:r>
            <w:r w:rsidR="003108CD" w:rsidRPr="007F7EAE">
              <w:t>зміни статус</w:t>
            </w:r>
            <w:r w:rsidR="00411A38" w:rsidRPr="007F7EAE">
              <w:t>у</w:t>
            </w:r>
            <w:r w:rsidR="003108CD" w:rsidRPr="007F7EAE">
              <w:t xml:space="preserve"> використаної тарифної квоти на невикористану в ПІК «Облік тарифних квот» у разі встановлення факту </w:t>
            </w:r>
            <w:r w:rsidR="00411A38" w:rsidRPr="007F7EAE">
              <w:t>порушення суб’єктами ЗЕД умов міжнародних у</w:t>
            </w:r>
            <w:r w:rsidR="00D247AB">
              <w:t>г</w:t>
            </w:r>
            <w:r w:rsidR="00411A38" w:rsidRPr="007F7EAE">
              <w:t>од про вільну торгівлю</w:t>
            </w:r>
            <w:r w:rsidR="00D576C6" w:rsidRPr="007F7EAE">
              <w:t xml:space="preserve">; </w:t>
            </w:r>
          </w:p>
          <w:p w14:paraId="0A869387" w14:textId="7AF6BD8A" w:rsidR="00534133" w:rsidRPr="007F7EAE" w:rsidRDefault="00D247AB" w:rsidP="003108CD">
            <w:pPr>
              <w:jc w:val="both"/>
            </w:pPr>
            <w:r>
              <w:rPr>
                <w:rFonts w:eastAsiaTheme="minorHAnsi"/>
                <w:lang w:val="en-US" w:eastAsia="en-US"/>
              </w:rPr>
              <w:t>3</w:t>
            </w:r>
            <w:r w:rsidR="00C55DB8" w:rsidRPr="007F7EAE">
              <w:rPr>
                <w:rFonts w:eastAsiaTheme="minorHAnsi"/>
                <w:lang w:val="ru-RU" w:eastAsia="en-US"/>
              </w:rPr>
              <w:t xml:space="preserve">) </w:t>
            </w:r>
            <w:r w:rsidR="00D576C6" w:rsidRPr="007F7EAE">
              <w:rPr>
                <w:rFonts w:eastAsiaTheme="minorHAnsi"/>
                <w:lang w:eastAsia="en-US"/>
              </w:rPr>
              <w:t>невиконання міжнародних зобов’язань</w:t>
            </w:r>
            <w:r w:rsidR="00626D1E" w:rsidRPr="007F7EAE">
              <w:rPr>
                <w:rFonts w:eastAsiaTheme="minorHAnsi"/>
                <w:lang w:eastAsia="en-US"/>
              </w:rPr>
              <w:t xml:space="preserve"> України </w:t>
            </w:r>
            <w:r w:rsidR="003108CD" w:rsidRPr="007F7EAE">
              <w:rPr>
                <w:rFonts w:eastAsiaTheme="minorHAnsi"/>
                <w:lang w:eastAsia="en-US"/>
              </w:rPr>
              <w:t>в частині адміністрування тарифних квот при експорті (остаточному вивезенні) товарів з України до інших країн світу, з якими Україною укладено міжнародні договори про вільну торгівлю</w:t>
            </w:r>
            <w:r w:rsidR="00534133" w:rsidRPr="007F7EAE">
              <w:rPr>
                <w:rFonts w:eastAsiaTheme="minorHAnsi"/>
                <w:lang w:eastAsia="en-US"/>
              </w:rPr>
              <w:t>.</w:t>
            </w:r>
          </w:p>
        </w:tc>
      </w:tr>
      <w:tr w:rsidR="00441950" w:rsidRPr="007F7EAE" w14:paraId="6671E57F" w14:textId="77777777" w:rsidTr="003F79DA">
        <w:tc>
          <w:tcPr>
            <w:tcW w:w="2108" w:type="dxa"/>
            <w:vAlign w:val="center"/>
          </w:tcPr>
          <w:p w14:paraId="271CA427" w14:textId="77777777" w:rsidR="00441950" w:rsidRPr="007F7EAE" w:rsidRDefault="00441950" w:rsidP="00F906CB">
            <w:pPr>
              <w:jc w:val="center"/>
            </w:pPr>
            <w:r w:rsidRPr="007F7EAE">
              <w:rPr>
                <w:rStyle w:val="font141"/>
                <w:sz w:val="24"/>
                <w:szCs w:val="24"/>
              </w:rPr>
              <w:t>Альтернатива 2</w:t>
            </w:r>
          </w:p>
        </w:tc>
        <w:tc>
          <w:tcPr>
            <w:tcW w:w="2032" w:type="dxa"/>
            <w:vAlign w:val="center"/>
          </w:tcPr>
          <w:p w14:paraId="10D220EC" w14:textId="77777777" w:rsidR="00441950" w:rsidRPr="007F7EAE" w:rsidRDefault="008402FD" w:rsidP="00F906CB">
            <w:pPr>
              <w:jc w:val="center"/>
            </w:pPr>
            <w:r w:rsidRPr="007F7EAE">
              <w:rPr>
                <w:rStyle w:val="font141"/>
                <w:sz w:val="24"/>
                <w:szCs w:val="24"/>
              </w:rPr>
              <w:t>4</w:t>
            </w:r>
          </w:p>
        </w:tc>
        <w:tc>
          <w:tcPr>
            <w:tcW w:w="5606" w:type="dxa"/>
            <w:vAlign w:val="center"/>
          </w:tcPr>
          <w:p w14:paraId="6845AC6A" w14:textId="77777777" w:rsidR="00626D1E" w:rsidRPr="007F7EAE" w:rsidRDefault="00626D1E" w:rsidP="00626D1E">
            <w:pPr>
              <w:jc w:val="both"/>
              <w:rPr>
                <w:rStyle w:val="font141"/>
                <w:sz w:val="24"/>
                <w:szCs w:val="24"/>
              </w:rPr>
            </w:pPr>
            <w:r w:rsidRPr="007F7EAE">
              <w:rPr>
                <w:rStyle w:val="font141"/>
                <w:sz w:val="24"/>
                <w:szCs w:val="24"/>
              </w:rPr>
              <w:t>Цілі прийняття регуляторного акта можуть бути досягнуті повною мірою.</w:t>
            </w:r>
          </w:p>
          <w:p w14:paraId="53F43E91" w14:textId="77777777" w:rsidR="00441950" w:rsidRPr="007F7EAE" w:rsidRDefault="00626D1E" w:rsidP="00626D1E">
            <w:pPr>
              <w:jc w:val="both"/>
              <w:rPr>
                <w:rStyle w:val="font141"/>
                <w:sz w:val="24"/>
                <w:szCs w:val="24"/>
              </w:rPr>
            </w:pPr>
            <w:r w:rsidRPr="007F7EAE">
              <w:rPr>
                <w:rStyle w:val="font141"/>
                <w:sz w:val="24"/>
                <w:szCs w:val="24"/>
              </w:rPr>
              <w:t xml:space="preserve">Фактори впливу на вибір </w:t>
            </w:r>
            <w:proofErr w:type="spellStart"/>
            <w:r w:rsidRPr="007F7EAE">
              <w:rPr>
                <w:rStyle w:val="font141"/>
                <w:sz w:val="24"/>
                <w:szCs w:val="24"/>
              </w:rPr>
              <w:t>бала</w:t>
            </w:r>
            <w:proofErr w:type="spellEnd"/>
            <w:r w:rsidRPr="007F7EAE">
              <w:rPr>
                <w:rStyle w:val="font141"/>
                <w:sz w:val="24"/>
                <w:szCs w:val="24"/>
              </w:rPr>
              <w:t xml:space="preserve"> результативності, пов’язані з наявністю таких переваг від прийняття регуляторного акта:</w:t>
            </w:r>
          </w:p>
          <w:p w14:paraId="5C111545" w14:textId="5663F475" w:rsidR="00626D1E" w:rsidRPr="007F7EAE" w:rsidRDefault="00626D1E" w:rsidP="00626D1E">
            <w:pPr>
              <w:jc w:val="both"/>
            </w:pPr>
            <w:r w:rsidRPr="007F7EAE">
              <w:t>1) звільнення суб’єктів господарювання від сплати в</w:t>
            </w:r>
            <w:r w:rsidR="003108CD" w:rsidRPr="007F7EAE">
              <w:t>и</w:t>
            </w:r>
            <w:r w:rsidRPr="007F7EAE">
              <w:t>в</w:t>
            </w:r>
            <w:r w:rsidR="00894D57" w:rsidRPr="007F7EAE">
              <w:t>ізного мита при експорті до країн</w:t>
            </w:r>
            <w:r w:rsidRPr="007F7EAE">
              <w:t xml:space="preserve"> </w:t>
            </w:r>
            <w:r w:rsidR="00534133" w:rsidRPr="007F7EAE">
              <w:t>з якими Україною укладено міжнародні угоди про вільну торгівлю</w:t>
            </w:r>
            <w:r w:rsidR="003108CD" w:rsidRPr="007F7EAE">
              <w:t xml:space="preserve"> та в рамках яких передбачено застосування тарифних квот при експорті товарів</w:t>
            </w:r>
            <w:r w:rsidRPr="007F7EAE">
              <w:t>;</w:t>
            </w:r>
          </w:p>
          <w:p w14:paraId="30B376A0" w14:textId="7490D617" w:rsidR="003108CD" w:rsidRPr="007F7EAE" w:rsidRDefault="00626D1E" w:rsidP="00626D1E">
            <w:pPr>
              <w:jc w:val="both"/>
            </w:pPr>
            <w:r w:rsidRPr="007F7EAE">
              <w:t xml:space="preserve">2) </w:t>
            </w:r>
            <w:r w:rsidR="002A5F65" w:rsidRPr="007F7EAE">
              <w:t xml:space="preserve">з’являється </w:t>
            </w:r>
            <w:r w:rsidRPr="007F7EAE">
              <w:t xml:space="preserve">можливість </w:t>
            </w:r>
            <w:r w:rsidR="003108CD" w:rsidRPr="007F7EAE">
              <w:t>змінити статус використаної тарифної квоти на невикористану в ПІК «Облік тарифних квот» у разі встановлення факту</w:t>
            </w:r>
            <w:r w:rsidR="007B11B9" w:rsidRPr="007F7EAE">
              <w:t xml:space="preserve"> порушення суб’єктами ЗЕД міжнародних угод про вільну торгівлю</w:t>
            </w:r>
            <w:r w:rsidR="002A5F65" w:rsidRPr="007F7EAE">
              <w:t>;</w:t>
            </w:r>
          </w:p>
          <w:p w14:paraId="4E7B2CC8" w14:textId="689A6FFC" w:rsidR="00626D1E" w:rsidRPr="007F7EAE" w:rsidRDefault="00626D1E" w:rsidP="00EC60D3">
            <w:pPr>
              <w:jc w:val="both"/>
            </w:pPr>
            <w:r w:rsidRPr="007F7EAE">
              <w:t xml:space="preserve">3) виконання </w:t>
            </w:r>
            <w:r w:rsidR="003108CD" w:rsidRPr="007F7EAE">
              <w:rPr>
                <w:rFonts w:eastAsiaTheme="minorHAnsi"/>
                <w:lang w:eastAsia="en-US"/>
              </w:rPr>
              <w:t>міжнародних зобов’язань України в частині адміністрування тарифних квот при експорті (остаточному вивезенні) товарів з України до інших країн світу, з якими Україною укладено міжнародні договори про вільну торгівлю.</w:t>
            </w:r>
          </w:p>
        </w:tc>
      </w:tr>
    </w:tbl>
    <w:p w14:paraId="3A7E281B" w14:textId="77777777" w:rsidR="00FD56D5" w:rsidRPr="00626D1E" w:rsidRDefault="00FD56D5" w:rsidP="00A45649"/>
    <w:tbl>
      <w:tblPr>
        <w:tblStyle w:val="ad"/>
        <w:tblW w:w="9781" w:type="dxa"/>
        <w:tblInd w:w="108" w:type="dxa"/>
        <w:tblLook w:val="04A0" w:firstRow="1" w:lastRow="0" w:firstColumn="1" w:lastColumn="0" w:noHBand="0" w:noVBand="1"/>
      </w:tblPr>
      <w:tblGrid>
        <w:gridCol w:w="2127"/>
        <w:gridCol w:w="2551"/>
        <w:gridCol w:w="2835"/>
        <w:gridCol w:w="2268"/>
      </w:tblGrid>
      <w:tr w:rsidR="009E150A" w:rsidRPr="00985801" w14:paraId="32ADC81F" w14:textId="77777777" w:rsidTr="00FF7DB1">
        <w:trPr>
          <w:tblHeader/>
        </w:trPr>
        <w:tc>
          <w:tcPr>
            <w:tcW w:w="2127" w:type="dxa"/>
            <w:vAlign w:val="center"/>
          </w:tcPr>
          <w:p w14:paraId="14D56E06" w14:textId="77777777" w:rsidR="00441950" w:rsidRPr="00985801" w:rsidRDefault="00441950" w:rsidP="00985801">
            <w:pPr>
              <w:jc w:val="center"/>
            </w:pPr>
            <w:r w:rsidRPr="00985801">
              <w:rPr>
                <w:rStyle w:val="font141"/>
                <w:b/>
                <w:sz w:val="24"/>
                <w:szCs w:val="24"/>
              </w:rPr>
              <w:t>Рейтинг</w:t>
            </w:r>
          </w:p>
          <w:p w14:paraId="5AEAAA54" w14:textId="77777777" w:rsidR="00441950" w:rsidRPr="00985801" w:rsidRDefault="00441950" w:rsidP="00985801">
            <w:pPr>
              <w:jc w:val="center"/>
            </w:pPr>
            <w:r w:rsidRPr="00985801">
              <w:rPr>
                <w:rStyle w:val="font141"/>
                <w:b/>
                <w:sz w:val="24"/>
                <w:szCs w:val="24"/>
              </w:rPr>
              <w:t>результативності</w:t>
            </w:r>
          </w:p>
        </w:tc>
        <w:tc>
          <w:tcPr>
            <w:tcW w:w="2551" w:type="dxa"/>
            <w:vAlign w:val="center"/>
          </w:tcPr>
          <w:p w14:paraId="779543A9" w14:textId="50A5C7CE" w:rsidR="00441950" w:rsidRPr="00C66B54" w:rsidRDefault="00441950" w:rsidP="00C66B54">
            <w:pPr>
              <w:jc w:val="center"/>
              <w:rPr>
                <w:rStyle w:val="font141"/>
                <w:b/>
                <w:sz w:val="24"/>
                <w:szCs w:val="24"/>
              </w:rPr>
            </w:pPr>
            <w:r w:rsidRPr="00985801">
              <w:rPr>
                <w:rStyle w:val="font141"/>
                <w:b/>
                <w:sz w:val="24"/>
                <w:szCs w:val="24"/>
              </w:rPr>
              <w:t xml:space="preserve">Вигоди </w:t>
            </w:r>
            <w:r w:rsidRPr="00C66B54">
              <w:rPr>
                <w:rStyle w:val="font141"/>
                <w:b/>
                <w:sz w:val="24"/>
                <w:szCs w:val="24"/>
              </w:rPr>
              <w:t>(підсумок)</w:t>
            </w:r>
            <w:r w:rsidR="00531A04">
              <w:rPr>
                <w:rStyle w:val="font141"/>
                <w:b/>
                <w:sz w:val="24"/>
                <w:szCs w:val="24"/>
              </w:rPr>
              <w:t xml:space="preserve"> </w:t>
            </w:r>
          </w:p>
        </w:tc>
        <w:tc>
          <w:tcPr>
            <w:tcW w:w="2835" w:type="dxa"/>
            <w:vAlign w:val="center"/>
          </w:tcPr>
          <w:p w14:paraId="3451A0DB" w14:textId="77777777" w:rsidR="00441950" w:rsidRPr="00C66B54" w:rsidRDefault="00441950" w:rsidP="00985801">
            <w:pPr>
              <w:jc w:val="center"/>
              <w:rPr>
                <w:rStyle w:val="font141"/>
                <w:b/>
                <w:sz w:val="24"/>
                <w:szCs w:val="24"/>
              </w:rPr>
            </w:pPr>
            <w:r w:rsidRPr="00985801">
              <w:rPr>
                <w:rStyle w:val="font141"/>
                <w:b/>
                <w:sz w:val="24"/>
                <w:szCs w:val="24"/>
              </w:rPr>
              <w:t>Витрати</w:t>
            </w:r>
          </w:p>
          <w:p w14:paraId="3A94D224" w14:textId="6762E786" w:rsidR="00441950" w:rsidRPr="00C66B54" w:rsidRDefault="00441950" w:rsidP="00C66B54">
            <w:pPr>
              <w:jc w:val="center"/>
              <w:rPr>
                <w:rStyle w:val="font141"/>
                <w:b/>
                <w:sz w:val="24"/>
                <w:szCs w:val="24"/>
              </w:rPr>
            </w:pPr>
            <w:r w:rsidRPr="00C66B54">
              <w:rPr>
                <w:rStyle w:val="font141"/>
                <w:b/>
                <w:sz w:val="24"/>
                <w:szCs w:val="24"/>
              </w:rPr>
              <w:t>(підсумок)</w:t>
            </w:r>
            <w:r w:rsidR="00531A04" w:rsidRPr="00C66B54">
              <w:rPr>
                <w:rStyle w:val="font141"/>
                <w:b/>
                <w:sz w:val="24"/>
                <w:szCs w:val="24"/>
              </w:rPr>
              <w:t xml:space="preserve"> </w:t>
            </w:r>
          </w:p>
        </w:tc>
        <w:tc>
          <w:tcPr>
            <w:tcW w:w="2268" w:type="dxa"/>
            <w:vAlign w:val="center"/>
          </w:tcPr>
          <w:p w14:paraId="7A4E8E15" w14:textId="77777777" w:rsidR="00441950" w:rsidRPr="00985801" w:rsidRDefault="00441950" w:rsidP="00985801">
            <w:pPr>
              <w:jc w:val="center"/>
            </w:pPr>
            <w:r w:rsidRPr="00985801">
              <w:rPr>
                <w:rStyle w:val="font141"/>
                <w:b/>
                <w:sz w:val="24"/>
                <w:szCs w:val="24"/>
              </w:rPr>
              <w:t>Обґрунтування відповідного місця альтернативи у рейтингу</w:t>
            </w:r>
          </w:p>
        </w:tc>
      </w:tr>
      <w:tr w:rsidR="009E150A" w:rsidRPr="00985801" w14:paraId="048C6773" w14:textId="77777777" w:rsidTr="00FF7DB1">
        <w:tc>
          <w:tcPr>
            <w:tcW w:w="2127" w:type="dxa"/>
          </w:tcPr>
          <w:p w14:paraId="4FE316EA" w14:textId="77777777" w:rsidR="00441950" w:rsidRDefault="00441950" w:rsidP="00E40D88">
            <w:pPr>
              <w:jc w:val="both"/>
              <w:rPr>
                <w:rStyle w:val="font141"/>
                <w:sz w:val="24"/>
                <w:szCs w:val="24"/>
              </w:rPr>
            </w:pPr>
            <w:r w:rsidRPr="00985801">
              <w:rPr>
                <w:rStyle w:val="font141"/>
                <w:sz w:val="24"/>
                <w:szCs w:val="24"/>
              </w:rPr>
              <w:t>Альтернатива 1</w:t>
            </w:r>
          </w:p>
          <w:p w14:paraId="55F2FE0D" w14:textId="77777777" w:rsidR="0067265D" w:rsidRPr="00985801" w:rsidRDefault="0067265D" w:rsidP="00E40D88">
            <w:pPr>
              <w:jc w:val="both"/>
            </w:pPr>
            <w:r>
              <w:t xml:space="preserve">Залишити існуючий </w:t>
            </w:r>
            <w:r>
              <w:lastRenderedPageBreak/>
              <w:t>регуляторний акт без змін</w:t>
            </w:r>
          </w:p>
        </w:tc>
        <w:tc>
          <w:tcPr>
            <w:tcW w:w="2551" w:type="dxa"/>
          </w:tcPr>
          <w:p w14:paraId="660919E7" w14:textId="77777777" w:rsidR="00441950" w:rsidRPr="00985801" w:rsidRDefault="00952CDF" w:rsidP="00E40D88">
            <w:pPr>
              <w:jc w:val="both"/>
            </w:pPr>
            <w:r w:rsidRPr="00985801">
              <w:rPr>
                <w:rStyle w:val="font141"/>
                <w:sz w:val="24"/>
                <w:szCs w:val="24"/>
              </w:rPr>
              <w:lastRenderedPageBreak/>
              <w:t xml:space="preserve">У разі залишення </w:t>
            </w:r>
            <w:r w:rsidR="00E40D88">
              <w:rPr>
                <w:rStyle w:val="font141"/>
                <w:sz w:val="24"/>
                <w:szCs w:val="24"/>
              </w:rPr>
              <w:t xml:space="preserve"> існуючої на цей час ситуації без змін вигоди для держави, </w:t>
            </w:r>
            <w:r w:rsidR="00E40D88">
              <w:rPr>
                <w:rStyle w:val="font141"/>
                <w:sz w:val="24"/>
                <w:szCs w:val="24"/>
              </w:rPr>
              <w:lastRenderedPageBreak/>
              <w:t>суб’єктів господарювання відсутні</w:t>
            </w:r>
          </w:p>
        </w:tc>
        <w:tc>
          <w:tcPr>
            <w:tcW w:w="2835" w:type="dxa"/>
          </w:tcPr>
          <w:p w14:paraId="0633A350" w14:textId="77777777" w:rsidR="003E54FF" w:rsidRDefault="003E54FF" w:rsidP="00E40D88">
            <w:pPr>
              <w:ind w:firstLine="3"/>
              <w:jc w:val="both"/>
              <w:rPr>
                <w:rStyle w:val="font141"/>
                <w:sz w:val="24"/>
                <w:szCs w:val="24"/>
              </w:rPr>
            </w:pPr>
            <w:r w:rsidRPr="003E54FF">
              <w:rPr>
                <w:rStyle w:val="font141"/>
                <w:sz w:val="24"/>
                <w:szCs w:val="24"/>
              </w:rPr>
              <w:lastRenderedPageBreak/>
              <w:t>Залишення чинним</w:t>
            </w:r>
            <w:r w:rsidR="00E20DDE">
              <w:rPr>
                <w:rStyle w:val="font141"/>
                <w:sz w:val="24"/>
                <w:szCs w:val="24"/>
              </w:rPr>
              <w:t>и нормативно-правових актів</w:t>
            </w:r>
            <w:r w:rsidR="00932E5D">
              <w:rPr>
                <w:rStyle w:val="font141"/>
                <w:sz w:val="24"/>
                <w:szCs w:val="24"/>
              </w:rPr>
              <w:t xml:space="preserve"> </w:t>
            </w:r>
            <w:r w:rsidRPr="003E54FF">
              <w:rPr>
                <w:rStyle w:val="font141"/>
                <w:sz w:val="24"/>
                <w:szCs w:val="24"/>
              </w:rPr>
              <w:t>буде мати такі негативні наслідки:</w:t>
            </w:r>
          </w:p>
          <w:p w14:paraId="060CF93A" w14:textId="51A03FAF" w:rsidR="00856A14" w:rsidRDefault="00A64BE5" w:rsidP="00856A14">
            <w:pPr>
              <w:ind w:firstLine="3"/>
              <w:jc w:val="both"/>
              <w:rPr>
                <w:rStyle w:val="font141"/>
                <w:sz w:val="24"/>
                <w:szCs w:val="24"/>
              </w:rPr>
            </w:pPr>
            <w:r w:rsidRPr="00F91528">
              <w:rPr>
                <w:rStyle w:val="font141"/>
                <w:i/>
                <w:sz w:val="24"/>
                <w:szCs w:val="24"/>
              </w:rPr>
              <w:lastRenderedPageBreak/>
              <w:t xml:space="preserve">Для </w:t>
            </w:r>
            <w:r w:rsidR="00856A14" w:rsidRPr="00F91528">
              <w:rPr>
                <w:rStyle w:val="font141"/>
                <w:i/>
                <w:sz w:val="24"/>
                <w:szCs w:val="24"/>
              </w:rPr>
              <w:t>держави</w:t>
            </w:r>
            <w:r w:rsidR="00856A14">
              <w:rPr>
                <w:rStyle w:val="font141"/>
                <w:sz w:val="24"/>
                <w:szCs w:val="24"/>
              </w:rPr>
              <w:t xml:space="preserve"> </w:t>
            </w:r>
            <w:r w:rsidR="00F91528">
              <w:rPr>
                <w:rStyle w:val="font141"/>
                <w:sz w:val="24"/>
                <w:szCs w:val="24"/>
              </w:rPr>
              <w:t xml:space="preserve">наявні </w:t>
            </w:r>
            <w:r w:rsidR="00154783">
              <w:rPr>
                <w:rStyle w:val="font141"/>
                <w:sz w:val="24"/>
                <w:szCs w:val="24"/>
              </w:rPr>
              <w:t>витрати</w:t>
            </w:r>
            <w:r w:rsidR="00E42E30" w:rsidRPr="00E42E30">
              <w:rPr>
                <w:rStyle w:val="font141"/>
                <w:sz w:val="24"/>
                <w:szCs w:val="24"/>
              </w:rPr>
              <w:t xml:space="preserve">, пов’язані з наданням неправомірної пільги </w:t>
            </w:r>
            <w:r w:rsidR="007B11B9">
              <w:rPr>
                <w:rStyle w:val="font141"/>
                <w:sz w:val="24"/>
                <w:szCs w:val="24"/>
              </w:rPr>
              <w:t xml:space="preserve">у разі порушення умов міжнародних угод про вільну торгівлю (наприклад, </w:t>
            </w:r>
            <w:r w:rsidR="00E42E30" w:rsidRPr="00E42E30">
              <w:rPr>
                <w:rStyle w:val="font141"/>
                <w:sz w:val="24"/>
                <w:szCs w:val="24"/>
              </w:rPr>
              <w:t xml:space="preserve">на підставі недійсних документів у разі </w:t>
            </w:r>
            <w:proofErr w:type="spellStart"/>
            <w:r w:rsidR="00E42E30" w:rsidRPr="00E42E30">
              <w:rPr>
                <w:rStyle w:val="font141"/>
                <w:sz w:val="24"/>
                <w:szCs w:val="24"/>
              </w:rPr>
              <w:t>непідтвердження</w:t>
            </w:r>
            <w:proofErr w:type="spellEnd"/>
            <w:r w:rsidR="00E42E30" w:rsidRPr="00E42E30">
              <w:rPr>
                <w:rStyle w:val="font141"/>
                <w:sz w:val="24"/>
                <w:szCs w:val="24"/>
              </w:rPr>
              <w:t xml:space="preserve"> достовірності документа, що підтверджує статус преференційного походження товару в результаті отримання інформації від компетентних органів зарубіжних держав</w:t>
            </w:r>
            <w:r w:rsidR="007B11B9">
              <w:rPr>
                <w:rStyle w:val="font141"/>
                <w:sz w:val="24"/>
                <w:szCs w:val="24"/>
              </w:rPr>
              <w:t>)</w:t>
            </w:r>
            <w:r w:rsidR="00F91528" w:rsidRPr="00F91528">
              <w:rPr>
                <w:rStyle w:val="font141"/>
                <w:sz w:val="24"/>
                <w:szCs w:val="24"/>
              </w:rPr>
              <w:t>.</w:t>
            </w:r>
          </w:p>
          <w:p w14:paraId="33A6CEF5" w14:textId="1F1AF063" w:rsidR="00154783" w:rsidRDefault="00682D71" w:rsidP="00154783">
            <w:pPr>
              <w:ind w:firstLine="3"/>
              <w:jc w:val="both"/>
              <w:rPr>
                <w:rStyle w:val="font141"/>
                <w:sz w:val="24"/>
                <w:szCs w:val="24"/>
              </w:rPr>
            </w:pPr>
            <w:r w:rsidRPr="00A52430">
              <w:rPr>
                <w:rStyle w:val="font141"/>
                <w:i/>
                <w:sz w:val="24"/>
                <w:szCs w:val="24"/>
              </w:rPr>
              <w:t>Для суб’єктів господарювання</w:t>
            </w:r>
            <w:r>
              <w:rPr>
                <w:rStyle w:val="font141"/>
                <w:sz w:val="24"/>
                <w:szCs w:val="24"/>
              </w:rPr>
              <w:t xml:space="preserve"> витрати пов’язані</w:t>
            </w:r>
            <w:r w:rsidR="007B11B9">
              <w:rPr>
                <w:rStyle w:val="font141"/>
                <w:sz w:val="24"/>
                <w:szCs w:val="24"/>
              </w:rPr>
              <w:t xml:space="preserve"> з</w:t>
            </w:r>
            <w:r>
              <w:rPr>
                <w:rStyle w:val="font141"/>
                <w:sz w:val="24"/>
                <w:szCs w:val="24"/>
              </w:rPr>
              <w:t xml:space="preserve"> </w:t>
            </w:r>
            <w:r w:rsidR="00E42E30">
              <w:rPr>
                <w:rStyle w:val="font141"/>
                <w:sz w:val="24"/>
                <w:szCs w:val="24"/>
              </w:rPr>
              <w:t>не</w:t>
            </w:r>
            <w:r w:rsidR="00E42E30" w:rsidRPr="00E42E30">
              <w:rPr>
                <w:rStyle w:val="font141"/>
                <w:sz w:val="24"/>
                <w:szCs w:val="24"/>
              </w:rPr>
              <w:t>мож</w:t>
            </w:r>
            <w:r w:rsidR="00E42E30">
              <w:rPr>
                <w:rStyle w:val="font141"/>
                <w:sz w:val="24"/>
                <w:szCs w:val="24"/>
              </w:rPr>
              <w:t>ливістю скористатися е</w:t>
            </w:r>
            <w:r w:rsidR="00E42E30" w:rsidRPr="00E42E30">
              <w:rPr>
                <w:rStyle w:val="font141"/>
                <w:sz w:val="24"/>
                <w:szCs w:val="24"/>
              </w:rPr>
              <w:t xml:space="preserve">кспортною тарифною квотою </w:t>
            </w:r>
            <w:r w:rsidR="00E42E30">
              <w:rPr>
                <w:rStyle w:val="font141"/>
                <w:sz w:val="24"/>
                <w:szCs w:val="24"/>
              </w:rPr>
              <w:t>та понесенням відповідних</w:t>
            </w:r>
            <w:r w:rsidR="00E42E30" w:rsidRPr="00E42E30">
              <w:rPr>
                <w:rStyle w:val="font141"/>
                <w:sz w:val="24"/>
                <w:szCs w:val="24"/>
              </w:rPr>
              <w:t xml:space="preserve"> фінансов</w:t>
            </w:r>
            <w:r w:rsidR="00E42E30">
              <w:rPr>
                <w:rStyle w:val="font141"/>
                <w:sz w:val="24"/>
                <w:szCs w:val="24"/>
              </w:rPr>
              <w:t>их</w:t>
            </w:r>
            <w:r w:rsidR="00E42E30" w:rsidRPr="00E42E30">
              <w:rPr>
                <w:rStyle w:val="font141"/>
                <w:sz w:val="24"/>
                <w:szCs w:val="24"/>
              </w:rPr>
              <w:t xml:space="preserve"> витрат на сплату передбачених законодавством митних платежів у повному обсязі</w:t>
            </w:r>
            <w:r w:rsidR="00E42E30">
              <w:rPr>
                <w:rStyle w:val="font141"/>
                <w:sz w:val="24"/>
                <w:szCs w:val="24"/>
              </w:rPr>
              <w:t>,</w:t>
            </w:r>
            <w:r w:rsidR="00E42E30" w:rsidRPr="00E42E30">
              <w:rPr>
                <w:rStyle w:val="font141"/>
                <w:sz w:val="24"/>
                <w:szCs w:val="24"/>
              </w:rPr>
              <w:t xml:space="preserve"> </w:t>
            </w:r>
            <w:r w:rsidR="00154783" w:rsidRPr="00154783">
              <w:rPr>
                <w:rStyle w:val="font141"/>
                <w:sz w:val="24"/>
                <w:szCs w:val="24"/>
              </w:rPr>
              <w:t>щорічні витрати</w:t>
            </w:r>
            <w:r w:rsidR="00D176A4">
              <w:rPr>
                <w:rStyle w:val="font141"/>
                <w:sz w:val="24"/>
                <w:szCs w:val="24"/>
              </w:rPr>
              <w:t xml:space="preserve"> зі сплати мита</w:t>
            </w:r>
            <w:r w:rsidR="00154783" w:rsidRPr="00154783">
              <w:rPr>
                <w:rStyle w:val="font141"/>
                <w:sz w:val="24"/>
                <w:szCs w:val="24"/>
              </w:rPr>
              <w:t xml:space="preserve"> можуть становити </w:t>
            </w:r>
            <w:r w:rsidR="00E42E30">
              <w:rPr>
                <w:rStyle w:val="font141"/>
                <w:sz w:val="24"/>
                <w:szCs w:val="24"/>
              </w:rPr>
              <w:t>4 003 421</w:t>
            </w:r>
            <w:r w:rsidR="00154783" w:rsidRPr="00154783">
              <w:rPr>
                <w:rStyle w:val="font141"/>
                <w:sz w:val="24"/>
                <w:szCs w:val="24"/>
              </w:rPr>
              <w:t xml:space="preserve"> грн</w:t>
            </w:r>
            <w:r w:rsidR="00154783">
              <w:rPr>
                <w:rStyle w:val="font141"/>
                <w:sz w:val="24"/>
                <w:szCs w:val="24"/>
              </w:rPr>
              <w:t xml:space="preserve">, а за п’ять років – </w:t>
            </w:r>
            <w:r w:rsidR="00E42E30">
              <w:rPr>
                <w:rStyle w:val="font141"/>
                <w:sz w:val="24"/>
                <w:szCs w:val="24"/>
              </w:rPr>
              <w:t>20 017 105</w:t>
            </w:r>
            <w:r w:rsidR="00154783" w:rsidRPr="00F91528">
              <w:rPr>
                <w:rStyle w:val="font141"/>
                <w:sz w:val="24"/>
                <w:szCs w:val="24"/>
              </w:rPr>
              <w:t xml:space="preserve"> грн.</w:t>
            </w:r>
          </w:p>
          <w:p w14:paraId="3AC1CC49" w14:textId="38707038" w:rsidR="00A52430" w:rsidRPr="00A52430" w:rsidRDefault="00A52430" w:rsidP="00A52430">
            <w:pPr>
              <w:pStyle w:val="rvps2"/>
              <w:shd w:val="clear" w:color="auto" w:fill="FFFFFF"/>
              <w:tabs>
                <w:tab w:val="left" w:pos="600"/>
              </w:tabs>
              <w:spacing w:before="0" w:beforeAutospacing="0" w:after="0" w:afterAutospacing="0"/>
              <w:ind w:firstLine="3"/>
              <w:jc w:val="both"/>
              <w:rPr>
                <w:i/>
                <w:lang w:val="uk-UA"/>
              </w:rPr>
            </w:pPr>
            <w:r w:rsidRPr="00A52430">
              <w:rPr>
                <w:i/>
                <w:lang w:val="uk-UA"/>
              </w:rPr>
              <w:t xml:space="preserve">Для громадян </w:t>
            </w:r>
            <w:r w:rsidRPr="00A52430">
              <w:rPr>
                <w:lang w:val="uk-UA"/>
              </w:rPr>
              <w:t>витрати відсутні,</w:t>
            </w:r>
            <w:r w:rsidRPr="00A52430">
              <w:rPr>
                <w:i/>
                <w:lang w:val="uk-UA"/>
              </w:rPr>
              <w:t xml:space="preserve"> </w:t>
            </w:r>
            <w:r w:rsidRPr="00A52430">
              <w:rPr>
                <w:lang w:val="uk-UA"/>
              </w:rPr>
              <w:t>оскільки</w:t>
            </w:r>
            <w:r w:rsidR="00E70524">
              <w:rPr>
                <w:lang w:val="uk-UA"/>
              </w:rPr>
              <w:t xml:space="preserve"> регуляторний акт не належить</w:t>
            </w:r>
            <w:r w:rsidRPr="00A52430">
              <w:rPr>
                <w:lang w:val="uk-UA"/>
              </w:rPr>
              <w:t xml:space="preserve"> до сфери діяльності громадян</w:t>
            </w:r>
          </w:p>
        </w:tc>
        <w:tc>
          <w:tcPr>
            <w:tcW w:w="2268" w:type="dxa"/>
          </w:tcPr>
          <w:p w14:paraId="37C6D86C" w14:textId="77777777" w:rsidR="00682D71" w:rsidRDefault="00682D71" w:rsidP="00E40D88">
            <w:pPr>
              <w:ind w:firstLine="3"/>
              <w:jc w:val="both"/>
              <w:rPr>
                <w:rStyle w:val="font141"/>
                <w:sz w:val="24"/>
                <w:szCs w:val="24"/>
              </w:rPr>
            </w:pPr>
            <w:r w:rsidRPr="00D6320D">
              <w:lastRenderedPageBreak/>
              <w:t xml:space="preserve">Є найгіршою, оскільки на відміну від альтернативи 2 не дає змоги </w:t>
            </w:r>
            <w:r w:rsidRPr="00D6320D">
              <w:lastRenderedPageBreak/>
              <w:t>досягнути поставлених цілей державного регулювання</w:t>
            </w:r>
          </w:p>
          <w:p w14:paraId="62698126" w14:textId="77777777" w:rsidR="00441950" w:rsidRPr="00FF426E" w:rsidRDefault="00441950" w:rsidP="00E40D88">
            <w:pPr>
              <w:ind w:firstLine="319"/>
              <w:jc w:val="both"/>
              <w:rPr>
                <w:rFonts w:eastAsia="Times New Roman"/>
                <w:color w:val="548DD4" w:themeColor="text2" w:themeTint="99"/>
              </w:rPr>
            </w:pPr>
          </w:p>
        </w:tc>
      </w:tr>
      <w:tr w:rsidR="009E150A" w:rsidRPr="00985801" w14:paraId="1C44DF2D" w14:textId="77777777" w:rsidTr="00FF7DB1">
        <w:tc>
          <w:tcPr>
            <w:tcW w:w="2127" w:type="dxa"/>
          </w:tcPr>
          <w:p w14:paraId="196955AF" w14:textId="18D24F70" w:rsidR="00441950" w:rsidRPr="00985801" w:rsidRDefault="00441950" w:rsidP="00E40D88">
            <w:pPr>
              <w:jc w:val="both"/>
            </w:pPr>
            <w:r w:rsidRPr="00985801">
              <w:rPr>
                <w:rStyle w:val="font141"/>
                <w:sz w:val="24"/>
                <w:szCs w:val="24"/>
              </w:rPr>
              <w:lastRenderedPageBreak/>
              <w:t>Альтернатива 2</w:t>
            </w:r>
          </w:p>
        </w:tc>
        <w:tc>
          <w:tcPr>
            <w:tcW w:w="2551" w:type="dxa"/>
          </w:tcPr>
          <w:p w14:paraId="7908E92C" w14:textId="1E7E8830" w:rsidR="00441950" w:rsidRDefault="00F91528" w:rsidP="00E40D88">
            <w:pPr>
              <w:jc w:val="both"/>
              <w:rPr>
                <w:rFonts w:eastAsiaTheme="minorHAnsi"/>
                <w:lang w:eastAsia="en-US"/>
              </w:rPr>
            </w:pPr>
            <w:r>
              <w:rPr>
                <w:rStyle w:val="font141"/>
                <w:sz w:val="24"/>
                <w:szCs w:val="24"/>
              </w:rPr>
              <w:t xml:space="preserve">Високі. </w:t>
            </w:r>
            <w:r w:rsidR="00E40D88">
              <w:rPr>
                <w:rStyle w:val="font141"/>
                <w:sz w:val="24"/>
                <w:szCs w:val="24"/>
              </w:rPr>
              <w:t>Для держави п</w:t>
            </w:r>
            <w:r w:rsidR="00E20DDE">
              <w:rPr>
                <w:rStyle w:val="font141"/>
                <w:sz w:val="24"/>
                <w:szCs w:val="24"/>
              </w:rPr>
              <w:t>рийняття проє</w:t>
            </w:r>
            <w:r w:rsidR="00952CDF" w:rsidRPr="00985801">
              <w:rPr>
                <w:rStyle w:val="font141"/>
                <w:sz w:val="24"/>
                <w:szCs w:val="24"/>
              </w:rPr>
              <w:t xml:space="preserve">кту акта </w:t>
            </w:r>
            <w:r w:rsidR="00932E5D">
              <w:rPr>
                <w:rStyle w:val="font141"/>
                <w:sz w:val="24"/>
                <w:szCs w:val="24"/>
              </w:rPr>
              <w:t>забезпечить</w:t>
            </w:r>
            <w:r w:rsidR="00D92319">
              <w:rPr>
                <w:rStyle w:val="font141"/>
                <w:sz w:val="24"/>
                <w:szCs w:val="24"/>
              </w:rPr>
              <w:t xml:space="preserve"> виконання</w:t>
            </w:r>
            <w:r w:rsidR="00932E5D">
              <w:rPr>
                <w:rStyle w:val="font141"/>
                <w:sz w:val="24"/>
                <w:szCs w:val="24"/>
              </w:rPr>
              <w:t xml:space="preserve"> </w:t>
            </w:r>
            <w:r w:rsidR="00E40D88" w:rsidRPr="00626D1E">
              <w:rPr>
                <w:rFonts w:eastAsiaTheme="minorHAnsi"/>
                <w:lang w:eastAsia="en-US"/>
              </w:rPr>
              <w:t xml:space="preserve">міжнародних зобов’язань України в </w:t>
            </w:r>
            <w:r w:rsidR="005E333E">
              <w:rPr>
                <w:rFonts w:eastAsiaTheme="minorHAnsi"/>
                <w:lang w:eastAsia="en-US"/>
              </w:rPr>
              <w:t>рамк</w:t>
            </w:r>
            <w:r w:rsidR="00E40D88" w:rsidRPr="00626D1E">
              <w:rPr>
                <w:rFonts w:eastAsiaTheme="minorHAnsi"/>
                <w:lang w:eastAsia="en-US"/>
              </w:rPr>
              <w:t>ах</w:t>
            </w:r>
            <w:r w:rsidR="006A12F1">
              <w:rPr>
                <w:rFonts w:eastAsiaTheme="minorHAnsi"/>
                <w:lang w:eastAsia="en-US"/>
              </w:rPr>
              <w:t xml:space="preserve"> укладених </w:t>
            </w:r>
            <w:r w:rsidR="006A12F1">
              <w:rPr>
                <w:rFonts w:eastAsiaTheme="minorHAnsi"/>
                <w:lang w:eastAsia="en-US"/>
              </w:rPr>
              <w:lastRenderedPageBreak/>
              <w:t xml:space="preserve">міжнародних договорів про вільну торгівлю та врегулювання порядку </w:t>
            </w:r>
            <w:r w:rsidR="006A12F1" w:rsidRPr="006A12F1">
              <w:rPr>
                <w:rFonts w:eastAsiaTheme="minorHAnsi"/>
                <w:lang w:eastAsia="en-US"/>
              </w:rPr>
              <w:t>контролю за розподілом тарифної квоти</w:t>
            </w:r>
            <w:r w:rsidR="00894D57">
              <w:rPr>
                <w:rFonts w:eastAsiaTheme="minorHAnsi"/>
                <w:lang w:eastAsia="en-US"/>
              </w:rPr>
              <w:t>.</w:t>
            </w:r>
          </w:p>
          <w:p w14:paraId="65E62B94" w14:textId="5E22EAE6" w:rsidR="006A12F1" w:rsidRPr="00EB48B3" w:rsidRDefault="00D92319" w:rsidP="00EC60D3">
            <w:pPr>
              <w:jc w:val="both"/>
              <w:rPr>
                <w:rStyle w:val="font141"/>
                <w:sz w:val="24"/>
                <w:szCs w:val="24"/>
              </w:rPr>
            </w:pPr>
            <w:r>
              <w:rPr>
                <w:rFonts w:eastAsiaTheme="minorHAnsi"/>
                <w:lang w:eastAsia="en-US"/>
              </w:rPr>
              <w:t>Для суб’єктів господарюван</w:t>
            </w:r>
            <w:r w:rsidR="00894D57">
              <w:rPr>
                <w:rFonts w:eastAsiaTheme="minorHAnsi"/>
                <w:lang w:eastAsia="en-US"/>
              </w:rPr>
              <w:t xml:space="preserve">ня </w:t>
            </w:r>
            <w:r w:rsidR="00894D57">
              <w:rPr>
                <w:rStyle w:val="font141"/>
                <w:sz w:val="24"/>
                <w:szCs w:val="24"/>
              </w:rPr>
              <w:t>прийняття проє</w:t>
            </w:r>
            <w:r w:rsidR="00894D57" w:rsidRPr="00985801">
              <w:rPr>
                <w:rStyle w:val="font141"/>
                <w:sz w:val="24"/>
                <w:szCs w:val="24"/>
              </w:rPr>
              <w:t>кту акта</w:t>
            </w:r>
            <w:r w:rsidR="00894D57" w:rsidRPr="00894D57">
              <w:rPr>
                <w:rFonts w:eastAsiaTheme="minorHAnsi"/>
                <w:lang w:eastAsia="en-US"/>
              </w:rPr>
              <w:t xml:space="preserve"> </w:t>
            </w:r>
            <w:r w:rsidR="00F017AB">
              <w:rPr>
                <w:rFonts w:eastAsiaTheme="minorHAnsi"/>
                <w:lang w:eastAsia="en-US"/>
              </w:rPr>
              <w:t>дасть змогу</w:t>
            </w:r>
            <w:r w:rsidR="00894D57">
              <w:rPr>
                <w:rFonts w:eastAsiaTheme="minorHAnsi"/>
                <w:lang w:eastAsia="en-US"/>
              </w:rPr>
              <w:t xml:space="preserve"> </w:t>
            </w:r>
            <w:r w:rsidR="00FF7DB1">
              <w:rPr>
                <w:rFonts w:eastAsiaTheme="minorHAnsi"/>
                <w:lang w:eastAsia="en-US"/>
              </w:rPr>
              <w:t xml:space="preserve">здійснювати експорт </w:t>
            </w:r>
            <w:r w:rsidR="00894D57" w:rsidRPr="00894D57">
              <w:rPr>
                <w:rFonts w:eastAsiaTheme="minorHAnsi"/>
                <w:lang w:eastAsia="en-US"/>
              </w:rPr>
              <w:t>із застосуванням пільгового режиму оподаткування</w:t>
            </w:r>
            <w:r w:rsidR="006A12F1">
              <w:rPr>
                <w:rFonts w:eastAsiaTheme="minorHAnsi"/>
                <w:lang w:eastAsia="en-US"/>
              </w:rPr>
              <w:t>.</w:t>
            </w:r>
          </w:p>
        </w:tc>
        <w:tc>
          <w:tcPr>
            <w:tcW w:w="2835" w:type="dxa"/>
          </w:tcPr>
          <w:p w14:paraId="2B31FC39" w14:textId="2E22F960" w:rsidR="00E50237" w:rsidRPr="00723DED" w:rsidRDefault="00D176A4" w:rsidP="00E50237">
            <w:pPr>
              <w:ind w:firstLine="3"/>
              <w:jc w:val="both"/>
              <w:rPr>
                <w:rStyle w:val="font141"/>
                <w:sz w:val="24"/>
                <w:szCs w:val="24"/>
              </w:rPr>
            </w:pPr>
            <w:r w:rsidRPr="00E50237">
              <w:rPr>
                <w:rStyle w:val="font141"/>
                <w:i/>
                <w:sz w:val="24"/>
                <w:szCs w:val="24"/>
              </w:rPr>
              <w:lastRenderedPageBreak/>
              <w:t>Для держави</w:t>
            </w:r>
            <w:r>
              <w:rPr>
                <w:rStyle w:val="font141"/>
                <w:sz w:val="24"/>
                <w:szCs w:val="24"/>
              </w:rPr>
              <w:t xml:space="preserve"> в</w:t>
            </w:r>
            <w:r w:rsidR="00E40D88" w:rsidRPr="00030808">
              <w:rPr>
                <w:rStyle w:val="font141"/>
                <w:sz w:val="24"/>
                <w:szCs w:val="24"/>
              </w:rPr>
              <w:t xml:space="preserve">итрати </w:t>
            </w:r>
            <w:r w:rsidR="00E50237">
              <w:rPr>
                <w:rStyle w:val="font141"/>
                <w:sz w:val="24"/>
                <w:szCs w:val="24"/>
              </w:rPr>
              <w:t xml:space="preserve">на </w:t>
            </w:r>
            <w:r w:rsidR="000575FB">
              <w:rPr>
                <w:rStyle w:val="font141"/>
                <w:sz w:val="24"/>
                <w:szCs w:val="24"/>
              </w:rPr>
              <w:t xml:space="preserve">розгляд заявки на отримання тарифної квоти та додаткових документів перед </w:t>
            </w:r>
            <w:proofErr w:type="spellStart"/>
            <w:r w:rsidR="000575FB">
              <w:rPr>
                <w:rStyle w:val="font141"/>
                <w:sz w:val="24"/>
                <w:szCs w:val="24"/>
              </w:rPr>
              <w:t>видачею</w:t>
            </w:r>
            <w:proofErr w:type="spellEnd"/>
            <w:r w:rsidR="000575FB">
              <w:rPr>
                <w:rStyle w:val="font141"/>
                <w:sz w:val="24"/>
                <w:szCs w:val="24"/>
              </w:rPr>
              <w:t xml:space="preserve"> документа, що підтверджує статус </w:t>
            </w:r>
            <w:r w:rsidR="000575FB">
              <w:rPr>
                <w:rStyle w:val="font141"/>
                <w:sz w:val="24"/>
                <w:szCs w:val="24"/>
              </w:rPr>
              <w:lastRenderedPageBreak/>
              <w:t xml:space="preserve">преференційного походження товарів, </w:t>
            </w:r>
            <w:r w:rsidR="00856A14" w:rsidRPr="00030808">
              <w:rPr>
                <w:rStyle w:val="font141"/>
                <w:sz w:val="24"/>
                <w:szCs w:val="24"/>
              </w:rPr>
              <w:t xml:space="preserve">проведення консультацій за зверненнями суб’єктів господарювання з питань застосування преференційних правил походження </w:t>
            </w:r>
            <w:r w:rsidR="000575FB">
              <w:rPr>
                <w:rStyle w:val="font141"/>
                <w:sz w:val="24"/>
                <w:szCs w:val="24"/>
              </w:rPr>
              <w:t xml:space="preserve">та надання додаткових документів </w:t>
            </w:r>
            <w:r w:rsidR="00E50237">
              <w:rPr>
                <w:rStyle w:val="font141"/>
                <w:sz w:val="24"/>
                <w:szCs w:val="24"/>
              </w:rPr>
              <w:t xml:space="preserve"> приблизно </w:t>
            </w:r>
            <w:r w:rsidR="009E150A">
              <w:rPr>
                <w:rStyle w:val="font141"/>
                <w:sz w:val="24"/>
                <w:szCs w:val="24"/>
              </w:rPr>
              <w:t xml:space="preserve">на рік </w:t>
            </w:r>
            <w:r w:rsidR="00E50237">
              <w:rPr>
                <w:rStyle w:val="font141"/>
                <w:sz w:val="24"/>
                <w:szCs w:val="24"/>
              </w:rPr>
              <w:t>становлять</w:t>
            </w:r>
            <w:r w:rsidR="009E150A">
              <w:rPr>
                <w:rStyle w:val="font141"/>
                <w:sz w:val="24"/>
                <w:szCs w:val="24"/>
              </w:rPr>
              <w:t xml:space="preserve"> </w:t>
            </w:r>
            <w:r w:rsidR="000575FB">
              <w:rPr>
                <w:rStyle w:val="font141"/>
                <w:sz w:val="24"/>
                <w:szCs w:val="24"/>
              </w:rPr>
              <w:t>24 024</w:t>
            </w:r>
            <w:r w:rsidR="00004404">
              <w:rPr>
                <w:rStyle w:val="font141"/>
                <w:sz w:val="24"/>
                <w:szCs w:val="24"/>
              </w:rPr>
              <w:t xml:space="preserve"> </w:t>
            </w:r>
            <w:r w:rsidR="00E50237" w:rsidRPr="00E77BFF">
              <w:rPr>
                <w:rStyle w:val="font141"/>
                <w:sz w:val="24"/>
                <w:szCs w:val="24"/>
              </w:rPr>
              <w:t xml:space="preserve">грн, а за п’ять років – </w:t>
            </w:r>
            <w:r w:rsidR="000575FB">
              <w:rPr>
                <w:rStyle w:val="font141"/>
                <w:sz w:val="24"/>
                <w:szCs w:val="24"/>
              </w:rPr>
              <w:t>120 120</w:t>
            </w:r>
            <w:r w:rsidR="00004404">
              <w:rPr>
                <w:rStyle w:val="font141"/>
                <w:sz w:val="24"/>
                <w:szCs w:val="24"/>
              </w:rPr>
              <w:t xml:space="preserve"> </w:t>
            </w:r>
            <w:r w:rsidR="00E50237" w:rsidRPr="00723DED">
              <w:rPr>
                <w:rStyle w:val="font141"/>
                <w:sz w:val="24"/>
                <w:szCs w:val="24"/>
              </w:rPr>
              <w:t>грн.</w:t>
            </w:r>
            <w:r w:rsidR="00E77BFF" w:rsidRPr="00E77BFF">
              <w:rPr>
                <w:rStyle w:val="font141"/>
                <w:sz w:val="24"/>
                <w:szCs w:val="24"/>
              </w:rPr>
              <w:t xml:space="preserve"> </w:t>
            </w:r>
          </w:p>
          <w:p w14:paraId="3DA1812D" w14:textId="17970CA7" w:rsidR="00EE2428" w:rsidRPr="00723DED" w:rsidRDefault="009E150A" w:rsidP="00030808">
            <w:pPr>
              <w:jc w:val="both"/>
              <w:rPr>
                <w:rStyle w:val="font141"/>
                <w:sz w:val="24"/>
                <w:szCs w:val="24"/>
              </w:rPr>
            </w:pPr>
            <w:r w:rsidRPr="00723DED">
              <w:rPr>
                <w:rStyle w:val="font141"/>
                <w:i/>
                <w:sz w:val="24"/>
                <w:szCs w:val="24"/>
              </w:rPr>
              <w:t xml:space="preserve">Суб’єкти господарювання, </w:t>
            </w:r>
            <w:r w:rsidRPr="00723DED">
              <w:rPr>
                <w:rStyle w:val="font141"/>
                <w:sz w:val="24"/>
                <w:szCs w:val="24"/>
              </w:rPr>
              <w:t>які здійснюють експорт товарів</w:t>
            </w:r>
            <w:r w:rsidR="004E4598">
              <w:rPr>
                <w:rStyle w:val="font141"/>
                <w:sz w:val="24"/>
                <w:szCs w:val="24"/>
              </w:rPr>
              <w:t xml:space="preserve">, </w:t>
            </w:r>
            <w:r w:rsidR="00C62AC9">
              <w:rPr>
                <w:rStyle w:val="font141"/>
                <w:sz w:val="24"/>
                <w:szCs w:val="24"/>
              </w:rPr>
              <w:t>що</w:t>
            </w:r>
            <w:r w:rsidR="004E4598">
              <w:rPr>
                <w:rStyle w:val="font141"/>
                <w:sz w:val="24"/>
                <w:szCs w:val="24"/>
              </w:rPr>
              <w:t xml:space="preserve"> підпада</w:t>
            </w:r>
            <w:r w:rsidR="00C62AC9">
              <w:rPr>
                <w:rStyle w:val="font141"/>
                <w:sz w:val="24"/>
                <w:szCs w:val="24"/>
              </w:rPr>
              <w:t>ю</w:t>
            </w:r>
            <w:r w:rsidR="004E4598">
              <w:rPr>
                <w:rStyle w:val="font141"/>
                <w:sz w:val="24"/>
                <w:szCs w:val="24"/>
              </w:rPr>
              <w:t>ть під тарифну квоту</w:t>
            </w:r>
            <w:r w:rsidRPr="00723DED">
              <w:rPr>
                <w:rStyle w:val="font141"/>
                <w:sz w:val="24"/>
                <w:szCs w:val="24"/>
              </w:rPr>
              <w:t>, понесуть витрати на вивчення нормативно-правового акта та підготовк</w:t>
            </w:r>
            <w:r w:rsidR="00C62AC9">
              <w:rPr>
                <w:rStyle w:val="font141"/>
                <w:sz w:val="24"/>
                <w:szCs w:val="24"/>
              </w:rPr>
              <w:t xml:space="preserve">у </w:t>
            </w:r>
            <w:r w:rsidR="00C62AC9" w:rsidRPr="00C62AC9">
              <w:rPr>
                <w:rStyle w:val="font141"/>
                <w:sz w:val="24"/>
                <w:szCs w:val="24"/>
              </w:rPr>
              <w:t>заявки на отримання тарифної квоти  та  документів, що подаватимуться експортером під час експорту до митниці для отримання документу, що підтверджує статус преференційного походження товарів</w:t>
            </w:r>
            <w:r w:rsidR="00924D24">
              <w:rPr>
                <w:rStyle w:val="font141"/>
                <w:sz w:val="24"/>
                <w:szCs w:val="24"/>
              </w:rPr>
              <w:t>,</w:t>
            </w:r>
            <w:r w:rsidR="00723DED" w:rsidRPr="00723DED">
              <w:rPr>
                <w:rStyle w:val="font141"/>
                <w:sz w:val="24"/>
                <w:szCs w:val="24"/>
              </w:rPr>
              <w:t xml:space="preserve"> з урахуванням витрат на витратні матеріали для підготовки додаткових документів</w:t>
            </w:r>
            <w:r w:rsidRPr="00723DED">
              <w:rPr>
                <w:rStyle w:val="font141"/>
                <w:sz w:val="24"/>
                <w:szCs w:val="24"/>
              </w:rPr>
              <w:t xml:space="preserve"> – </w:t>
            </w:r>
            <w:r w:rsidR="004E4598">
              <w:rPr>
                <w:rStyle w:val="font141"/>
                <w:sz w:val="24"/>
                <w:szCs w:val="24"/>
              </w:rPr>
              <w:t>7 163,1</w:t>
            </w:r>
            <w:r w:rsidR="004347A3" w:rsidRPr="004347A3">
              <w:rPr>
                <w:rStyle w:val="font141"/>
                <w:sz w:val="24"/>
                <w:szCs w:val="24"/>
              </w:rPr>
              <w:t xml:space="preserve"> грн</w:t>
            </w:r>
            <w:r w:rsidRPr="00723DED">
              <w:rPr>
                <w:rStyle w:val="font141"/>
                <w:sz w:val="24"/>
                <w:szCs w:val="24"/>
              </w:rPr>
              <w:t xml:space="preserve"> (з урахуванням середньої погодинно</w:t>
            </w:r>
            <w:r w:rsidR="00EE2428" w:rsidRPr="00723DED">
              <w:rPr>
                <w:rStyle w:val="font141"/>
                <w:sz w:val="24"/>
                <w:szCs w:val="24"/>
              </w:rPr>
              <w:t>ї заробітної плати на 202</w:t>
            </w:r>
            <w:r w:rsidR="00F46C3C">
              <w:rPr>
                <w:rStyle w:val="font141"/>
                <w:sz w:val="24"/>
                <w:szCs w:val="24"/>
              </w:rPr>
              <w:t>6</w:t>
            </w:r>
            <w:r w:rsidR="00EE2428" w:rsidRPr="00723DED">
              <w:rPr>
                <w:rStyle w:val="font141"/>
                <w:sz w:val="24"/>
                <w:szCs w:val="24"/>
              </w:rPr>
              <w:t xml:space="preserve"> рік), а за п’ять років –</w:t>
            </w:r>
            <w:r w:rsidR="008417B8" w:rsidRPr="00723DED">
              <w:rPr>
                <w:rStyle w:val="font141"/>
                <w:sz w:val="24"/>
                <w:szCs w:val="24"/>
              </w:rPr>
              <w:t xml:space="preserve"> </w:t>
            </w:r>
            <w:r w:rsidR="004E4598">
              <w:rPr>
                <w:rStyle w:val="font141"/>
                <w:sz w:val="24"/>
                <w:szCs w:val="24"/>
              </w:rPr>
              <w:t>31 447,5</w:t>
            </w:r>
            <w:r w:rsidR="004347A3">
              <w:rPr>
                <w:rStyle w:val="font141"/>
                <w:sz w:val="24"/>
                <w:szCs w:val="24"/>
              </w:rPr>
              <w:t xml:space="preserve"> </w:t>
            </w:r>
            <w:r w:rsidR="00EE2428" w:rsidRPr="00723DED">
              <w:rPr>
                <w:rStyle w:val="font141"/>
                <w:sz w:val="24"/>
                <w:szCs w:val="24"/>
              </w:rPr>
              <w:t>грн.</w:t>
            </w:r>
          </w:p>
          <w:p w14:paraId="2EF3D342" w14:textId="2C2F76EB" w:rsidR="00E50237" w:rsidRPr="00985801" w:rsidRDefault="009E150A" w:rsidP="00924D24">
            <w:pPr>
              <w:widowControl w:val="0"/>
              <w:jc w:val="both"/>
              <w:rPr>
                <w:rStyle w:val="font141"/>
                <w:sz w:val="24"/>
                <w:szCs w:val="24"/>
              </w:rPr>
            </w:pPr>
            <w:r w:rsidRPr="00723DED">
              <w:rPr>
                <w:rFonts w:eastAsia="Times New Roman"/>
                <w:i/>
                <w:lang w:eastAsia="ru-RU"/>
              </w:rPr>
              <w:t>У громадян</w:t>
            </w:r>
            <w:r w:rsidRPr="00723DED">
              <w:rPr>
                <w:rFonts w:eastAsia="Times New Roman"/>
                <w:lang w:eastAsia="ru-RU"/>
              </w:rPr>
              <w:t xml:space="preserve"> витрати відсутні, оскільки положе</w:t>
            </w:r>
            <w:r w:rsidR="00F017AB">
              <w:rPr>
                <w:rFonts w:eastAsia="Times New Roman"/>
                <w:lang w:eastAsia="ru-RU"/>
              </w:rPr>
              <w:t>ння</w:t>
            </w:r>
            <w:r w:rsidR="00924D24">
              <w:rPr>
                <w:rFonts w:eastAsia="Times New Roman"/>
                <w:lang w:eastAsia="ru-RU"/>
              </w:rPr>
              <w:t xml:space="preserve"> </w:t>
            </w:r>
            <w:r w:rsidR="00F017AB">
              <w:rPr>
                <w:rFonts w:eastAsia="Times New Roman"/>
                <w:lang w:eastAsia="ru-RU"/>
              </w:rPr>
              <w:t>регуляторного акта не стосую</w:t>
            </w:r>
            <w:r w:rsidRPr="00723DED">
              <w:rPr>
                <w:rFonts w:eastAsia="Times New Roman"/>
                <w:lang w:eastAsia="ru-RU"/>
              </w:rPr>
              <w:t>ться діяльності громадян</w:t>
            </w:r>
            <w:r w:rsidR="00924D24">
              <w:rPr>
                <w:rFonts w:eastAsia="Times New Roman"/>
                <w:lang w:eastAsia="ru-RU"/>
              </w:rPr>
              <w:t>.</w:t>
            </w:r>
          </w:p>
        </w:tc>
        <w:tc>
          <w:tcPr>
            <w:tcW w:w="2268" w:type="dxa"/>
          </w:tcPr>
          <w:p w14:paraId="5AFC4DE3" w14:textId="77777777" w:rsidR="00441950" w:rsidRPr="00985801" w:rsidRDefault="00441950" w:rsidP="00E40D88">
            <w:pPr>
              <w:jc w:val="both"/>
            </w:pPr>
            <w:r w:rsidRPr="00985801">
              <w:rPr>
                <w:rStyle w:val="font141"/>
                <w:sz w:val="24"/>
                <w:szCs w:val="24"/>
              </w:rPr>
              <w:lastRenderedPageBreak/>
              <w:t xml:space="preserve">Є найбільш оптимальною із запропонованих альтернатив, оскільки відповідає вимогам регуляторної </w:t>
            </w:r>
            <w:r w:rsidRPr="00985801">
              <w:rPr>
                <w:rStyle w:val="font141"/>
                <w:sz w:val="24"/>
                <w:szCs w:val="24"/>
              </w:rPr>
              <w:lastRenderedPageBreak/>
              <w:t>політики і досягає цілей державного регулювання</w:t>
            </w:r>
          </w:p>
        </w:tc>
      </w:tr>
    </w:tbl>
    <w:p w14:paraId="058AE537" w14:textId="77777777" w:rsidR="007C34EF" w:rsidRDefault="007C34EF" w:rsidP="00A45649"/>
    <w:tbl>
      <w:tblPr>
        <w:tblStyle w:val="ad"/>
        <w:tblW w:w="9781" w:type="dxa"/>
        <w:tblInd w:w="108" w:type="dxa"/>
        <w:tblLook w:val="04A0" w:firstRow="1" w:lastRow="0" w:firstColumn="1" w:lastColumn="0" w:noHBand="0" w:noVBand="1"/>
      </w:tblPr>
      <w:tblGrid>
        <w:gridCol w:w="2155"/>
        <w:gridCol w:w="4395"/>
        <w:gridCol w:w="3231"/>
      </w:tblGrid>
      <w:tr w:rsidR="00441950" w:rsidRPr="00F906CB" w14:paraId="6E2A0164" w14:textId="77777777" w:rsidTr="00441C60">
        <w:tc>
          <w:tcPr>
            <w:tcW w:w="2155" w:type="dxa"/>
          </w:tcPr>
          <w:p w14:paraId="3EE99DA3" w14:textId="77777777" w:rsidR="00441950" w:rsidRPr="005367B0" w:rsidRDefault="00441950" w:rsidP="005367B0">
            <w:pPr>
              <w:jc w:val="center"/>
              <w:rPr>
                <w:rFonts w:eastAsia="Times New Roman"/>
                <w:b/>
              </w:rPr>
            </w:pPr>
            <w:r w:rsidRPr="005367B0">
              <w:rPr>
                <w:rFonts w:eastAsia="Times New Roman"/>
                <w:b/>
              </w:rPr>
              <w:lastRenderedPageBreak/>
              <w:t>Рейтинг</w:t>
            </w:r>
          </w:p>
        </w:tc>
        <w:tc>
          <w:tcPr>
            <w:tcW w:w="4395" w:type="dxa"/>
          </w:tcPr>
          <w:p w14:paraId="2351456B" w14:textId="77777777" w:rsidR="00441950" w:rsidRPr="005367B0" w:rsidRDefault="00441950" w:rsidP="005367B0">
            <w:pPr>
              <w:jc w:val="center"/>
              <w:rPr>
                <w:rFonts w:eastAsia="Times New Roman"/>
                <w:b/>
              </w:rPr>
            </w:pPr>
            <w:r w:rsidRPr="005367B0">
              <w:rPr>
                <w:rFonts w:eastAsia="Times New Roman"/>
                <w:b/>
              </w:rPr>
              <w:t>Аргументи щодо переваги обраної альтернативи/причини відмови від альтернативи</w:t>
            </w:r>
          </w:p>
        </w:tc>
        <w:tc>
          <w:tcPr>
            <w:tcW w:w="3231" w:type="dxa"/>
          </w:tcPr>
          <w:p w14:paraId="7FE0CD1E" w14:textId="77777777" w:rsidR="00441950" w:rsidRPr="005367B0" w:rsidRDefault="00441950" w:rsidP="005367B0">
            <w:pPr>
              <w:jc w:val="center"/>
              <w:rPr>
                <w:rFonts w:eastAsia="Times New Roman"/>
                <w:b/>
              </w:rPr>
            </w:pPr>
            <w:r w:rsidRPr="005367B0">
              <w:rPr>
                <w:rFonts w:eastAsia="Times New Roman"/>
                <w:b/>
              </w:rPr>
              <w:t>Оцінка ризику зовнішніх чинників на дію запропонованого регуляторного акта</w:t>
            </w:r>
          </w:p>
        </w:tc>
      </w:tr>
      <w:tr w:rsidR="00441950" w:rsidRPr="00F906CB" w14:paraId="038B4D0D" w14:textId="77777777" w:rsidTr="00441C60">
        <w:tc>
          <w:tcPr>
            <w:tcW w:w="2155" w:type="dxa"/>
          </w:tcPr>
          <w:p w14:paraId="5C843F27" w14:textId="77777777" w:rsidR="00441950" w:rsidRDefault="00441950" w:rsidP="005367B0">
            <w:pPr>
              <w:jc w:val="center"/>
              <w:rPr>
                <w:rStyle w:val="font141"/>
                <w:sz w:val="24"/>
                <w:szCs w:val="24"/>
              </w:rPr>
            </w:pPr>
            <w:r w:rsidRPr="00F906CB">
              <w:rPr>
                <w:rStyle w:val="font141"/>
                <w:sz w:val="24"/>
                <w:szCs w:val="24"/>
              </w:rPr>
              <w:t>Альтернатива 1</w:t>
            </w:r>
          </w:p>
          <w:p w14:paraId="5877B5AD" w14:textId="77777777" w:rsidR="00682D71" w:rsidRPr="00F906CB" w:rsidRDefault="00682D71" w:rsidP="005367B0">
            <w:pPr>
              <w:jc w:val="center"/>
              <w:rPr>
                <w:rFonts w:eastAsia="Times New Roman"/>
              </w:rPr>
            </w:pPr>
            <w:r w:rsidRPr="00682D71">
              <w:rPr>
                <w:rFonts w:eastAsia="Times New Roman"/>
              </w:rPr>
              <w:t>Залишити існуючий регуляторний акт без змін</w:t>
            </w:r>
          </w:p>
        </w:tc>
        <w:tc>
          <w:tcPr>
            <w:tcW w:w="4395" w:type="dxa"/>
          </w:tcPr>
          <w:p w14:paraId="6A707A6F" w14:textId="76A0DC4F" w:rsidR="00441950" w:rsidRDefault="00985801" w:rsidP="006507FD">
            <w:pPr>
              <w:jc w:val="both"/>
              <w:rPr>
                <w:rFonts w:eastAsia="Times New Roman"/>
              </w:rPr>
            </w:pPr>
            <w:r>
              <w:rPr>
                <w:rFonts w:eastAsia="Times New Roman"/>
              </w:rPr>
              <w:t>У разі обрання а</w:t>
            </w:r>
            <w:r w:rsidR="00441950" w:rsidRPr="00503C9F">
              <w:rPr>
                <w:rFonts w:eastAsia="Times New Roman"/>
              </w:rPr>
              <w:t xml:space="preserve">льтернативи 1 експортери </w:t>
            </w:r>
            <w:r w:rsidR="00503C9F">
              <w:rPr>
                <w:rFonts w:eastAsia="Times New Roman"/>
              </w:rPr>
              <w:t xml:space="preserve">не зможуть </w:t>
            </w:r>
            <w:r w:rsidR="006507FD">
              <w:rPr>
                <w:rFonts w:eastAsia="Times New Roman"/>
              </w:rPr>
              <w:t>скористатися експортною тарифною квотою, у зв’язку з чим нестимуть фінансові витрати на сплату передбачених законодавством митних платежів у повному обсязі</w:t>
            </w:r>
            <w:r w:rsidR="00392588">
              <w:rPr>
                <w:rFonts w:eastAsia="Times New Roman"/>
              </w:rPr>
              <w:t xml:space="preserve"> </w:t>
            </w:r>
            <w:r w:rsidR="00503C9F">
              <w:rPr>
                <w:rFonts w:eastAsia="Times New Roman"/>
              </w:rPr>
              <w:t xml:space="preserve">та </w:t>
            </w:r>
            <w:r w:rsidR="00441950" w:rsidRPr="00503C9F">
              <w:rPr>
                <w:rFonts w:eastAsia="Times New Roman"/>
              </w:rPr>
              <w:t xml:space="preserve">будуть позбавлені допуску </w:t>
            </w:r>
            <w:r w:rsidR="009F05AB">
              <w:rPr>
                <w:rFonts w:eastAsia="Times New Roman"/>
              </w:rPr>
              <w:t xml:space="preserve">їх </w:t>
            </w:r>
            <w:r w:rsidR="00441950" w:rsidRPr="00503C9F">
              <w:rPr>
                <w:rFonts w:eastAsia="Times New Roman"/>
              </w:rPr>
              <w:t>на зовнішні ринки із застосуванням пільгового режиму оподаткув</w:t>
            </w:r>
            <w:r>
              <w:rPr>
                <w:rFonts w:eastAsia="Times New Roman"/>
              </w:rPr>
              <w:t>ання на умовах вільної торгівлі</w:t>
            </w:r>
            <w:r w:rsidR="006507FD">
              <w:rPr>
                <w:rFonts w:eastAsia="Times New Roman"/>
              </w:rPr>
              <w:t>.</w:t>
            </w:r>
          </w:p>
          <w:p w14:paraId="03818704" w14:textId="64E4E78F" w:rsidR="006507FD" w:rsidRPr="00503C9F" w:rsidRDefault="00106E55" w:rsidP="005E333E">
            <w:pPr>
              <w:jc w:val="both"/>
              <w:rPr>
                <w:rFonts w:eastAsia="Times New Roman"/>
              </w:rPr>
            </w:pPr>
            <w:r>
              <w:rPr>
                <w:rFonts w:eastAsia="Times New Roman"/>
              </w:rPr>
              <w:t xml:space="preserve">При альтернативі 1 держава не виконує міжнародні зобов’язання, а також </w:t>
            </w:r>
            <w:r w:rsidR="006507FD" w:rsidRPr="006507FD">
              <w:rPr>
                <w:rFonts w:eastAsia="Times New Roman"/>
              </w:rPr>
              <w:t xml:space="preserve">несе витрати, пов’язані з наданням неправомірної пільги </w:t>
            </w:r>
            <w:r w:rsidR="005E333E">
              <w:rPr>
                <w:rFonts w:eastAsia="Times New Roman"/>
              </w:rPr>
              <w:t xml:space="preserve">у разі порушення суб’єктами ЗЕД умов міжнародних угод про вільну торгівлю </w:t>
            </w:r>
            <w:r w:rsidR="006507FD" w:rsidRPr="006507FD">
              <w:rPr>
                <w:rFonts w:eastAsia="Times New Roman"/>
              </w:rPr>
              <w:t xml:space="preserve">на підставі недійсних документів (у разі </w:t>
            </w:r>
            <w:proofErr w:type="spellStart"/>
            <w:r w:rsidR="006507FD" w:rsidRPr="006507FD">
              <w:rPr>
                <w:rFonts w:eastAsia="Times New Roman"/>
              </w:rPr>
              <w:t>непідтвердження</w:t>
            </w:r>
            <w:proofErr w:type="spellEnd"/>
            <w:r w:rsidR="006507FD" w:rsidRPr="006507FD">
              <w:rPr>
                <w:rFonts w:eastAsia="Times New Roman"/>
              </w:rPr>
              <w:t xml:space="preserve"> достовірності документа, що підтверджує статус преференційного походження товару в результаті отримання інформації від компетен</w:t>
            </w:r>
            <w:r w:rsidR="005E333E">
              <w:rPr>
                <w:rFonts w:eastAsia="Times New Roman"/>
              </w:rPr>
              <w:t>тних органів зарубіжних держав)</w:t>
            </w:r>
            <w:r w:rsidR="006507FD" w:rsidRPr="006507FD">
              <w:rPr>
                <w:rFonts w:eastAsia="Times New Roman"/>
              </w:rPr>
              <w:t>.</w:t>
            </w:r>
          </w:p>
        </w:tc>
        <w:tc>
          <w:tcPr>
            <w:tcW w:w="3231" w:type="dxa"/>
          </w:tcPr>
          <w:p w14:paraId="1B255DC7" w14:textId="4F42819B" w:rsidR="00441950" w:rsidRPr="00D35E0D" w:rsidRDefault="0008350C" w:rsidP="00741ECD">
            <w:pPr>
              <w:jc w:val="both"/>
              <w:rPr>
                <w:rFonts w:eastAsia="Times New Roman"/>
              </w:rPr>
            </w:pPr>
            <w:r w:rsidRPr="00D35E0D">
              <w:rPr>
                <w:rFonts w:eastAsia="Times New Roman"/>
              </w:rPr>
              <w:t>На дію запропонованого регуляторного акта можуть вплинути події непереробної сили (воєнний стан тощо), а також зміни у законодавстві.</w:t>
            </w:r>
          </w:p>
        </w:tc>
      </w:tr>
      <w:tr w:rsidR="00441950" w:rsidRPr="00F906CB" w14:paraId="00E28A8A" w14:textId="77777777" w:rsidTr="00441C60">
        <w:tc>
          <w:tcPr>
            <w:tcW w:w="2155" w:type="dxa"/>
          </w:tcPr>
          <w:p w14:paraId="12179037" w14:textId="77777777" w:rsidR="00441950" w:rsidRDefault="00441950" w:rsidP="005367B0">
            <w:pPr>
              <w:jc w:val="center"/>
              <w:rPr>
                <w:rStyle w:val="font141"/>
                <w:sz w:val="24"/>
                <w:szCs w:val="24"/>
              </w:rPr>
            </w:pPr>
            <w:r w:rsidRPr="00F906CB">
              <w:rPr>
                <w:rStyle w:val="font141"/>
                <w:sz w:val="24"/>
                <w:szCs w:val="24"/>
              </w:rPr>
              <w:t>Альтернатива 2</w:t>
            </w:r>
          </w:p>
          <w:p w14:paraId="2D045311" w14:textId="77777777" w:rsidR="00682D71" w:rsidRPr="00F906CB" w:rsidRDefault="00682D71" w:rsidP="005367B0">
            <w:pPr>
              <w:jc w:val="center"/>
              <w:rPr>
                <w:rFonts w:eastAsia="Times New Roman"/>
              </w:rPr>
            </w:pPr>
            <w:r>
              <w:rPr>
                <w:rStyle w:val="font141"/>
                <w:sz w:val="24"/>
                <w:szCs w:val="24"/>
              </w:rPr>
              <w:t>Прийняття регуляторного акта</w:t>
            </w:r>
          </w:p>
        </w:tc>
        <w:tc>
          <w:tcPr>
            <w:tcW w:w="4395" w:type="dxa"/>
          </w:tcPr>
          <w:p w14:paraId="19F378C9" w14:textId="2C4CE503" w:rsidR="00952CDF" w:rsidRPr="00503C9F" w:rsidRDefault="00441950" w:rsidP="00A51869">
            <w:pPr>
              <w:jc w:val="both"/>
              <w:rPr>
                <w:rFonts w:eastAsia="Times New Roman"/>
              </w:rPr>
            </w:pPr>
            <w:r w:rsidRPr="00503C9F">
              <w:rPr>
                <w:rFonts w:eastAsia="Times New Roman"/>
              </w:rPr>
              <w:t xml:space="preserve">Альтернатива 2 </w:t>
            </w:r>
            <w:r w:rsidR="00557B85">
              <w:rPr>
                <w:rFonts w:eastAsia="Times New Roman"/>
              </w:rPr>
              <w:t xml:space="preserve">забезпечить </w:t>
            </w:r>
            <w:r w:rsidR="00106E55">
              <w:rPr>
                <w:rFonts w:eastAsia="Times New Roman"/>
              </w:rPr>
              <w:t xml:space="preserve">належний контроль за розподілом тарифної квоти з боку держави та </w:t>
            </w:r>
            <w:r w:rsidR="00A554B1">
              <w:rPr>
                <w:rFonts w:eastAsia="Times New Roman"/>
              </w:rPr>
              <w:t>економію</w:t>
            </w:r>
            <w:r w:rsidR="00557B85">
              <w:rPr>
                <w:rFonts w:eastAsia="Times New Roman"/>
              </w:rPr>
              <w:t xml:space="preserve"> </w:t>
            </w:r>
            <w:r w:rsidR="00A554B1">
              <w:rPr>
                <w:rFonts w:eastAsia="Times New Roman"/>
              </w:rPr>
              <w:t>фінансових витрат експортерів на сплату передбачених законодавством митних платежів у повному обсязі</w:t>
            </w:r>
            <w:r w:rsidR="00145120">
              <w:rPr>
                <w:rFonts w:eastAsia="Times New Roman"/>
              </w:rPr>
              <w:t>,</w:t>
            </w:r>
            <w:r w:rsidR="00A554B1">
              <w:rPr>
                <w:rFonts w:eastAsia="Times New Roman"/>
              </w:rPr>
              <w:t xml:space="preserve"> що</w:t>
            </w:r>
            <w:r w:rsidR="00145120">
              <w:rPr>
                <w:rFonts w:eastAsia="Times New Roman"/>
              </w:rPr>
              <w:t xml:space="preserve"> </w:t>
            </w:r>
            <w:r w:rsidR="00030808">
              <w:rPr>
                <w:rFonts w:eastAsia="Times New Roman"/>
              </w:rPr>
              <w:t xml:space="preserve">сприятиме </w:t>
            </w:r>
            <w:r w:rsidR="00145120">
              <w:rPr>
                <w:rFonts w:eastAsia="Times New Roman"/>
              </w:rPr>
              <w:t>підвищенню</w:t>
            </w:r>
            <w:r w:rsidR="00952CDF" w:rsidRPr="00503C9F">
              <w:rPr>
                <w:rFonts w:eastAsia="Times New Roman"/>
              </w:rPr>
              <w:t xml:space="preserve"> конкурентоспр</w:t>
            </w:r>
            <w:r w:rsidR="00145120">
              <w:rPr>
                <w:rFonts w:eastAsia="Times New Roman"/>
              </w:rPr>
              <w:t xml:space="preserve">оможності </w:t>
            </w:r>
            <w:r w:rsidR="00342C5C">
              <w:rPr>
                <w:rFonts w:eastAsia="Times New Roman"/>
              </w:rPr>
              <w:t>суб’єктів</w:t>
            </w:r>
            <w:r w:rsidR="00A51869">
              <w:rPr>
                <w:rFonts w:eastAsia="Times New Roman"/>
              </w:rPr>
              <w:t xml:space="preserve"> господарювання</w:t>
            </w:r>
          </w:p>
        </w:tc>
        <w:tc>
          <w:tcPr>
            <w:tcW w:w="3231" w:type="dxa"/>
          </w:tcPr>
          <w:p w14:paraId="2C6D870B" w14:textId="7C368FE6" w:rsidR="00441950" w:rsidRPr="00D35E0D" w:rsidRDefault="005829CF" w:rsidP="005367B0">
            <w:pPr>
              <w:jc w:val="both"/>
              <w:rPr>
                <w:rFonts w:eastAsia="Times New Roman"/>
              </w:rPr>
            </w:pPr>
            <w:r w:rsidRPr="00D35E0D">
              <w:rPr>
                <w:rFonts w:eastAsia="Times New Roman"/>
              </w:rPr>
              <w:t>Н</w:t>
            </w:r>
            <w:r w:rsidR="00441950" w:rsidRPr="00D35E0D">
              <w:rPr>
                <w:rFonts w:eastAsia="Times New Roman"/>
              </w:rPr>
              <w:t xml:space="preserve">а </w:t>
            </w:r>
            <w:r w:rsidRPr="00D35E0D">
              <w:rPr>
                <w:rFonts w:eastAsia="Times New Roman"/>
              </w:rPr>
              <w:t>дію</w:t>
            </w:r>
            <w:r w:rsidR="00441950" w:rsidRPr="00D35E0D">
              <w:rPr>
                <w:rFonts w:eastAsia="Times New Roman"/>
              </w:rPr>
              <w:t xml:space="preserve"> зап</w:t>
            </w:r>
            <w:r w:rsidR="00145120" w:rsidRPr="00D35E0D">
              <w:rPr>
                <w:rFonts w:eastAsia="Times New Roman"/>
              </w:rPr>
              <w:t>ропонованого регуляторного акта</w:t>
            </w:r>
            <w:r w:rsidR="00441950" w:rsidRPr="00D35E0D">
              <w:rPr>
                <w:rFonts w:eastAsia="Times New Roman"/>
              </w:rPr>
              <w:t xml:space="preserve"> </w:t>
            </w:r>
            <w:r w:rsidRPr="00D35E0D">
              <w:rPr>
                <w:rFonts w:eastAsia="Times New Roman"/>
              </w:rPr>
              <w:t>можуть вплинути події непереробної сили (воєнний стан тощо)</w:t>
            </w:r>
            <w:r w:rsidR="00E70524">
              <w:rPr>
                <w:rFonts w:eastAsia="Times New Roman"/>
              </w:rPr>
              <w:t>, а також зміни у законодавстві</w:t>
            </w:r>
          </w:p>
        </w:tc>
      </w:tr>
    </w:tbl>
    <w:p w14:paraId="4CD8E851" w14:textId="77777777" w:rsidR="004419DE" w:rsidRDefault="004419DE" w:rsidP="00812031">
      <w:pPr>
        <w:ind w:firstLine="567"/>
        <w:jc w:val="both"/>
        <w:rPr>
          <w:rStyle w:val="font171"/>
          <w:bCs/>
        </w:rPr>
      </w:pPr>
    </w:p>
    <w:p w14:paraId="52C3E556" w14:textId="77777777" w:rsidR="00812031" w:rsidRDefault="00812031" w:rsidP="00812031">
      <w:pPr>
        <w:ind w:firstLine="567"/>
        <w:jc w:val="both"/>
        <w:rPr>
          <w:rStyle w:val="font171"/>
          <w:bCs/>
        </w:rPr>
      </w:pPr>
      <w:r w:rsidRPr="00812031">
        <w:rPr>
          <w:rStyle w:val="font171"/>
          <w:bCs/>
        </w:rPr>
        <w:t>На сьогодні відсутній альтернативний спосіб для оперативного досягнення поставленої мети, крім внесення змін до акта законодавства у запропонованій редакції</w:t>
      </w:r>
      <w:r w:rsidR="00DE607C">
        <w:rPr>
          <w:rStyle w:val="font171"/>
          <w:bCs/>
        </w:rPr>
        <w:t xml:space="preserve"> (Альтернатива 2)</w:t>
      </w:r>
      <w:r w:rsidRPr="00812031">
        <w:rPr>
          <w:rStyle w:val="font171"/>
          <w:bCs/>
        </w:rPr>
        <w:t>.</w:t>
      </w:r>
    </w:p>
    <w:p w14:paraId="4041EC78" w14:textId="77777777" w:rsidR="00812031" w:rsidRPr="00812031" w:rsidRDefault="00812031" w:rsidP="00812031">
      <w:pPr>
        <w:ind w:firstLine="567"/>
        <w:jc w:val="both"/>
        <w:rPr>
          <w:rStyle w:val="font171"/>
          <w:bCs/>
        </w:rPr>
      </w:pPr>
    </w:p>
    <w:p w14:paraId="3C19A00B" w14:textId="77777777" w:rsidR="00B91E6A" w:rsidRDefault="00B91E6A" w:rsidP="005367B0">
      <w:pPr>
        <w:ind w:firstLine="567"/>
        <w:jc w:val="both"/>
      </w:pPr>
      <w:r>
        <w:rPr>
          <w:rStyle w:val="font171"/>
          <w:b/>
          <w:bCs/>
        </w:rPr>
        <w:t>V. Механізми та заходи, які забезпечать розв’язання визначеної проблеми</w:t>
      </w:r>
    </w:p>
    <w:p w14:paraId="3E1DA7C7" w14:textId="77777777" w:rsidR="00F906CB" w:rsidRPr="00245C05" w:rsidRDefault="00F906CB" w:rsidP="00F906CB">
      <w:pPr>
        <w:jc w:val="both"/>
        <w:rPr>
          <w:rStyle w:val="font171"/>
        </w:rPr>
      </w:pPr>
    </w:p>
    <w:p w14:paraId="12BA58B5" w14:textId="03A03FDA" w:rsidR="00B91E6A" w:rsidRPr="00573638" w:rsidRDefault="00B91E6A" w:rsidP="00F906CB">
      <w:pPr>
        <w:ind w:firstLine="567"/>
        <w:jc w:val="both"/>
        <w:rPr>
          <w:sz w:val="28"/>
          <w:szCs w:val="28"/>
        </w:rPr>
      </w:pPr>
      <w:r w:rsidRPr="00573638">
        <w:rPr>
          <w:rStyle w:val="font171"/>
        </w:rPr>
        <w:t>1.  Механізм дії регуляторного акта.</w:t>
      </w:r>
      <w:r w:rsidR="00FD5E87" w:rsidRPr="00573638">
        <w:t xml:space="preserve"> </w:t>
      </w:r>
    </w:p>
    <w:p w14:paraId="08893C32" w14:textId="532E623A" w:rsidR="00DC687E" w:rsidRPr="00573638" w:rsidRDefault="00DC687E" w:rsidP="00165016">
      <w:pPr>
        <w:ind w:firstLine="567"/>
        <w:jc w:val="both"/>
        <w:rPr>
          <w:rStyle w:val="font171"/>
        </w:rPr>
      </w:pPr>
      <w:r w:rsidRPr="00573638">
        <w:rPr>
          <w:rStyle w:val="font171"/>
        </w:rPr>
        <w:t xml:space="preserve">Для розв’язання проблеми, визначеної у розділі І АРВ, пропонується </w:t>
      </w:r>
      <w:r w:rsidR="005E333E" w:rsidRPr="00573638">
        <w:rPr>
          <w:rStyle w:val="font171"/>
        </w:rPr>
        <w:t>доповнити існуючий механізм адміністрування тарифної квоти окрем</w:t>
      </w:r>
      <w:r w:rsidR="00D26669" w:rsidRPr="00573638">
        <w:rPr>
          <w:rStyle w:val="font171"/>
        </w:rPr>
        <w:t>ими нормами, зокрема, щодо удосконалення адміністрування при імпорті</w:t>
      </w:r>
      <w:r w:rsidR="00573638" w:rsidRPr="00573638">
        <w:rPr>
          <w:rStyle w:val="font171"/>
        </w:rPr>
        <w:t xml:space="preserve">, а також </w:t>
      </w:r>
      <w:r w:rsidR="00D26669" w:rsidRPr="00573638">
        <w:rPr>
          <w:rStyle w:val="font171"/>
        </w:rPr>
        <w:lastRenderedPageBreak/>
        <w:t>можливості</w:t>
      </w:r>
      <w:r w:rsidR="005E333E" w:rsidRPr="00573638">
        <w:rPr>
          <w:rStyle w:val="font171"/>
        </w:rPr>
        <w:t xml:space="preserve"> застосування тарифної квоти при експорті </w:t>
      </w:r>
      <w:r w:rsidR="00E85D0B" w:rsidRPr="00573638">
        <w:rPr>
          <w:rStyle w:val="font171"/>
        </w:rPr>
        <w:t xml:space="preserve">та привести цей </w:t>
      </w:r>
      <w:r w:rsidRPr="00573638">
        <w:rPr>
          <w:rStyle w:val="font171"/>
        </w:rPr>
        <w:t>акт у відповідність до</w:t>
      </w:r>
      <w:r w:rsidR="005E333E" w:rsidRPr="00573638">
        <w:rPr>
          <w:rStyle w:val="font171"/>
        </w:rPr>
        <w:t xml:space="preserve"> діючих міжнародних договорів по вільну торгівлю</w:t>
      </w:r>
      <w:r w:rsidR="00E70524" w:rsidRPr="00573638">
        <w:rPr>
          <w:rStyle w:val="font171"/>
        </w:rPr>
        <w:t>, що</w:t>
      </w:r>
      <w:r w:rsidR="00165016" w:rsidRPr="00573638">
        <w:rPr>
          <w:rStyle w:val="font171"/>
        </w:rPr>
        <w:t xml:space="preserve"> у с</w:t>
      </w:r>
      <w:r w:rsidR="00E70524" w:rsidRPr="00573638">
        <w:rPr>
          <w:rStyle w:val="font171"/>
        </w:rPr>
        <w:t xml:space="preserve">вою чергу </w:t>
      </w:r>
      <w:r w:rsidR="00165016" w:rsidRPr="00573638">
        <w:rPr>
          <w:rStyle w:val="font171"/>
        </w:rPr>
        <w:t>дасть змогу суб’єктам господарювання отримати пільги зі</w:t>
      </w:r>
      <w:r w:rsidRPr="00573638">
        <w:rPr>
          <w:rStyle w:val="font171"/>
        </w:rPr>
        <w:t xml:space="preserve"> сплати в</w:t>
      </w:r>
      <w:r w:rsidR="005E333E" w:rsidRPr="00573638">
        <w:rPr>
          <w:rStyle w:val="font171"/>
        </w:rPr>
        <w:t>и</w:t>
      </w:r>
      <w:r w:rsidRPr="00573638">
        <w:rPr>
          <w:rStyle w:val="font171"/>
        </w:rPr>
        <w:t xml:space="preserve">візного мита при експорті </w:t>
      </w:r>
      <w:r w:rsidR="00684320" w:rsidRPr="00573638">
        <w:rPr>
          <w:rStyle w:val="font171"/>
        </w:rPr>
        <w:t xml:space="preserve">товарів </w:t>
      </w:r>
      <w:r w:rsidR="0081327D" w:rsidRPr="00573638">
        <w:rPr>
          <w:rStyle w:val="font171"/>
        </w:rPr>
        <w:t>до держав</w:t>
      </w:r>
      <w:r w:rsidR="0091563B" w:rsidRPr="00573638">
        <w:rPr>
          <w:rStyle w:val="font171"/>
        </w:rPr>
        <w:t>, з якими Україною укладено міжнародні угоди про вільну торгівлю</w:t>
      </w:r>
      <w:r w:rsidR="00573638" w:rsidRPr="00573638">
        <w:rPr>
          <w:rStyle w:val="font171"/>
        </w:rPr>
        <w:t xml:space="preserve">, </w:t>
      </w:r>
      <w:r w:rsidRPr="00573638">
        <w:rPr>
          <w:rStyle w:val="font171"/>
        </w:rPr>
        <w:t xml:space="preserve">та сприятиме збільшенню експорту товарів з України </w:t>
      </w:r>
      <w:r w:rsidR="00165016" w:rsidRPr="00573638">
        <w:rPr>
          <w:rStyle w:val="font171"/>
        </w:rPr>
        <w:t xml:space="preserve">із застосуванням пільгового режиму оподаткування на умовах вільної торгівлі </w:t>
      </w:r>
      <w:r w:rsidR="0091563B" w:rsidRPr="00573638">
        <w:rPr>
          <w:rStyle w:val="font171"/>
        </w:rPr>
        <w:t>в рамках таких договорів</w:t>
      </w:r>
      <w:r w:rsidRPr="00573638">
        <w:rPr>
          <w:rStyle w:val="font171"/>
        </w:rPr>
        <w:t>.</w:t>
      </w:r>
    </w:p>
    <w:p w14:paraId="549BC046" w14:textId="242FD1FB" w:rsidR="00503C9F" w:rsidRPr="00C970E1" w:rsidRDefault="000412AC" w:rsidP="00F906CB">
      <w:pPr>
        <w:ind w:firstLine="567"/>
        <w:jc w:val="both"/>
        <w:rPr>
          <w:rStyle w:val="font141"/>
          <w:sz w:val="28"/>
          <w:szCs w:val="28"/>
        </w:rPr>
      </w:pPr>
      <w:r w:rsidRPr="00573638">
        <w:rPr>
          <w:rStyle w:val="font171"/>
        </w:rPr>
        <w:t>Реалізація положень наказу</w:t>
      </w:r>
      <w:r w:rsidR="00710A92" w:rsidRPr="00573638">
        <w:rPr>
          <w:rStyle w:val="font171"/>
        </w:rPr>
        <w:t xml:space="preserve"> </w:t>
      </w:r>
      <w:r w:rsidR="00B91E6A" w:rsidRPr="00573638">
        <w:rPr>
          <w:rStyle w:val="font171"/>
        </w:rPr>
        <w:t xml:space="preserve">сприятиме </w:t>
      </w:r>
      <w:r w:rsidR="0091563B" w:rsidRPr="00573638">
        <w:rPr>
          <w:rStyle w:val="font171"/>
        </w:rPr>
        <w:t xml:space="preserve">покращенню адміністрування тарифної квоти при імпорті, </w:t>
      </w:r>
      <w:r w:rsidR="00C970E1" w:rsidRPr="00573638">
        <w:rPr>
          <w:rStyle w:val="font171"/>
        </w:rPr>
        <w:t>збільшенню експорту товарів</w:t>
      </w:r>
      <w:r w:rsidR="00C970E1" w:rsidRPr="00573638">
        <w:rPr>
          <w:rStyle w:val="font141"/>
          <w:sz w:val="28"/>
          <w:szCs w:val="28"/>
        </w:rPr>
        <w:t xml:space="preserve"> з України із застосуванням пільгового режиму оподаткування на умовах вільної торгівлі в країнах призначення товарів на основі</w:t>
      </w:r>
      <w:r w:rsidR="0091563B" w:rsidRPr="00573638">
        <w:rPr>
          <w:rStyle w:val="font141"/>
          <w:sz w:val="28"/>
          <w:szCs w:val="28"/>
        </w:rPr>
        <w:t xml:space="preserve"> міжнародних договорів про вільну торгівлю</w:t>
      </w:r>
      <w:r w:rsidR="00C970E1" w:rsidRPr="00573638">
        <w:rPr>
          <w:rStyle w:val="font141"/>
          <w:sz w:val="28"/>
          <w:szCs w:val="28"/>
        </w:rPr>
        <w:t>.</w:t>
      </w:r>
      <w:r w:rsidR="00392588" w:rsidRPr="00C970E1">
        <w:rPr>
          <w:rStyle w:val="font141"/>
          <w:sz w:val="28"/>
          <w:szCs w:val="28"/>
        </w:rPr>
        <w:t xml:space="preserve"> </w:t>
      </w:r>
    </w:p>
    <w:p w14:paraId="259DEB5A" w14:textId="77777777" w:rsidR="007F7EAE" w:rsidRDefault="007F7EAE" w:rsidP="00F906CB">
      <w:pPr>
        <w:ind w:firstLine="567"/>
        <w:jc w:val="both"/>
        <w:rPr>
          <w:rStyle w:val="font171"/>
        </w:rPr>
      </w:pPr>
    </w:p>
    <w:p w14:paraId="762C1385" w14:textId="1A6EBEE4" w:rsidR="00B91E6A" w:rsidRDefault="00B91E6A" w:rsidP="00F906CB">
      <w:pPr>
        <w:ind w:firstLine="567"/>
        <w:jc w:val="both"/>
        <w:rPr>
          <w:rStyle w:val="font171"/>
        </w:rPr>
      </w:pPr>
      <w:r w:rsidRPr="00F906CB">
        <w:rPr>
          <w:rStyle w:val="font171"/>
        </w:rPr>
        <w:t>2. Організаційні заходи впровадження регуляторного заходу в дію.</w:t>
      </w:r>
    </w:p>
    <w:p w14:paraId="13F5CA35" w14:textId="77777777" w:rsidR="00B91E6A" w:rsidRPr="00F906CB" w:rsidRDefault="00B91E6A" w:rsidP="00F906CB">
      <w:pPr>
        <w:ind w:firstLine="567"/>
        <w:jc w:val="both"/>
        <w:rPr>
          <w:sz w:val="28"/>
          <w:szCs w:val="28"/>
        </w:rPr>
      </w:pPr>
      <w:r w:rsidRPr="00F906CB">
        <w:rPr>
          <w:rStyle w:val="font171"/>
        </w:rPr>
        <w:t>Для в</w:t>
      </w:r>
      <w:r w:rsidR="00E20DDE">
        <w:rPr>
          <w:rStyle w:val="font171"/>
        </w:rPr>
        <w:t>провадження проє</w:t>
      </w:r>
      <w:r w:rsidR="00710A92" w:rsidRPr="00F906CB">
        <w:rPr>
          <w:rStyle w:val="font171"/>
        </w:rPr>
        <w:t>кт</w:t>
      </w:r>
      <w:r w:rsidR="000412AC" w:rsidRPr="00F906CB">
        <w:rPr>
          <w:rStyle w:val="font171"/>
        </w:rPr>
        <w:t>у наказу</w:t>
      </w:r>
      <w:r w:rsidRPr="00F906CB">
        <w:rPr>
          <w:rStyle w:val="font171"/>
        </w:rPr>
        <w:t xml:space="preserve"> необхідно забезпечити інформування громадськості про вимоги регуляторного акта шляхом його оприлюднення в засобах масової інформації та на офіційному </w:t>
      </w:r>
      <w:proofErr w:type="spellStart"/>
      <w:r w:rsidRPr="00F906CB">
        <w:rPr>
          <w:rStyle w:val="font171"/>
        </w:rPr>
        <w:t>вебсайті</w:t>
      </w:r>
      <w:proofErr w:type="spellEnd"/>
      <w:r w:rsidRPr="00F906CB">
        <w:rPr>
          <w:rStyle w:val="font171"/>
        </w:rPr>
        <w:t xml:space="preserve"> Міністерства фінансів України.</w:t>
      </w:r>
    </w:p>
    <w:p w14:paraId="5C2EEDCF" w14:textId="77777777" w:rsidR="00B91E6A" w:rsidRDefault="00B91E6A" w:rsidP="00F906CB">
      <w:pPr>
        <w:ind w:firstLine="567"/>
        <w:jc w:val="both"/>
        <w:rPr>
          <w:rStyle w:val="font171"/>
        </w:rPr>
      </w:pPr>
      <w:r w:rsidRPr="00F906CB">
        <w:rPr>
          <w:rStyle w:val="font171"/>
        </w:rPr>
        <w:t>Можлива шкода у разі недосягнення мети регуляторного акта не прогнозується.</w:t>
      </w:r>
    </w:p>
    <w:p w14:paraId="0F660095" w14:textId="06355DB2" w:rsidR="00843EDA" w:rsidRPr="00D35E0D" w:rsidRDefault="00843EDA" w:rsidP="00843EDA">
      <w:pPr>
        <w:ind w:firstLine="567"/>
        <w:jc w:val="both"/>
        <w:rPr>
          <w:rStyle w:val="font171"/>
        </w:rPr>
      </w:pPr>
      <w:r w:rsidRPr="006B3BE6">
        <w:rPr>
          <w:rStyle w:val="font171"/>
        </w:rPr>
        <w:t>Заходи, які необхідно здійснити суб’єктам господарювання</w:t>
      </w:r>
      <w:r w:rsidRPr="00A93C8B">
        <w:rPr>
          <w:rStyle w:val="font171"/>
        </w:rPr>
        <w:t xml:space="preserve">: </w:t>
      </w:r>
      <w:r w:rsidRPr="006B3BE6">
        <w:rPr>
          <w:rStyle w:val="font171"/>
        </w:rPr>
        <w:t xml:space="preserve">ознайомитися з новим регулюванням (пошук та опрацювання регуляторного акта в мережі </w:t>
      </w:r>
      <w:r w:rsidR="00E20DDE" w:rsidRPr="00E20DDE">
        <w:rPr>
          <w:sz w:val="28"/>
          <w:szCs w:val="28"/>
        </w:rPr>
        <w:t>«</w:t>
      </w:r>
      <w:r w:rsidRPr="006B3BE6">
        <w:rPr>
          <w:rStyle w:val="font171"/>
        </w:rPr>
        <w:t>Інтернет</w:t>
      </w:r>
      <w:r w:rsidR="00E20DDE" w:rsidRPr="00D35E0D">
        <w:rPr>
          <w:rStyle w:val="font171"/>
        </w:rPr>
        <w:t>»</w:t>
      </w:r>
      <w:r w:rsidRPr="00D35E0D">
        <w:rPr>
          <w:rStyle w:val="font171"/>
        </w:rPr>
        <w:t>)</w:t>
      </w:r>
      <w:r w:rsidR="00D61639" w:rsidRPr="00D35E0D">
        <w:rPr>
          <w:rStyle w:val="font171"/>
        </w:rPr>
        <w:t xml:space="preserve"> та здійснити організаційні заходи для виконання його вимог.</w:t>
      </w:r>
    </w:p>
    <w:p w14:paraId="57311A8F" w14:textId="77777777" w:rsidR="00E20DDE" w:rsidRDefault="00E20DDE" w:rsidP="00145120">
      <w:pPr>
        <w:ind w:firstLine="567"/>
        <w:jc w:val="both"/>
        <w:rPr>
          <w:rStyle w:val="font171"/>
          <w:b/>
          <w:bCs/>
        </w:rPr>
      </w:pPr>
    </w:p>
    <w:p w14:paraId="11D4D644" w14:textId="77777777" w:rsidR="00B91E6A" w:rsidRPr="005A13ED" w:rsidRDefault="00B91E6A" w:rsidP="00145120">
      <w:pPr>
        <w:ind w:firstLine="567"/>
        <w:jc w:val="both"/>
        <w:rPr>
          <w:rStyle w:val="font171"/>
          <w:sz w:val="24"/>
          <w:szCs w:val="24"/>
        </w:rPr>
      </w:pPr>
      <w:r w:rsidRPr="005A13ED">
        <w:rPr>
          <w:rStyle w:val="font171"/>
          <w:b/>
          <w:bCs/>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w:t>
      </w:r>
      <w:r w:rsidR="00145120" w:rsidRPr="005A13ED">
        <w:t xml:space="preserve"> </w:t>
      </w:r>
      <w:r w:rsidRPr="005A13ED">
        <w:rPr>
          <w:rStyle w:val="font171"/>
          <w:b/>
          <w:bCs/>
        </w:rPr>
        <w:t>або виконувати ці вимоги</w:t>
      </w:r>
    </w:p>
    <w:p w14:paraId="2D2C9AEA" w14:textId="77777777" w:rsidR="006F763F" w:rsidRDefault="006F763F" w:rsidP="00843EDA">
      <w:pPr>
        <w:ind w:firstLine="567"/>
        <w:jc w:val="both"/>
        <w:rPr>
          <w:rStyle w:val="font171"/>
        </w:rPr>
      </w:pPr>
    </w:p>
    <w:p w14:paraId="233FBCEE" w14:textId="5ED5BF51" w:rsidR="006F763F" w:rsidRPr="006F763F" w:rsidRDefault="006F763F" w:rsidP="006F763F">
      <w:pPr>
        <w:widowControl w:val="0"/>
        <w:ind w:firstLine="567"/>
        <w:jc w:val="both"/>
        <w:outlineLvl w:val="2"/>
        <w:rPr>
          <w:rFonts w:eastAsia="Times New Roman"/>
          <w:bCs/>
          <w:sz w:val="28"/>
          <w:szCs w:val="28"/>
          <w:lang w:eastAsia="ru-RU"/>
        </w:rPr>
      </w:pPr>
      <w:r w:rsidRPr="006F763F">
        <w:rPr>
          <w:rFonts w:eastAsia="Times New Roman"/>
          <w:bCs/>
          <w:sz w:val="28"/>
          <w:szCs w:val="28"/>
          <w:lang w:eastAsia="ru-RU"/>
        </w:rPr>
        <w:t xml:space="preserve">Для впровадження та виконання вимог регуляторного акта громадяни не нестимуть додаткових витрат, </w:t>
      </w:r>
      <w:r w:rsidR="00CF1605">
        <w:rPr>
          <w:rFonts w:eastAsia="Times New Roman"/>
          <w:bCs/>
          <w:sz w:val="28"/>
          <w:szCs w:val="28"/>
          <w:lang w:eastAsia="ru-RU"/>
        </w:rPr>
        <w:t xml:space="preserve">оскільки положення регуляторного акта </w:t>
      </w:r>
      <w:r w:rsidR="00CF1605" w:rsidRPr="008A4CB0">
        <w:rPr>
          <w:rFonts w:eastAsia="Times New Roman"/>
          <w:bCs/>
          <w:sz w:val="28"/>
          <w:szCs w:val="28"/>
          <w:lang w:eastAsia="ru-RU"/>
        </w:rPr>
        <w:t>не поширюються на сферу діяльності громадян,</w:t>
      </w:r>
      <w:r w:rsidR="00CF1605" w:rsidRPr="006F763F">
        <w:rPr>
          <w:rFonts w:eastAsia="Times New Roman"/>
          <w:bCs/>
          <w:sz w:val="28"/>
          <w:szCs w:val="28"/>
          <w:lang w:eastAsia="ru-RU"/>
        </w:rPr>
        <w:t xml:space="preserve"> </w:t>
      </w:r>
      <w:r w:rsidRPr="006F763F">
        <w:rPr>
          <w:rFonts w:eastAsia="Times New Roman"/>
          <w:bCs/>
          <w:sz w:val="28"/>
          <w:szCs w:val="28"/>
          <w:lang w:eastAsia="ru-RU"/>
        </w:rPr>
        <w:t>а суб’єкти господарювання понесуть витрати</w:t>
      </w:r>
      <w:r w:rsidR="00030808">
        <w:rPr>
          <w:rFonts w:eastAsia="Times New Roman"/>
          <w:bCs/>
          <w:sz w:val="28"/>
          <w:szCs w:val="28"/>
          <w:lang w:eastAsia="ru-RU"/>
        </w:rPr>
        <w:t>, пов’язані</w:t>
      </w:r>
      <w:r>
        <w:rPr>
          <w:rFonts w:eastAsia="Times New Roman"/>
          <w:bCs/>
          <w:sz w:val="28"/>
          <w:szCs w:val="28"/>
          <w:lang w:eastAsia="ru-RU"/>
        </w:rPr>
        <w:t xml:space="preserve"> з</w:t>
      </w:r>
      <w:r w:rsidRPr="006F763F">
        <w:rPr>
          <w:rFonts w:eastAsia="Times New Roman"/>
          <w:bCs/>
          <w:sz w:val="28"/>
          <w:szCs w:val="28"/>
          <w:lang w:eastAsia="ru-RU"/>
        </w:rPr>
        <w:t xml:space="preserve"> ознайомленням </w:t>
      </w:r>
      <w:r>
        <w:rPr>
          <w:rFonts w:eastAsia="Times New Roman"/>
          <w:bCs/>
          <w:sz w:val="28"/>
          <w:szCs w:val="28"/>
          <w:lang w:eastAsia="ru-RU"/>
        </w:rPr>
        <w:t xml:space="preserve">з положеннями </w:t>
      </w:r>
      <w:r w:rsidRPr="006F763F">
        <w:rPr>
          <w:rFonts w:eastAsia="Times New Roman"/>
          <w:bCs/>
          <w:sz w:val="28"/>
          <w:szCs w:val="28"/>
          <w:lang w:eastAsia="ru-RU"/>
        </w:rPr>
        <w:t xml:space="preserve">регуляторного акта, </w:t>
      </w:r>
      <w:r w:rsidR="003E4525" w:rsidRPr="003E4525">
        <w:rPr>
          <w:rFonts w:eastAsia="Times New Roman"/>
          <w:bCs/>
          <w:sz w:val="28"/>
          <w:szCs w:val="28"/>
          <w:lang w:eastAsia="ru-RU"/>
        </w:rPr>
        <w:t xml:space="preserve">підготовкою заявки на отримання декларантом тарифної квоти та додаткових документів для отримання преференційного </w:t>
      </w:r>
      <w:r w:rsidR="003E4525">
        <w:rPr>
          <w:rFonts w:eastAsia="Times New Roman"/>
          <w:bCs/>
          <w:sz w:val="28"/>
          <w:szCs w:val="28"/>
          <w:lang w:eastAsia="ru-RU"/>
        </w:rPr>
        <w:t xml:space="preserve">документу </w:t>
      </w:r>
      <w:r w:rsidRPr="006F763F">
        <w:rPr>
          <w:rFonts w:eastAsia="Times New Roman"/>
          <w:bCs/>
          <w:sz w:val="28"/>
          <w:szCs w:val="28"/>
          <w:lang w:eastAsia="ru-RU"/>
        </w:rPr>
        <w:t xml:space="preserve">– </w:t>
      </w:r>
      <w:r w:rsidR="003E4525">
        <w:rPr>
          <w:rFonts w:eastAsia="Times New Roman"/>
          <w:bCs/>
          <w:sz w:val="28"/>
          <w:szCs w:val="28"/>
          <w:lang w:eastAsia="ru-RU"/>
        </w:rPr>
        <w:t>52</w:t>
      </w:r>
      <w:r w:rsidRPr="006F763F">
        <w:rPr>
          <w:rFonts w:eastAsia="Times New Roman"/>
          <w:bCs/>
          <w:sz w:val="28"/>
          <w:szCs w:val="28"/>
          <w:lang w:eastAsia="ru-RU"/>
        </w:rPr>
        <w:t xml:space="preserve"> грн за 1</w:t>
      </w:r>
      <w:r w:rsidR="003E4525">
        <w:rPr>
          <w:rFonts w:eastAsia="Times New Roman"/>
          <w:bCs/>
          <w:sz w:val="28"/>
          <w:szCs w:val="28"/>
          <w:lang w:eastAsia="ru-RU"/>
        </w:rPr>
        <w:t> </w:t>
      </w:r>
      <w:r w:rsidRPr="006F763F">
        <w:rPr>
          <w:rFonts w:eastAsia="Times New Roman"/>
          <w:bCs/>
          <w:sz w:val="28"/>
          <w:szCs w:val="28"/>
          <w:lang w:eastAsia="ru-RU"/>
        </w:rPr>
        <w:t xml:space="preserve"> год (з урахуванням середньої погодинної заробітної плати на 202</w:t>
      </w:r>
      <w:r w:rsidR="001A0CAE">
        <w:rPr>
          <w:rFonts w:eastAsia="Times New Roman"/>
          <w:bCs/>
          <w:sz w:val="28"/>
          <w:szCs w:val="28"/>
          <w:lang w:eastAsia="ru-RU"/>
        </w:rPr>
        <w:t>6</w:t>
      </w:r>
      <w:r w:rsidRPr="006F763F">
        <w:rPr>
          <w:rFonts w:eastAsia="Times New Roman"/>
          <w:bCs/>
          <w:sz w:val="28"/>
          <w:szCs w:val="28"/>
          <w:lang w:eastAsia="ru-RU"/>
        </w:rPr>
        <w:t xml:space="preserve"> рік) </w:t>
      </w:r>
      <w:r w:rsidR="003E4525">
        <w:rPr>
          <w:rFonts w:eastAsia="Times New Roman"/>
          <w:bCs/>
          <w:sz w:val="28"/>
          <w:szCs w:val="28"/>
          <w:lang w:eastAsia="ru-RU"/>
        </w:rPr>
        <w:t xml:space="preserve">загалом </w:t>
      </w:r>
      <w:r w:rsidR="003E4525">
        <w:rPr>
          <w:rFonts w:eastAsia="Times New Roman"/>
          <w:sz w:val="28"/>
          <w:szCs w:val="28"/>
          <w:lang w:eastAsia="ru-RU"/>
        </w:rPr>
        <w:t>341,1</w:t>
      </w:r>
      <w:r w:rsidR="003E4525">
        <w:rPr>
          <w:rFonts w:eastAsia="Times New Roman"/>
          <w:lang w:eastAsia="ru-RU"/>
        </w:rPr>
        <w:t xml:space="preserve"> </w:t>
      </w:r>
      <w:r w:rsidR="003E4525" w:rsidRPr="007C34EF">
        <w:rPr>
          <w:rFonts w:eastAsia="Times New Roman"/>
          <w:bCs/>
          <w:sz w:val="28"/>
          <w:szCs w:val="28"/>
          <w:lang w:eastAsia="ru-RU"/>
        </w:rPr>
        <w:t>грн</w:t>
      </w:r>
      <w:r w:rsidR="003E4525" w:rsidRPr="007C34EF">
        <w:rPr>
          <w:rStyle w:val="font171"/>
        </w:rPr>
        <w:t xml:space="preserve"> </w:t>
      </w:r>
      <w:r w:rsidR="003E4525">
        <w:rPr>
          <w:rStyle w:val="font171"/>
        </w:rPr>
        <w:t>за перший рік</w:t>
      </w:r>
      <w:r w:rsidR="003E4525">
        <w:rPr>
          <w:rFonts w:eastAsia="Times New Roman"/>
          <w:bCs/>
          <w:sz w:val="28"/>
          <w:szCs w:val="28"/>
          <w:lang w:eastAsia="ru-RU"/>
        </w:rPr>
        <w:t xml:space="preserve"> </w:t>
      </w:r>
      <w:r w:rsidR="00BF51C7">
        <w:rPr>
          <w:rFonts w:eastAsia="Times New Roman"/>
          <w:bCs/>
          <w:sz w:val="28"/>
          <w:szCs w:val="28"/>
          <w:lang w:eastAsia="ru-RU"/>
        </w:rPr>
        <w:t>кожним суб’єктом господарювання</w:t>
      </w:r>
      <w:r w:rsidR="00E70524">
        <w:rPr>
          <w:rFonts w:eastAsia="Times New Roman"/>
          <w:bCs/>
          <w:sz w:val="28"/>
          <w:szCs w:val="28"/>
          <w:lang w:eastAsia="ru-RU"/>
        </w:rPr>
        <w:t>,</w:t>
      </w:r>
      <w:r w:rsidR="003E4525">
        <w:rPr>
          <w:rFonts w:eastAsia="Times New Roman"/>
          <w:bCs/>
          <w:sz w:val="28"/>
          <w:szCs w:val="28"/>
          <w:lang w:eastAsia="ru-RU"/>
        </w:rPr>
        <w:t xml:space="preserve"> що</w:t>
      </w:r>
      <w:r w:rsidR="00CF1605">
        <w:rPr>
          <w:rFonts w:eastAsia="Times New Roman"/>
          <w:bCs/>
          <w:sz w:val="28"/>
          <w:szCs w:val="28"/>
          <w:lang w:eastAsia="ru-RU"/>
        </w:rPr>
        <w:t xml:space="preserve"> отриму</w:t>
      </w:r>
      <w:r w:rsidR="001A0CAE">
        <w:rPr>
          <w:rFonts w:eastAsia="Times New Roman"/>
          <w:bCs/>
          <w:sz w:val="28"/>
          <w:szCs w:val="28"/>
          <w:lang w:eastAsia="ru-RU"/>
        </w:rPr>
        <w:t>ватим</w:t>
      </w:r>
      <w:r w:rsidR="003E4525">
        <w:rPr>
          <w:rFonts w:eastAsia="Times New Roman"/>
          <w:bCs/>
          <w:sz w:val="28"/>
          <w:szCs w:val="28"/>
          <w:lang w:eastAsia="ru-RU"/>
        </w:rPr>
        <w:t>е</w:t>
      </w:r>
      <w:r w:rsidR="00CF1605">
        <w:rPr>
          <w:rFonts w:eastAsia="Times New Roman"/>
          <w:bCs/>
          <w:sz w:val="28"/>
          <w:szCs w:val="28"/>
          <w:lang w:eastAsia="ru-RU"/>
        </w:rPr>
        <w:t xml:space="preserve"> </w:t>
      </w:r>
      <w:r w:rsidR="001A0CAE">
        <w:rPr>
          <w:rFonts w:eastAsia="Times New Roman"/>
          <w:bCs/>
          <w:sz w:val="28"/>
          <w:szCs w:val="28"/>
          <w:lang w:eastAsia="ru-RU"/>
        </w:rPr>
        <w:t>тарифну квоту при експорті</w:t>
      </w:r>
      <w:r w:rsidR="009D71F0" w:rsidRPr="009D71F0">
        <w:rPr>
          <w:rFonts w:eastAsia="Times New Roman"/>
          <w:bCs/>
          <w:sz w:val="28"/>
          <w:szCs w:val="28"/>
          <w:lang w:eastAsia="ru-RU"/>
        </w:rPr>
        <w:t>.</w:t>
      </w:r>
    </w:p>
    <w:p w14:paraId="5F3FB998" w14:textId="4DF64139" w:rsidR="006F763F" w:rsidRPr="00D35E0D" w:rsidRDefault="006F763F" w:rsidP="006F763F">
      <w:pPr>
        <w:widowControl w:val="0"/>
        <w:ind w:firstLine="567"/>
        <w:jc w:val="both"/>
        <w:outlineLvl w:val="2"/>
        <w:rPr>
          <w:rFonts w:eastAsia="Times New Roman"/>
          <w:bCs/>
          <w:sz w:val="28"/>
          <w:szCs w:val="28"/>
          <w:lang w:eastAsia="ru-RU"/>
        </w:rPr>
      </w:pPr>
      <w:r w:rsidRPr="006F763F">
        <w:rPr>
          <w:rFonts w:eastAsia="Times New Roman"/>
          <w:bCs/>
          <w:sz w:val="28"/>
          <w:szCs w:val="28"/>
          <w:lang w:eastAsia="ru-RU"/>
        </w:rPr>
        <w:t>Загальна сума фінансових витрат з боку державних органів</w:t>
      </w:r>
      <w:r w:rsidR="00BB4093" w:rsidRPr="00BB4093">
        <w:rPr>
          <w:rFonts w:eastAsia="Times New Roman"/>
          <w:bCs/>
          <w:sz w:val="28"/>
          <w:szCs w:val="28"/>
          <w:lang w:val="ru-RU" w:eastAsia="ru-RU"/>
        </w:rPr>
        <w:t xml:space="preserve"> (</w:t>
      </w:r>
      <w:r w:rsidR="00BB4093" w:rsidRPr="00BB4093">
        <w:rPr>
          <w:rFonts w:eastAsia="Times New Roman"/>
          <w:bCs/>
          <w:sz w:val="28"/>
          <w:szCs w:val="28"/>
          <w:lang w:eastAsia="ru-RU"/>
        </w:rPr>
        <w:t>митні органи</w:t>
      </w:r>
      <w:r w:rsidR="00BB4093" w:rsidRPr="00BB4093">
        <w:rPr>
          <w:rFonts w:eastAsia="Times New Roman"/>
          <w:bCs/>
          <w:sz w:val="28"/>
          <w:szCs w:val="28"/>
          <w:lang w:val="ru-RU" w:eastAsia="ru-RU"/>
        </w:rPr>
        <w:t>)</w:t>
      </w:r>
      <w:r w:rsidRPr="006F763F">
        <w:rPr>
          <w:rFonts w:eastAsia="Times New Roman"/>
          <w:bCs/>
          <w:sz w:val="28"/>
          <w:szCs w:val="28"/>
          <w:lang w:eastAsia="ru-RU"/>
        </w:rPr>
        <w:t>, необхідна для реалізації регул</w:t>
      </w:r>
      <w:r w:rsidR="00003D3F">
        <w:rPr>
          <w:rFonts w:eastAsia="Times New Roman"/>
          <w:bCs/>
          <w:sz w:val="28"/>
          <w:szCs w:val="28"/>
          <w:lang w:eastAsia="ru-RU"/>
        </w:rPr>
        <w:t xml:space="preserve">яторного акта, </w:t>
      </w:r>
      <w:r w:rsidR="00EE2428">
        <w:rPr>
          <w:rFonts w:eastAsia="Times New Roman"/>
          <w:bCs/>
          <w:sz w:val="28"/>
          <w:szCs w:val="28"/>
          <w:lang w:eastAsia="ru-RU"/>
        </w:rPr>
        <w:t xml:space="preserve">на рік </w:t>
      </w:r>
      <w:r w:rsidR="00003D3F">
        <w:rPr>
          <w:rFonts w:eastAsia="Times New Roman"/>
          <w:bCs/>
          <w:sz w:val="28"/>
          <w:szCs w:val="28"/>
          <w:lang w:eastAsia="ru-RU"/>
        </w:rPr>
        <w:t xml:space="preserve">становить </w:t>
      </w:r>
      <w:r w:rsidR="003E4525">
        <w:rPr>
          <w:rFonts w:eastAsia="Times New Roman"/>
          <w:bCs/>
          <w:sz w:val="28"/>
          <w:szCs w:val="28"/>
          <w:lang w:eastAsia="ru-RU"/>
        </w:rPr>
        <w:t>24 024</w:t>
      </w:r>
      <w:r w:rsidR="005801E9" w:rsidRPr="005801E9">
        <w:rPr>
          <w:rFonts w:eastAsia="Times New Roman"/>
          <w:bCs/>
          <w:sz w:val="28"/>
          <w:szCs w:val="28"/>
          <w:lang w:eastAsia="ru-RU"/>
        </w:rPr>
        <w:t xml:space="preserve"> грн</w:t>
      </w:r>
      <w:r w:rsidR="00B06F8B">
        <w:rPr>
          <w:rFonts w:eastAsia="Times New Roman"/>
          <w:bCs/>
          <w:sz w:val="28"/>
          <w:szCs w:val="28"/>
          <w:lang w:eastAsia="ru-RU"/>
        </w:rPr>
        <w:t xml:space="preserve"> </w:t>
      </w:r>
      <w:r w:rsidRPr="006F763F">
        <w:rPr>
          <w:rFonts w:eastAsia="Times New Roman"/>
          <w:bCs/>
          <w:sz w:val="28"/>
          <w:szCs w:val="28"/>
          <w:lang w:eastAsia="ru-RU"/>
        </w:rPr>
        <w:t>(з</w:t>
      </w:r>
      <w:r w:rsidR="00E567C4">
        <w:rPr>
          <w:rFonts w:eastAsia="Times New Roman"/>
          <w:bCs/>
          <w:sz w:val="28"/>
          <w:szCs w:val="28"/>
          <w:lang w:eastAsia="ru-RU"/>
        </w:rPr>
        <w:t> </w:t>
      </w:r>
      <w:r w:rsidRPr="006F763F">
        <w:rPr>
          <w:rFonts w:eastAsia="Times New Roman"/>
          <w:bCs/>
          <w:sz w:val="28"/>
          <w:szCs w:val="28"/>
          <w:lang w:eastAsia="ru-RU"/>
        </w:rPr>
        <w:t xml:space="preserve"> </w:t>
      </w:r>
      <w:r w:rsidRPr="00D35E0D">
        <w:rPr>
          <w:rFonts w:eastAsia="Times New Roman"/>
          <w:bCs/>
          <w:sz w:val="28"/>
          <w:szCs w:val="28"/>
          <w:lang w:eastAsia="ru-RU"/>
        </w:rPr>
        <w:t>урахуванн</w:t>
      </w:r>
      <w:r w:rsidR="00003D3F" w:rsidRPr="00D35E0D">
        <w:rPr>
          <w:rFonts w:eastAsia="Times New Roman"/>
          <w:bCs/>
          <w:sz w:val="28"/>
          <w:szCs w:val="28"/>
          <w:lang w:eastAsia="ru-RU"/>
        </w:rPr>
        <w:t xml:space="preserve">ям часу на проведення митними органами консультацій за зверненнями суб’єктів господарювання з питань </w:t>
      </w:r>
      <w:r w:rsidR="00D0640D" w:rsidRPr="00D0640D">
        <w:rPr>
          <w:rFonts w:eastAsia="Times New Roman"/>
          <w:bCs/>
          <w:sz w:val="28"/>
          <w:szCs w:val="28"/>
          <w:lang w:eastAsia="ru-RU"/>
        </w:rPr>
        <w:t xml:space="preserve">отримання тарифної квоти, застосування преференційних правил походження та надання преференційного </w:t>
      </w:r>
      <w:r w:rsidR="00D0640D" w:rsidRPr="00D0640D">
        <w:rPr>
          <w:rFonts w:eastAsia="Times New Roman"/>
          <w:bCs/>
          <w:sz w:val="28"/>
          <w:szCs w:val="28"/>
          <w:lang w:eastAsia="ru-RU"/>
        </w:rPr>
        <w:lastRenderedPageBreak/>
        <w:t>документа</w:t>
      </w:r>
      <w:r w:rsidRPr="00D35E0D">
        <w:rPr>
          <w:rFonts w:eastAsia="Times New Roman"/>
          <w:bCs/>
          <w:sz w:val="28"/>
          <w:szCs w:val="28"/>
          <w:lang w:eastAsia="ru-RU"/>
        </w:rPr>
        <w:t xml:space="preserve">). </w:t>
      </w:r>
    </w:p>
    <w:p w14:paraId="2ABFF2D5" w14:textId="441DC9DC" w:rsidR="006F763F" w:rsidRPr="00D35E0D" w:rsidRDefault="00651B55" w:rsidP="006F763F">
      <w:pPr>
        <w:widowControl w:val="0"/>
        <w:ind w:firstLine="567"/>
        <w:jc w:val="both"/>
        <w:outlineLvl w:val="2"/>
        <w:rPr>
          <w:rFonts w:eastAsia="Times New Roman"/>
          <w:bCs/>
          <w:sz w:val="28"/>
          <w:szCs w:val="28"/>
          <w:lang w:eastAsia="ru-RU"/>
        </w:rPr>
      </w:pPr>
      <w:r w:rsidRPr="00D35E0D">
        <w:rPr>
          <w:rFonts w:eastAsia="Times New Roman"/>
          <w:bCs/>
          <w:sz w:val="28"/>
          <w:szCs w:val="28"/>
          <w:lang w:eastAsia="ru-RU"/>
        </w:rPr>
        <w:t>В</w:t>
      </w:r>
      <w:r w:rsidR="006F763F" w:rsidRPr="00D35E0D">
        <w:rPr>
          <w:rFonts w:eastAsia="Times New Roman"/>
          <w:bCs/>
          <w:sz w:val="28"/>
          <w:szCs w:val="28"/>
          <w:lang w:eastAsia="ru-RU"/>
        </w:rPr>
        <w:t xml:space="preserve">иконання вимог </w:t>
      </w:r>
      <w:r w:rsidRPr="00D35E0D">
        <w:rPr>
          <w:rFonts w:eastAsia="Times New Roman"/>
          <w:bCs/>
          <w:sz w:val="28"/>
          <w:szCs w:val="28"/>
          <w:lang w:eastAsia="ru-RU"/>
        </w:rPr>
        <w:t xml:space="preserve">акта </w:t>
      </w:r>
      <w:r w:rsidR="006F763F" w:rsidRPr="00D35E0D">
        <w:rPr>
          <w:rFonts w:eastAsia="Times New Roman"/>
          <w:bCs/>
          <w:sz w:val="28"/>
          <w:szCs w:val="28"/>
          <w:lang w:eastAsia="ru-RU"/>
        </w:rPr>
        <w:t>буде забезпечено існуючими у структурі митних органів підрозділами та здійснюватиметься в межах затверджених бюджетних асигнувань на утримання митних органів.</w:t>
      </w:r>
    </w:p>
    <w:p w14:paraId="20D39D76" w14:textId="37822986" w:rsidR="00843EDA" w:rsidRPr="00D35E0D" w:rsidRDefault="00843EDA" w:rsidP="00843EDA">
      <w:pPr>
        <w:ind w:firstLine="567"/>
        <w:jc w:val="both"/>
        <w:rPr>
          <w:rStyle w:val="font171"/>
        </w:rPr>
      </w:pPr>
      <w:r w:rsidRPr="00D35E0D">
        <w:rPr>
          <w:rStyle w:val="font171"/>
        </w:rPr>
        <w:t xml:space="preserve">Розрахунок витрат, які будуть виникати внаслідок дії регуляторного акта, одного суб’єкта господарювання великого та середнього підприємництва наведено у додатку </w:t>
      </w:r>
      <w:r w:rsidR="00183EBA">
        <w:rPr>
          <w:rStyle w:val="font171"/>
        </w:rPr>
        <w:t>1</w:t>
      </w:r>
      <w:r w:rsidR="00651B55" w:rsidRPr="00D35E0D">
        <w:rPr>
          <w:rStyle w:val="font171"/>
        </w:rPr>
        <w:t xml:space="preserve"> до АРВ</w:t>
      </w:r>
      <w:r w:rsidRPr="00D35E0D">
        <w:rPr>
          <w:rStyle w:val="font171"/>
        </w:rPr>
        <w:t>.</w:t>
      </w:r>
    </w:p>
    <w:p w14:paraId="714C87AA" w14:textId="2FD7C408" w:rsidR="00FD56D5" w:rsidRPr="00D35E0D" w:rsidRDefault="00843EDA" w:rsidP="00F11C27">
      <w:pPr>
        <w:ind w:firstLine="567"/>
        <w:jc w:val="both"/>
        <w:rPr>
          <w:sz w:val="28"/>
          <w:szCs w:val="28"/>
        </w:rPr>
      </w:pPr>
      <w:r w:rsidRPr="00D35E0D">
        <w:rPr>
          <w:rStyle w:val="font171"/>
        </w:rPr>
        <w:t xml:space="preserve">Оскільки питома вага </w:t>
      </w:r>
      <w:r w:rsidR="00D053EC" w:rsidRPr="00D35E0D">
        <w:rPr>
          <w:rStyle w:val="font171"/>
        </w:rPr>
        <w:t>суб’єктів малого підприємництва</w:t>
      </w:r>
      <w:r w:rsidRPr="00D35E0D">
        <w:rPr>
          <w:rStyle w:val="font171"/>
        </w:rPr>
        <w:t xml:space="preserve"> (малих та мікропідприємств разом) у загальній кількості суб’єктів господарювання, на яких поширюється регулювання, перевищує 10 відсотків, здійснено розрахунок витрат на запровадження державного регулювання для су</w:t>
      </w:r>
      <w:r w:rsidR="00E20DDE" w:rsidRPr="00D35E0D">
        <w:rPr>
          <w:rStyle w:val="font171"/>
        </w:rPr>
        <w:t>б’єктів малого підприємництва (т</w:t>
      </w:r>
      <w:r w:rsidRPr="00D35E0D">
        <w:rPr>
          <w:rStyle w:val="font171"/>
        </w:rPr>
        <w:t>ест малого під</w:t>
      </w:r>
      <w:r w:rsidR="00506DA3" w:rsidRPr="00D35E0D">
        <w:rPr>
          <w:rStyle w:val="font171"/>
        </w:rPr>
        <w:t xml:space="preserve">приємництва наведено у додатку </w:t>
      </w:r>
      <w:r w:rsidR="00183EBA">
        <w:rPr>
          <w:rStyle w:val="font171"/>
        </w:rPr>
        <w:t>2</w:t>
      </w:r>
      <w:r w:rsidR="00651B55" w:rsidRPr="00D35E0D">
        <w:rPr>
          <w:rStyle w:val="font171"/>
        </w:rPr>
        <w:t xml:space="preserve"> до АРВ</w:t>
      </w:r>
      <w:r w:rsidRPr="00D35E0D">
        <w:rPr>
          <w:rStyle w:val="font171"/>
        </w:rPr>
        <w:t>).</w:t>
      </w:r>
    </w:p>
    <w:p w14:paraId="1FFD6FC2" w14:textId="77777777" w:rsidR="00FC4BB1" w:rsidRPr="00EF3062" w:rsidRDefault="00FC4BB1" w:rsidP="00F906CB">
      <w:pPr>
        <w:ind w:firstLine="567"/>
        <w:jc w:val="both"/>
        <w:rPr>
          <w:rStyle w:val="font171"/>
          <w:b/>
          <w:bCs/>
        </w:rPr>
      </w:pPr>
    </w:p>
    <w:p w14:paraId="58B527A3" w14:textId="77777777" w:rsidR="00B91E6A" w:rsidRDefault="00773E23" w:rsidP="00F906CB">
      <w:pPr>
        <w:ind w:firstLine="567"/>
        <w:jc w:val="both"/>
      </w:pPr>
      <w:r>
        <w:rPr>
          <w:rStyle w:val="font171"/>
          <w:b/>
          <w:bCs/>
        </w:rPr>
        <w:t xml:space="preserve">VII. </w:t>
      </w:r>
      <w:proofErr w:type="spellStart"/>
      <w:r>
        <w:rPr>
          <w:rStyle w:val="font171"/>
          <w:b/>
          <w:bCs/>
        </w:rPr>
        <w:t>Обгрунтування</w:t>
      </w:r>
      <w:proofErr w:type="spellEnd"/>
      <w:r w:rsidR="00B91E6A">
        <w:rPr>
          <w:rStyle w:val="font171"/>
          <w:b/>
          <w:bCs/>
        </w:rPr>
        <w:t xml:space="preserve"> запропонованого строку дії регуляторного акта</w:t>
      </w:r>
    </w:p>
    <w:p w14:paraId="38BE80F7" w14:textId="77777777" w:rsidR="00FC4BB1" w:rsidRDefault="00FC4BB1" w:rsidP="00F906CB">
      <w:pPr>
        <w:ind w:firstLine="567"/>
        <w:jc w:val="both"/>
        <w:rPr>
          <w:rStyle w:val="font171"/>
        </w:rPr>
      </w:pPr>
    </w:p>
    <w:p w14:paraId="7F665B05" w14:textId="77777777" w:rsidR="00B91E6A" w:rsidRDefault="00B91E6A" w:rsidP="00F906CB">
      <w:pPr>
        <w:ind w:firstLine="567"/>
        <w:jc w:val="both"/>
      </w:pPr>
      <w:r>
        <w:rPr>
          <w:rStyle w:val="font171"/>
        </w:rPr>
        <w:t>Строк дії регуляторного акта є необмеженим, оскільки акти законодавства, на виконання яких розроблено акт, мають необмежений строк дії.</w:t>
      </w:r>
    </w:p>
    <w:p w14:paraId="14BEC01C" w14:textId="77777777" w:rsidR="00B91E6A" w:rsidRDefault="00B91E6A" w:rsidP="00F906CB">
      <w:pPr>
        <w:ind w:firstLine="567"/>
        <w:jc w:val="both"/>
        <w:rPr>
          <w:rStyle w:val="font171"/>
        </w:rPr>
      </w:pPr>
      <w:r>
        <w:rPr>
          <w:rStyle w:val="font171"/>
        </w:rPr>
        <w:t>Зміна строку дії регуляторного акта можлива в разі зміни положень актів законодавства, на виконання яких розроблено регуляторний акт.</w:t>
      </w:r>
    </w:p>
    <w:p w14:paraId="4BF644B7" w14:textId="4B642E73" w:rsidR="00471CEC" w:rsidRDefault="00395CB3" w:rsidP="00F906CB">
      <w:pPr>
        <w:ind w:firstLine="567"/>
        <w:jc w:val="both"/>
        <w:rPr>
          <w:rStyle w:val="font171"/>
        </w:rPr>
      </w:pPr>
      <w:r>
        <w:rPr>
          <w:rStyle w:val="font171"/>
        </w:rPr>
        <w:t>Термін набрання чинності регуляторного акта – відповідно до законодавства з дня його офіційного</w:t>
      </w:r>
      <w:r w:rsidR="00101E58">
        <w:rPr>
          <w:rStyle w:val="font171"/>
        </w:rPr>
        <w:t xml:space="preserve"> опублікування</w:t>
      </w:r>
      <w:r w:rsidR="00A7441D">
        <w:rPr>
          <w:rStyle w:val="font171"/>
        </w:rPr>
        <w:t>.</w:t>
      </w:r>
    </w:p>
    <w:p w14:paraId="74DCBE39" w14:textId="77777777" w:rsidR="00FD56D5" w:rsidRPr="00EE34A6" w:rsidRDefault="00FD56D5" w:rsidP="00F906CB">
      <w:pPr>
        <w:jc w:val="both"/>
        <w:rPr>
          <w:lang w:val="ru-RU"/>
        </w:rPr>
      </w:pPr>
    </w:p>
    <w:p w14:paraId="537A788F" w14:textId="77777777" w:rsidR="00B91E6A" w:rsidRDefault="00B91E6A" w:rsidP="00F906CB">
      <w:pPr>
        <w:ind w:firstLine="567"/>
        <w:jc w:val="both"/>
        <w:rPr>
          <w:rStyle w:val="font171"/>
          <w:b/>
          <w:bCs/>
        </w:rPr>
      </w:pPr>
      <w:r>
        <w:rPr>
          <w:rStyle w:val="font171"/>
          <w:b/>
          <w:bCs/>
        </w:rPr>
        <w:t>VIII. Визначення показників результативності дії регуляторного акта</w:t>
      </w:r>
    </w:p>
    <w:p w14:paraId="1C6FD680" w14:textId="77777777" w:rsidR="00FD56D5" w:rsidRDefault="00FD56D5" w:rsidP="00F906CB">
      <w:pPr>
        <w:ind w:firstLine="567"/>
        <w:jc w:val="both"/>
        <w:rPr>
          <w:rStyle w:val="font171"/>
          <w:lang w:val="ru-RU"/>
        </w:rPr>
      </w:pPr>
    </w:p>
    <w:p w14:paraId="0984AA18" w14:textId="77777777" w:rsidR="00EB48B3" w:rsidRPr="00EB48B3" w:rsidRDefault="00EB48B3" w:rsidP="00EB48B3">
      <w:pPr>
        <w:ind w:firstLine="567"/>
        <w:jc w:val="both"/>
        <w:rPr>
          <w:rStyle w:val="font171"/>
        </w:rPr>
      </w:pPr>
      <w:r w:rsidRPr="00EB48B3">
        <w:rPr>
          <w:rStyle w:val="font171"/>
        </w:rPr>
        <w:t>Прогнозні значення показників резу</w:t>
      </w:r>
      <w:r w:rsidR="00506DA3">
        <w:rPr>
          <w:rStyle w:val="font171"/>
        </w:rPr>
        <w:t>льтативності регуляторного акта</w:t>
      </w:r>
      <w:r w:rsidRPr="00EB48B3">
        <w:rPr>
          <w:rStyle w:val="font171"/>
        </w:rPr>
        <w:t xml:space="preserve"> виражені у кількісній формі:</w:t>
      </w:r>
    </w:p>
    <w:p w14:paraId="417E1A09" w14:textId="612738FB" w:rsidR="00EB48B3" w:rsidRPr="00EB48B3" w:rsidRDefault="00EB48B3" w:rsidP="00EB48B3">
      <w:pPr>
        <w:ind w:firstLine="567"/>
        <w:jc w:val="both"/>
        <w:rPr>
          <w:rStyle w:val="font171"/>
        </w:rPr>
      </w:pPr>
      <w:r w:rsidRPr="00EB48B3">
        <w:rPr>
          <w:rStyle w:val="font171"/>
        </w:rPr>
        <w:t xml:space="preserve">кількість суб’єктів господарювання, на яких поширюватиметься дія акта – </w:t>
      </w:r>
      <w:r w:rsidR="00164EF9">
        <w:rPr>
          <w:rStyle w:val="font171"/>
        </w:rPr>
        <w:t>21</w:t>
      </w:r>
      <w:r w:rsidRPr="00EB48B3">
        <w:rPr>
          <w:rStyle w:val="font171"/>
        </w:rPr>
        <w:t xml:space="preserve"> осіб; </w:t>
      </w:r>
    </w:p>
    <w:p w14:paraId="1DB99168" w14:textId="1E2D90E4" w:rsidR="00EB48B3" w:rsidRPr="00EB48B3" w:rsidRDefault="00EB48B3" w:rsidP="00EB48B3">
      <w:pPr>
        <w:ind w:firstLine="567"/>
        <w:jc w:val="both"/>
        <w:rPr>
          <w:rStyle w:val="font171"/>
        </w:rPr>
      </w:pPr>
      <w:r w:rsidRPr="00EB48B3">
        <w:rPr>
          <w:rStyle w:val="font171"/>
        </w:rPr>
        <w:t xml:space="preserve">розмір коштів і час, що витрачатимуться суб’єктами господарювання, пов’язаними з виконанням вимог акта: </w:t>
      </w:r>
      <w:r w:rsidRPr="00D35E0D">
        <w:rPr>
          <w:rStyle w:val="font171"/>
        </w:rPr>
        <w:t xml:space="preserve">у </w:t>
      </w:r>
      <w:r w:rsidR="00FC4BB1">
        <w:rPr>
          <w:rStyle w:val="font171"/>
        </w:rPr>
        <w:t xml:space="preserve">грошовому еквіваленті – </w:t>
      </w:r>
      <w:r w:rsidR="00723DED">
        <w:rPr>
          <w:rStyle w:val="font171"/>
        </w:rPr>
        <w:t xml:space="preserve"> </w:t>
      </w:r>
      <w:r w:rsidR="008541D8" w:rsidRPr="008541D8">
        <w:rPr>
          <w:rStyle w:val="font171"/>
        </w:rPr>
        <w:t xml:space="preserve">7 163,1 грн </w:t>
      </w:r>
      <w:r w:rsidR="008541D8" w:rsidRPr="00D35E0D">
        <w:rPr>
          <w:rStyle w:val="font171"/>
        </w:rPr>
        <w:t>за перший рік</w:t>
      </w:r>
      <w:r w:rsidR="008541D8" w:rsidRPr="008541D8">
        <w:rPr>
          <w:rStyle w:val="font171"/>
        </w:rPr>
        <w:t xml:space="preserve">, </w:t>
      </w:r>
      <w:r w:rsidR="008541D8">
        <w:rPr>
          <w:rStyle w:val="font171"/>
        </w:rPr>
        <w:t>31 </w:t>
      </w:r>
      <w:r w:rsidR="008541D8" w:rsidRPr="008541D8">
        <w:rPr>
          <w:rStyle w:val="font171"/>
        </w:rPr>
        <w:t>447,5</w:t>
      </w:r>
      <w:r w:rsidR="008541D8">
        <w:rPr>
          <w:rStyle w:val="font171"/>
        </w:rPr>
        <w:t> грн</w:t>
      </w:r>
      <w:r w:rsidR="008541D8" w:rsidRPr="008541D8">
        <w:rPr>
          <w:rStyle w:val="font171"/>
        </w:rPr>
        <w:t xml:space="preserve">  за п’ять років грн</w:t>
      </w:r>
      <w:r w:rsidRPr="00EB48B3">
        <w:rPr>
          <w:rStyle w:val="font171"/>
        </w:rPr>
        <w:t>; у часовому</w:t>
      </w:r>
      <w:r w:rsidR="00E70524">
        <w:rPr>
          <w:rStyle w:val="font171"/>
        </w:rPr>
        <w:t xml:space="preserve"> </w:t>
      </w:r>
      <w:r w:rsidRPr="00EB48B3">
        <w:rPr>
          <w:rStyle w:val="font171"/>
        </w:rPr>
        <w:t xml:space="preserve">– </w:t>
      </w:r>
      <w:r w:rsidR="008541D8">
        <w:rPr>
          <w:rStyle w:val="font171"/>
        </w:rPr>
        <w:t>6</w:t>
      </w:r>
      <w:r w:rsidRPr="00EB48B3">
        <w:rPr>
          <w:rStyle w:val="font171"/>
        </w:rPr>
        <w:t xml:space="preserve"> год</w:t>
      </w:r>
      <w:r w:rsidR="00723DED">
        <w:rPr>
          <w:rStyle w:val="font171"/>
        </w:rPr>
        <w:t xml:space="preserve"> </w:t>
      </w:r>
      <w:r w:rsidR="00FC4BB1">
        <w:rPr>
          <w:rStyle w:val="font171"/>
        </w:rPr>
        <w:t>на одного суб’єкта господарювання</w:t>
      </w:r>
      <w:r w:rsidRPr="00EB48B3">
        <w:rPr>
          <w:rStyle w:val="font171"/>
        </w:rPr>
        <w:t>;</w:t>
      </w:r>
    </w:p>
    <w:p w14:paraId="730BF6DB" w14:textId="77777777" w:rsidR="00EB48B3" w:rsidRDefault="00EB48B3" w:rsidP="00506DA3">
      <w:pPr>
        <w:ind w:firstLine="567"/>
        <w:jc w:val="both"/>
        <w:rPr>
          <w:rStyle w:val="font171"/>
        </w:rPr>
      </w:pPr>
      <w:r w:rsidRPr="00EB48B3">
        <w:rPr>
          <w:rStyle w:val="font171"/>
        </w:rPr>
        <w:t xml:space="preserve">рівень поінформованості суб’єктів господарювання з основних положень проєкту регуляторного акта </w:t>
      </w:r>
      <w:r w:rsidR="00506DA3">
        <w:rPr>
          <w:rStyle w:val="font171"/>
        </w:rPr>
        <w:t xml:space="preserve">– 100 </w:t>
      </w:r>
      <w:proofErr w:type="spellStart"/>
      <w:r w:rsidR="00506DA3">
        <w:rPr>
          <w:rStyle w:val="font171"/>
        </w:rPr>
        <w:t>відс</w:t>
      </w:r>
      <w:proofErr w:type="spellEnd"/>
      <w:r w:rsidR="00506DA3">
        <w:rPr>
          <w:rStyle w:val="font171"/>
        </w:rPr>
        <w:t xml:space="preserve">. </w:t>
      </w:r>
      <w:r w:rsidRPr="00EB48B3">
        <w:rPr>
          <w:rStyle w:val="font171"/>
        </w:rPr>
        <w:t xml:space="preserve">(оприлюднений на офіційному </w:t>
      </w:r>
      <w:proofErr w:type="spellStart"/>
      <w:r w:rsidRPr="00EB48B3">
        <w:rPr>
          <w:rStyle w:val="font171"/>
        </w:rPr>
        <w:t>вебсайті</w:t>
      </w:r>
      <w:proofErr w:type="spellEnd"/>
      <w:r w:rsidRPr="00EB48B3">
        <w:rPr>
          <w:rStyle w:val="font171"/>
        </w:rPr>
        <w:t xml:space="preserve"> Міністерства фінансів України).</w:t>
      </w:r>
    </w:p>
    <w:p w14:paraId="2B01E201" w14:textId="3797985F" w:rsidR="002123EB" w:rsidRPr="00BC5838" w:rsidRDefault="00101E58" w:rsidP="00F9024C">
      <w:pPr>
        <w:ind w:firstLine="567"/>
        <w:jc w:val="both"/>
        <w:rPr>
          <w:rStyle w:val="font171"/>
        </w:rPr>
      </w:pPr>
      <w:r w:rsidRPr="00EC41A1">
        <w:rPr>
          <w:rStyle w:val="font171"/>
        </w:rPr>
        <w:t>Розмір надходжень до державного та місцевих бюджетів і державних цільових фондів, пов’язаних з дією акта – надходження не передбачаються,</w:t>
      </w:r>
      <w:r w:rsidRPr="00BF51C7">
        <w:rPr>
          <w:rStyle w:val="font171"/>
        </w:rPr>
        <w:t xml:space="preserve"> </w:t>
      </w:r>
      <w:r w:rsidR="0080274F">
        <w:rPr>
          <w:rStyle w:val="font171"/>
        </w:rPr>
        <w:t>надання тарифної квоти при експорті</w:t>
      </w:r>
      <w:r w:rsidR="005A2F24">
        <w:rPr>
          <w:rStyle w:val="font171"/>
        </w:rPr>
        <w:t xml:space="preserve"> </w:t>
      </w:r>
      <w:r w:rsidR="004F6258">
        <w:rPr>
          <w:rStyle w:val="font171"/>
        </w:rPr>
        <w:t>забезпечить</w:t>
      </w:r>
      <w:r w:rsidRPr="00BF51C7">
        <w:rPr>
          <w:rStyle w:val="font171"/>
        </w:rPr>
        <w:t xml:space="preserve"> право</w:t>
      </w:r>
      <w:r w:rsidR="004F6258">
        <w:rPr>
          <w:rStyle w:val="font171"/>
        </w:rPr>
        <w:t xml:space="preserve"> суб’єкта господарювання</w:t>
      </w:r>
      <w:r w:rsidR="00B3359C" w:rsidRPr="00BF51C7">
        <w:rPr>
          <w:rStyle w:val="font171"/>
        </w:rPr>
        <w:t xml:space="preserve"> на застосування пільги зі сплати вивізного мита.</w:t>
      </w:r>
      <w:r w:rsidR="00F525EC" w:rsidRPr="00BF51C7">
        <w:rPr>
          <w:rStyle w:val="font171"/>
        </w:rPr>
        <w:t xml:space="preserve"> </w:t>
      </w:r>
      <w:r w:rsidR="00A02146" w:rsidRPr="00BF51C7">
        <w:rPr>
          <w:rStyle w:val="font171"/>
        </w:rPr>
        <w:t xml:space="preserve">З урахуванням </w:t>
      </w:r>
      <w:r w:rsidR="00F9024C">
        <w:rPr>
          <w:rStyle w:val="font171"/>
        </w:rPr>
        <w:t xml:space="preserve">встановленого </w:t>
      </w:r>
      <w:r w:rsidR="00A02146" w:rsidRPr="00BF51C7">
        <w:rPr>
          <w:rStyle w:val="font171"/>
        </w:rPr>
        <w:t>обсяг</w:t>
      </w:r>
      <w:r w:rsidR="00F9024C">
        <w:rPr>
          <w:rStyle w:val="font171"/>
        </w:rPr>
        <w:t xml:space="preserve">у тарифної квоти, що складає 2000 </w:t>
      </w:r>
      <w:proofErr w:type="spellStart"/>
      <w:r w:rsidR="00F9024C">
        <w:rPr>
          <w:rStyle w:val="font171"/>
        </w:rPr>
        <w:t>тонн</w:t>
      </w:r>
      <w:proofErr w:type="spellEnd"/>
      <w:r w:rsidR="00F9024C">
        <w:rPr>
          <w:rStyle w:val="font171"/>
        </w:rPr>
        <w:t xml:space="preserve"> на товари,</w:t>
      </w:r>
      <w:r w:rsidR="00A02146" w:rsidRPr="00BF51C7">
        <w:rPr>
          <w:rStyle w:val="font171"/>
        </w:rPr>
        <w:t xml:space="preserve"> </w:t>
      </w:r>
      <w:r w:rsidR="00F9024C" w:rsidRPr="00F9024C">
        <w:rPr>
          <w:rStyle w:val="font171"/>
        </w:rPr>
        <w:t xml:space="preserve">зазначені у Додатку 2С «Вилучення до статті 2.15 «Експортні мита та збори, що мають еквівалентний ефект»» Угоди, </w:t>
      </w:r>
      <w:r w:rsidR="00F9024C">
        <w:rPr>
          <w:rStyle w:val="font171"/>
        </w:rPr>
        <w:t xml:space="preserve">втрати надходжень до бюджету від застосування пільги зі сплати вивізного мита орієнтовно становитимуть </w:t>
      </w:r>
      <w:r w:rsidR="00F9024C" w:rsidRPr="00F9024C">
        <w:rPr>
          <w:rStyle w:val="font171"/>
        </w:rPr>
        <w:t xml:space="preserve">4 млн грн </w:t>
      </w:r>
      <w:r w:rsidR="00F9024C">
        <w:rPr>
          <w:rStyle w:val="font171"/>
        </w:rPr>
        <w:t xml:space="preserve">на рік. </w:t>
      </w:r>
      <w:r w:rsidR="008E3386" w:rsidRPr="00BC5838">
        <w:rPr>
          <w:rStyle w:val="font171"/>
        </w:rPr>
        <w:t xml:space="preserve">В той </w:t>
      </w:r>
      <w:r w:rsidR="008E3386" w:rsidRPr="00BC5838">
        <w:rPr>
          <w:rStyle w:val="font171"/>
        </w:rPr>
        <w:lastRenderedPageBreak/>
        <w:t xml:space="preserve">же час </w:t>
      </w:r>
      <w:r w:rsidR="001A353D">
        <w:rPr>
          <w:rStyle w:val="font171"/>
        </w:rPr>
        <w:t>пільгові умови оподаткуван</w:t>
      </w:r>
      <w:r w:rsidR="00CE3524">
        <w:rPr>
          <w:rStyle w:val="font171"/>
        </w:rPr>
        <w:t xml:space="preserve">ня </w:t>
      </w:r>
      <w:r w:rsidR="002D2D54">
        <w:rPr>
          <w:rStyle w:val="font171"/>
        </w:rPr>
        <w:t>забезпечать</w:t>
      </w:r>
      <w:r w:rsidR="008E3386" w:rsidRPr="00BC5838">
        <w:rPr>
          <w:rStyle w:val="font171"/>
        </w:rPr>
        <w:t xml:space="preserve"> можливість </w:t>
      </w:r>
      <w:r w:rsidR="001A353D">
        <w:rPr>
          <w:rStyle w:val="font171"/>
        </w:rPr>
        <w:t xml:space="preserve">суб’єктам господарювання </w:t>
      </w:r>
      <w:r w:rsidR="00BC5838" w:rsidRPr="00BC5838">
        <w:rPr>
          <w:rStyle w:val="font171"/>
        </w:rPr>
        <w:t xml:space="preserve">підвищити рівень </w:t>
      </w:r>
      <w:r w:rsidR="00F9024C">
        <w:rPr>
          <w:rStyle w:val="font171"/>
        </w:rPr>
        <w:t xml:space="preserve">їх </w:t>
      </w:r>
      <w:r w:rsidR="00BC5838" w:rsidRPr="00BC5838">
        <w:rPr>
          <w:rStyle w:val="font171"/>
        </w:rPr>
        <w:t>конкурентоспроможності</w:t>
      </w:r>
      <w:r w:rsidR="00BC5838">
        <w:rPr>
          <w:rStyle w:val="font171"/>
        </w:rPr>
        <w:t>.</w:t>
      </w:r>
    </w:p>
    <w:p w14:paraId="2D0A129E" w14:textId="77777777" w:rsidR="00EB48B3" w:rsidRPr="00EB48B3" w:rsidRDefault="00506DA3" w:rsidP="00EB48B3">
      <w:pPr>
        <w:ind w:firstLine="567"/>
        <w:jc w:val="both"/>
        <w:rPr>
          <w:rStyle w:val="font171"/>
        </w:rPr>
      </w:pPr>
      <w:r>
        <w:rPr>
          <w:rStyle w:val="font171"/>
        </w:rPr>
        <w:t>Після видання</w:t>
      </w:r>
      <w:r w:rsidR="00EB48B3" w:rsidRPr="00EB48B3">
        <w:rPr>
          <w:rStyle w:val="font171"/>
        </w:rPr>
        <w:t xml:space="preserve"> наказу він буде оприлюднений в установленому законодавством порядку. </w:t>
      </w:r>
    </w:p>
    <w:p w14:paraId="7678EFF7" w14:textId="77777777" w:rsidR="00EB48B3" w:rsidRPr="00D77340" w:rsidRDefault="00EB48B3" w:rsidP="00EB48B3">
      <w:pPr>
        <w:ind w:firstLine="567"/>
        <w:jc w:val="both"/>
        <w:rPr>
          <w:rStyle w:val="font171"/>
        </w:rPr>
      </w:pPr>
      <w:r w:rsidRPr="00D77340">
        <w:rPr>
          <w:rStyle w:val="font171"/>
        </w:rPr>
        <w:t>Додаткові показники результативності регуляторного акта:</w:t>
      </w:r>
    </w:p>
    <w:p w14:paraId="6C6A5347" w14:textId="3873EE90" w:rsidR="00AF6486" w:rsidRDefault="00AF6486" w:rsidP="00564B14">
      <w:pPr>
        <w:ind w:firstLine="567"/>
        <w:jc w:val="both"/>
        <w:rPr>
          <w:rStyle w:val="font171"/>
        </w:rPr>
      </w:pPr>
      <w:r>
        <w:rPr>
          <w:rStyle w:val="font171"/>
        </w:rPr>
        <w:t>кількість з</w:t>
      </w:r>
      <w:r w:rsidRPr="00AF6486">
        <w:rPr>
          <w:rStyle w:val="font171"/>
        </w:rPr>
        <w:t>аяв</w:t>
      </w:r>
      <w:r>
        <w:rPr>
          <w:rStyle w:val="font171"/>
        </w:rPr>
        <w:t>о</w:t>
      </w:r>
      <w:r w:rsidRPr="00AF6486">
        <w:rPr>
          <w:rStyle w:val="font171"/>
        </w:rPr>
        <w:t xml:space="preserve">к на отримання декларантом </w:t>
      </w:r>
      <w:r>
        <w:rPr>
          <w:rStyle w:val="font171"/>
        </w:rPr>
        <w:t>експортної</w:t>
      </w:r>
      <w:r w:rsidRPr="00AF6486">
        <w:rPr>
          <w:rStyle w:val="font171"/>
        </w:rPr>
        <w:t xml:space="preserve"> квоти</w:t>
      </w:r>
      <w:r w:rsidR="00B841EE">
        <w:rPr>
          <w:rStyle w:val="font171"/>
        </w:rPr>
        <w:t xml:space="preserve">. Прогнозні показники заявок на умовах Угоди </w:t>
      </w:r>
      <w:r>
        <w:rPr>
          <w:rStyle w:val="font171"/>
        </w:rPr>
        <w:t>можуть становити 95 на рік;</w:t>
      </w:r>
    </w:p>
    <w:p w14:paraId="2CDCAE73" w14:textId="7F10A2DB" w:rsidR="00AF6486" w:rsidRDefault="00AF6486" w:rsidP="00564B14">
      <w:pPr>
        <w:ind w:firstLine="567"/>
        <w:jc w:val="both"/>
        <w:rPr>
          <w:rStyle w:val="font171"/>
        </w:rPr>
      </w:pPr>
      <w:r>
        <w:rPr>
          <w:rStyle w:val="font171"/>
        </w:rPr>
        <w:t>кількість виданих митними органами</w:t>
      </w:r>
      <w:r w:rsidRPr="00AF6486">
        <w:rPr>
          <w:rStyle w:val="font171"/>
        </w:rPr>
        <w:t xml:space="preserve"> документ</w:t>
      </w:r>
      <w:r>
        <w:rPr>
          <w:rStyle w:val="font171"/>
        </w:rPr>
        <w:t>ів</w:t>
      </w:r>
      <w:r w:rsidRPr="00AF6486">
        <w:rPr>
          <w:rStyle w:val="font171"/>
        </w:rPr>
        <w:t>, що підтверджу</w:t>
      </w:r>
      <w:r>
        <w:rPr>
          <w:rStyle w:val="font171"/>
        </w:rPr>
        <w:t>ватимуть</w:t>
      </w:r>
      <w:r w:rsidRPr="00AF6486">
        <w:rPr>
          <w:rStyle w:val="font171"/>
        </w:rPr>
        <w:t xml:space="preserve"> статус преференційного походження товарів</w:t>
      </w:r>
      <w:r w:rsidR="00B841EE">
        <w:rPr>
          <w:rStyle w:val="font171"/>
        </w:rPr>
        <w:t xml:space="preserve"> на умовах </w:t>
      </w:r>
      <w:r w:rsidR="00B841EE" w:rsidRPr="00B841EE">
        <w:rPr>
          <w:rStyle w:val="font171"/>
        </w:rPr>
        <w:t>Угоди</w:t>
      </w:r>
      <w:r w:rsidR="00B841EE">
        <w:rPr>
          <w:rStyle w:val="font171"/>
        </w:rPr>
        <w:t xml:space="preserve">. Прогнозні показники кількості </w:t>
      </w:r>
      <w:r w:rsidR="00B841EE" w:rsidRPr="00B841EE">
        <w:rPr>
          <w:rStyle w:val="font171"/>
        </w:rPr>
        <w:t>виданих митними органами документів, що підтверджуватимуть статус преференційного походження товарів на умовах Угоди</w:t>
      </w:r>
      <w:r w:rsidR="00B841EE">
        <w:rPr>
          <w:rStyle w:val="font171"/>
        </w:rPr>
        <w:t>,</w:t>
      </w:r>
      <w:r w:rsidR="00B841EE" w:rsidRPr="00B841EE">
        <w:rPr>
          <w:rStyle w:val="font171"/>
        </w:rPr>
        <w:t xml:space="preserve"> </w:t>
      </w:r>
      <w:r>
        <w:rPr>
          <w:rStyle w:val="font171"/>
        </w:rPr>
        <w:t>можуть становити 95 шт. на рік;</w:t>
      </w:r>
    </w:p>
    <w:p w14:paraId="1BA6DB2B" w14:textId="4D442C6E" w:rsidR="00AF6486" w:rsidRDefault="00AF6486" w:rsidP="00AF6486">
      <w:pPr>
        <w:ind w:firstLine="567"/>
        <w:jc w:val="both"/>
        <w:rPr>
          <w:rStyle w:val="font171"/>
        </w:rPr>
      </w:pPr>
      <w:r>
        <w:rPr>
          <w:rStyle w:val="font171"/>
        </w:rPr>
        <w:t>кількість додаткових документів, що подаватимуться експортер</w:t>
      </w:r>
      <w:r w:rsidR="00B841EE">
        <w:rPr>
          <w:rStyle w:val="font171"/>
        </w:rPr>
        <w:t>ами</w:t>
      </w:r>
      <w:r>
        <w:rPr>
          <w:rStyle w:val="font171"/>
        </w:rPr>
        <w:t xml:space="preserve"> під час експорту до митниці для отримання </w:t>
      </w:r>
      <w:r w:rsidRPr="00AF6486">
        <w:rPr>
          <w:rStyle w:val="font171"/>
        </w:rPr>
        <w:t>документів, що підтверджуватимуть статус преференційного походження товарів</w:t>
      </w:r>
      <w:r w:rsidR="00B841EE">
        <w:rPr>
          <w:rStyle w:val="font171"/>
        </w:rPr>
        <w:t xml:space="preserve">. Прогнозні показники кількості </w:t>
      </w:r>
      <w:r w:rsidR="00B841EE" w:rsidRPr="00B841EE">
        <w:rPr>
          <w:rStyle w:val="font171"/>
        </w:rPr>
        <w:t>додаткових документів, що подаватимуться експортерами під час експорту до митниці для отримання документів, що підтверджуватимуть статус преференційного походження товарів</w:t>
      </w:r>
      <w:r w:rsidRPr="00AF6486">
        <w:rPr>
          <w:rStyle w:val="font171"/>
        </w:rPr>
        <w:t xml:space="preserve"> </w:t>
      </w:r>
      <w:r>
        <w:rPr>
          <w:rStyle w:val="font171"/>
        </w:rPr>
        <w:t xml:space="preserve">можуть становити </w:t>
      </w:r>
      <w:r w:rsidR="00B841EE">
        <w:rPr>
          <w:rStyle w:val="font171"/>
        </w:rPr>
        <w:t>1900 ш</w:t>
      </w:r>
      <w:r>
        <w:rPr>
          <w:rStyle w:val="font171"/>
        </w:rPr>
        <w:t>т. на рік</w:t>
      </w:r>
      <w:r w:rsidR="00B841EE">
        <w:rPr>
          <w:rStyle w:val="font171"/>
        </w:rPr>
        <w:t>;</w:t>
      </w:r>
    </w:p>
    <w:p w14:paraId="08007778" w14:textId="2347FE00" w:rsidR="00EB48B3" w:rsidRPr="00D77340" w:rsidRDefault="00FC4BB1" w:rsidP="00EB48B3">
      <w:pPr>
        <w:ind w:firstLine="567"/>
        <w:jc w:val="both"/>
        <w:rPr>
          <w:rStyle w:val="font171"/>
        </w:rPr>
      </w:pPr>
      <w:r w:rsidRPr="00D77340">
        <w:rPr>
          <w:rStyle w:val="font171"/>
        </w:rPr>
        <w:t>кількість підприємств, якими отримано</w:t>
      </w:r>
      <w:r w:rsidR="00B841EE">
        <w:rPr>
          <w:rStyle w:val="font171"/>
        </w:rPr>
        <w:t xml:space="preserve"> тарифну квоту при експорті на умовах Угоди</w:t>
      </w:r>
      <w:r w:rsidR="002D46FA" w:rsidRPr="00D77340">
        <w:rPr>
          <w:rStyle w:val="font171"/>
          <w:lang w:val="ru-RU"/>
        </w:rPr>
        <w:t xml:space="preserve">. </w:t>
      </w:r>
      <w:r w:rsidR="002D46FA" w:rsidRPr="00D77340">
        <w:rPr>
          <w:rStyle w:val="font171"/>
        </w:rPr>
        <w:t xml:space="preserve">Прогнозні показники кількості підприємств, якими буде отримано </w:t>
      </w:r>
      <w:r w:rsidR="00435308">
        <w:rPr>
          <w:rStyle w:val="font171"/>
        </w:rPr>
        <w:t>тарифну квоту при експорті на умовах Угоди</w:t>
      </w:r>
      <w:r w:rsidR="004416B8">
        <w:rPr>
          <w:rStyle w:val="font171"/>
        </w:rPr>
        <w:t>,</w:t>
      </w:r>
      <w:r w:rsidR="002D46FA" w:rsidRPr="00D77340">
        <w:rPr>
          <w:rStyle w:val="font171"/>
        </w:rPr>
        <w:t xml:space="preserve"> можуть становити </w:t>
      </w:r>
      <w:r w:rsidR="00D67E03">
        <w:rPr>
          <w:rStyle w:val="font171"/>
        </w:rPr>
        <w:t>21</w:t>
      </w:r>
      <w:r w:rsidR="002D46FA" w:rsidRPr="00D77340">
        <w:rPr>
          <w:rStyle w:val="font171"/>
        </w:rPr>
        <w:t xml:space="preserve"> підприємств</w:t>
      </w:r>
      <w:r w:rsidR="007F7EAE">
        <w:rPr>
          <w:rStyle w:val="font171"/>
        </w:rPr>
        <w:t>о</w:t>
      </w:r>
      <w:r w:rsidR="002D46FA" w:rsidRPr="00D77340">
        <w:rPr>
          <w:rStyle w:val="font171"/>
        </w:rPr>
        <w:t xml:space="preserve"> на рік</w:t>
      </w:r>
      <w:r w:rsidR="004419DE" w:rsidRPr="00D77340">
        <w:rPr>
          <w:rStyle w:val="font171"/>
          <w:lang w:val="ru-RU"/>
        </w:rPr>
        <w:t>;</w:t>
      </w:r>
      <w:r w:rsidR="00564B14" w:rsidRPr="00D77340">
        <w:rPr>
          <w:rStyle w:val="font171"/>
        </w:rPr>
        <w:t xml:space="preserve"> </w:t>
      </w:r>
    </w:p>
    <w:p w14:paraId="69B73204" w14:textId="5B8A0E81" w:rsidR="004419DE" w:rsidRPr="00D77340" w:rsidRDefault="00FC4BB1" w:rsidP="00F906CB">
      <w:pPr>
        <w:ind w:firstLine="567"/>
        <w:jc w:val="both"/>
        <w:rPr>
          <w:rStyle w:val="font171"/>
        </w:rPr>
      </w:pPr>
      <w:r w:rsidRPr="00D77340">
        <w:rPr>
          <w:rStyle w:val="font171"/>
        </w:rPr>
        <w:t xml:space="preserve">кількість експортних митних декларацій, оформлених із </w:t>
      </w:r>
      <w:r w:rsidR="00435308" w:rsidRPr="00435308">
        <w:rPr>
          <w:rStyle w:val="font171"/>
        </w:rPr>
        <w:t>документ</w:t>
      </w:r>
      <w:r w:rsidR="00435308">
        <w:rPr>
          <w:rStyle w:val="font171"/>
        </w:rPr>
        <w:t>ом</w:t>
      </w:r>
      <w:r w:rsidR="00435308" w:rsidRPr="00435308">
        <w:rPr>
          <w:rStyle w:val="font171"/>
        </w:rPr>
        <w:t>, що підтверджу</w:t>
      </w:r>
      <w:r w:rsidR="00435308">
        <w:rPr>
          <w:rStyle w:val="font171"/>
        </w:rPr>
        <w:t>є</w:t>
      </w:r>
      <w:r w:rsidR="00435308" w:rsidRPr="00435308">
        <w:rPr>
          <w:rStyle w:val="font171"/>
        </w:rPr>
        <w:t xml:space="preserve"> статус преференційного походження товарів</w:t>
      </w:r>
      <w:r w:rsidR="002D46FA" w:rsidRPr="00D77340">
        <w:rPr>
          <w:rStyle w:val="font171"/>
        </w:rPr>
        <w:t xml:space="preserve">. Прогнозні показники кількості експортних митних декларацій, оформлених із </w:t>
      </w:r>
      <w:r w:rsidR="00435308">
        <w:rPr>
          <w:rStyle w:val="font171"/>
        </w:rPr>
        <w:t>документом, що підтверджує статус преференційного походження товарів на умовах Угоди</w:t>
      </w:r>
      <w:r w:rsidR="004416B8">
        <w:rPr>
          <w:rStyle w:val="font171"/>
        </w:rPr>
        <w:t>,</w:t>
      </w:r>
      <w:r w:rsidR="004419DE" w:rsidRPr="00D77340">
        <w:rPr>
          <w:rStyle w:val="font171"/>
        </w:rPr>
        <w:t xml:space="preserve"> можуть становити </w:t>
      </w:r>
      <w:r w:rsidR="00AF6486">
        <w:rPr>
          <w:rStyle w:val="font171"/>
        </w:rPr>
        <w:t>95</w:t>
      </w:r>
      <w:r w:rsidR="002D46FA" w:rsidRPr="00D77340">
        <w:rPr>
          <w:rStyle w:val="font171"/>
        </w:rPr>
        <w:t xml:space="preserve"> шт. на рік</w:t>
      </w:r>
      <w:r w:rsidR="004419DE" w:rsidRPr="00D77340">
        <w:rPr>
          <w:rStyle w:val="font171"/>
          <w:lang w:val="ru-RU"/>
        </w:rPr>
        <w:t>;</w:t>
      </w:r>
      <w:r w:rsidRPr="00D77340">
        <w:rPr>
          <w:rStyle w:val="font171"/>
        </w:rPr>
        <w:t xml:space="preserve"> </w:t>
      </w:r>
    </w:p>
    <w:p w14:paraId="72AAA45D" w14:textId="7CC5AEC1" w:rsidR="002D46FA" w:rsidRPr="00D77340" w:rsidRDefault="00A02146" w:rsidP="00F906CB">
      <w:pPr>
        <w:ind w:firstLine="567"/>
        <w:jc w:val="both"/>
        <w:rPr>
          <w:rStyle w:val="font171"/>
        </w:rPr>
      </w:pPr>
      <w:r>
        <w:rPr>
          <w:rStyle w:val="font171"/>
        </w:rPr>
        <w:t>сума пільги</w:t>
      </w:r>
      <w:r w:rsidR="00FC4BB1" w:rsidRPr="00D77340">
        <w:rPr>
          <w:rStyle w:val="font171"/>
        </w:rPr>
        <w:t xml:space="preserve"> зі сплати вивізного мита.</w:t>
      </w:r>
      <w:r w:rsidR="00564B14" w:rsidRPr="00D77340">
        <w:rPr>
          <w:rStyle w:val="font171"/>
        </w:rPr>
        <w:t xml:space="preserve"> </w:t>
      </w:r>
      <w:r w:rsidR="002D46FA" w:rsidRPr="00D77340">
        <w:rPr>
          <w:rStyle w:val="font171"/>
        </w:rPr>
        <w:t xml:space="preserve">Прогнозні показники суми </w:t>
      </w:r>
      <w:r>
        <w:rPr>
          <w:rStyle w:val="font171"/>
        </w:rPr>
        <w:t>пільги</w:t>
      </w:r>
      <w:r w:rsidR="002D46FA" w:rsidRPr="00D77340">
        <w:rPr>
          <w:rStyle w:val="font171"/>
        </w:rPr>
        <w:t xml:space="preserve"> зі сплати вивізного мита на умовах </w:t>
      </w:r>
      <w:r w:rsidR="00435308">
        <w:rPr>
          <w:rStyle w:val="font171"/>
        </w:rPr>
        <w:t>Угоди</w:t>
      </w:r>
      <w:r w:rsidR="004416B8">
        <w:rPr>
          <w:rStyle w:val="font171"/>
        </w:rPr>
        <w:t xml:space="preserve"> можуть становити </w:t>
      </w:r>
      <w:r w:rsidR="00435308">
        <w:rPr>
          <w:rStyle w:val="font171"/>
        </w:rPr>
        <w:t>4</w:t>
      </w:r>
      <w:r w:rsidR="004416B8">
        <w:rPr>
          <w:rStyle w:val="font171"/>
        </w:rPr>
        <w:t xml:space="preserve"> млн гривень.</w:t>
      </w:r>
    </w:p>
    <w:p w14:paraId="1DCC4C6D" w14:textId="1770815E" w:rsidR="00C81928" w:rsidRPr="00D77340" w:rsidRDefault="002D46FA" w:rsidP="00F906CB">
      <w:pPr>
        <w:ind w:firstLine="567"/>
        <w:jc w:val="both"/>
        <w:rPr>
          <w:rStyle w:val="font171"/>
          <w:b/>
          <w:bCs/>
        </w:rPr>
      </w:pPr>
      <w:r w:rsidRPr="00D77340">
        <w:rPr>
          <w:rStyle w:val="font171"/>
        </w:rPr>
        <w:t xml:space="preserve"> </w:t>
      </w:r>
      <w:bookmarkStart w:id="4" w:name="bookmark16"/>
      <w:bookmarkEnd w:id="4"/>
    </w:p>
    <w:p w14:paraId="419CB15D" w14:textId="77777777" w:rsidR="00B91E6A" w:rsidRDefault="00B91E6A" w:rsidP="00F906CB">
      <w:pPr>
        <w:ind w:firstLine="567"/>
        <w:jc w:val="both"/>
      </w:pPr>
      <w:r>
        <w:rPr>
          <w:rStyle w:val="font171"/>
          <w:b/>
          <w:bCs/>
        </w:rPr>
        <w:t>IX. Визначення заходів, за допомогою</w:t>
      </w:r>
      <w:r w:rsidR="00823235">
        <w:rPr>
          <w:rStyle w:val="font171"/>
          <w:b/>
          <w:bCs/>
        </w:rPr>
        <w:t xml:space="preserve"> яких здійснюва</w:t>
      </w:r>
      <w:r w:rsidR="00430304">
        <w:rPr>
          <w:rStyle w:val="font171"/>
          <w:b/>
          <w:bCs/>
        </w:rPr>
        <w:t xml:space="preserve">тиметься </w:t>
      </w:r>
      <w:r>
        <w:rPr>
          <w:rStyle w:val="font171"/>
          <w:b/>
          <w:bCs/>
        </w:rPr>
        <w:t xml:space="preserve">відстеження </w:t>
      </w:r>
      <w:r w:rsidR="00823235">
        <w:rPr>
          <w:rStyle w:val="font171"/>
          <w:b/>
          <w:bCs/>
        </w:rPr>
        <w:t>результативності дії</w:t>
      </w:r>
      <w:r>
        <w:rPr>
          <w:rStyle w:val="font171"/>
          <w:b/>
          <w:bCs/>
        </w:rPr>
        <w:t xml:space="preserve"> регуляторного акта</w:t>
      </w:r>
    </w:p>
    <w:p w14:paraId="1EACE71D" w14:textId="77777777" w:rsidR="00245C05" w:rsidRDefault="00245C05" w:rsidP="00245C05">
      <w:pPr>
        <w:widowControl w:val="0"/>
        <w:ind w:firstLine="567"/>
        <w:jc w:val="both"/>
        <w:rPr>
          <w:rStyle w:val="font171"/>
        </w:rPr>
      </w:pPr>
    </w:p>
    <w:p w14:paraId="2CFA05DD" w14:textId="4C456E7F" w:rsidR="006E76A6" w:rsidRPr="004419DE" w:rsidRDefault="006E76A6" w:rsidP="00245C05">
      <w:pPr>
        <w:widowControl w:val="0"/>
        <w:ind w:firstLine="567"/>
        <w:jc w:val="both"/>
        <w:rPr>
          <w:rStyle w:val="font171"/>
        </w:rPr>
      </w:pPr>
      <w:r w:rsidRPr="004419DE">
        <w:rPr>
          <w:rStyle w:val="font171"/>
        </w:rPr>
        <w:t xml:space="preserve">У разі прийняття регуляторного акта послідовно здійснюватиметься базове, повторне та періодичне відстеження його результативності згідно зі статтею 10 Закону України «Про засади державної регуляторної політики у сфері господарської діяльності». </w:t>
      </w:r>
    </w:p>
    <w:p w14:paraId="0EBFAE3A" w14:textId="77777777" w:rsidR="006E76A6" w:rsidRPr="004419DE" w:rsidRDefault="006E76A6" w:rsidP="006E76A6">
      <w:pPr>
        <w:ind w:firstLine="567"/>
        <w:jc w:val="both"/>
        <w:rPr>
          <w:rStyle w:val="font171"/>
        </w:rPr>
      </w:pPr>
      <w:r w:rsidRPr="004419DE">
        <w:rPr>
          <w:rStyle w:val="font171"/>
        </w:rPr>
        <w:t xml:space="preserve">Метод проведення відстеження результативності – статистичний. </w:t>
      </w:r>
    </w:p>
    <w:p w14:paraId="6A8BB0B9" w14:textId="77790B74" w:rsidR="006E76A6" w:rsidRPr="004419DE" w:rsidRDefault="006E76A6" w:rsidP="006E76A6">
      <w:pPr>
        <w:ind w:firstLine="567"/>
        <w:jc w:val="both"/>
        <w:rPr>
          <w:rStyle w:val="font171"/>
          <w:lang w:val="ru-RU"/>
        </w:rPr>
      </w:pPr>
      <w:r w:rsidRPr="004419DE">
        <w:rPr>
          <w:rStyle w:val="font171"/>
        </w:rPr>
        <w:t xml:space="preserve">Базове відстеження результативності акта буде здійснюватися у І кварталі </w:t>
      </w:r>
      <w:r w:rsidR="004416B8">
        <w:rPr>
          <w:rStyle w:val="font171"/>
        </w:rPr>
        <w:t>202</w:t>
      </w:r>
      <w:r w:rsidR="00D67E03">
        <w:rPr>
          <w:rStyle w:val="font171"/>
        </w:rPr>
        <w:t>7</w:t>
      </w:r>
      <w:r w:rsidR="004416B8">
        <w:rPr>
          <w:rStyle w:val="font171"/>
        </w:rPr>
        <w:t xml:space="preserve"> року</w:t>
      </w:r>
      <w:r w:rsidR="008D4101" w:rsidRPr="004419DE">
        <w:rPr>
          <w:rStyle w:val="font171"/>
        </w:rPr>
        <w:t xml:space="preserve"> після набрання чинності актом</w:t>
      </w:r>
      <w:r w:rsidRPr="004419DE">
        <w:rPr>
          <w:rStyle w:val="font171"/>
        </w:rPr>
        <w:t xml:space="preserve">, оскільки для цього використовуватимуться виключно статистичні показники. </w:t>
      </w:r>
    </w:p>
    <w:p w14:paraId="0C079841" w14:textId="75210717" w:rsidR="006E76A6" w:rsidRPr="004419DE" w:rsidRDefault="006E76A6" w:rsidP="006E76A6">
      <w:pPr>
        <w:ind w:firstLine="567"/>
        <w:jc w:val="both"/>
        <w:rPr>
          <w:rStyle w:val="font171"/>
        </w:rPr>
      </w:pPr>
      <w:r w:rsidRPr="004419DE">
        <w:rPr>
          <w:rStyle w:val="font171"/>
        </w:rPr>
        <w:lastRenderedPageBreak/>
        <w:t>Повторне відстеження результативності акта буде здійснюватися не пізніше I кварталу 202</w:t>
      </w:r>
      <w:r w:rsidR="00D67E03">
        <w:rPr>
          <w:rStyle w:val="font171"/>
        </w:rPr>
        <w:t>8</w:t>
      </w:r>
      <w:r w:rsidRPr="004419DE">
        <w:rPr>
          <w:rStyle w:val="font171"/>
        </w:rPr>
        <w:t xml:space="preserve"> року шляхом аналізу статистичних даних порівняно з базовим відстеженням.</w:t>
      </w:r>
    </w:p>
    <w:p w14:paraId="1A68B06F" w14:textId="77777777" w:rsidR="006E76A6" w:rsidRPr="004419DE" w:rsidRDefault="006E76A6" w:rsidP="006E76A6">
      <w:pPr>
        <w:ind w:firstLine="567"/>
        <w:jc w:val="both"/>
        <w:rPr>
          <w:rStyle w:val="font171"/>
          <w:lang w:val="ru-RU"/>
        </w:rPr>
      </w:pPr>
      <w:r w:rsidRPr="004419DE">
        <w:rPr>
          <w:rStyle w:val="font171"/>
        </w:rPr>
        <w:t>Періодичне відстеження результативності акта буде здійснюватися раз на кожні три роки</w:t>
      </w:r>
      <w:r w:rsidR="00506DA3" w:rsidRPr="004419DE">
        <w:rPr>
          <w:rStyle w:val="font171"/>
        </w:rPr>
        <w:t>,</w:t>
      </w:r>
      <w:r w:rsidRPr="004419DE">
        <w:rPr>
          <w:rStyle w:val="font171"/>
        </w:rPr>
        <w:t xml:space="preserve"> починаючи з дня закінчення заходів з повторного відстеження результативності цього акта. </w:t>
      </w:r>
    </w:p>
    <w:p w14:paraId="3D455C5B" w14:textId="77777777" w:rsidR="006E76A6" w:rsidRPr="004419DE" w:rsidRDefault="006E76A6" w:rsidP="006E76A6">
      <w:pPr>
        <w:ind w:firstLine="567"/>
        <w:jc w:val="both"/>
        <w:rPr>
          <w:rStyle w:val="font171"/>
          <w:lang w:val="ru-RU"/>
        </w:rPr>
      </w:pPr>
      <w:r w:rsidRPr="004419DE">
        <w:rPr>
          <w:rStyle w:val="font171"/>
        </w:rPr>
        <w:t xml:space="preserve">Установлені кількісні показники результативності акта порівнюються із значенням аналогічних показників, встановлених під час повторного відстеження. </w:t>
      </w:r>
    </w:p>
    <w:p w14:paraId="28F4D438" w14:textId="77777777" w:rsidR="006E76A6" w:rsidRPr="004419DE" w:rsidRDefault="006E76A6" w:rsidP="006E76A6">
      <w:pPr>
        <w:widowControl w:val="0"/>
        <w:ind w:firstLine="567"/>
        <w:jc w:val="both"/>
        <w:rPr>
          <w:rFonts w:eastAsia="Times New Roman"/>
          <w:sz w:val="28"/>
          <w:szCs w:val="28"/>
          <w:lang w:eastAsia="ru-RU"/>
        </w:rPr>
      </w:pPr>
      <w:r w:rsidRPr="004419DE">
        <w:rPr>
          <w:rFonts w:eastAsia="Times New Roman"/>
          <w:sz w:val="28"/>
          <w:szCs w:val="28"/>
          <w:lang w:eastAsia="ru-RU"/>
        </w:rPr>
        <w:t>Виконавець заходів відстеження – Державна митна служба України.</w:t>
      </w:r>
    </w:p>
    <w:p w14:paraId="537E34EB" w14:textId="77777777" w:rsidR="00D75EF8" w:rsidRPr="006E76A6" w:rsidRDefault="006E76A6" w:rsidP="006E76A6">
      <w:pPr>
        <w:ind w:firstLine="567"/>
        <w:jc w:val="both"/>
        <w:rPr>
          <w:rStyle w:val="font171"/>
          <w:b/>
        </w:rPr>
      </w:pPr>
      <w:r w:rsidRPr="006E76A6">
        <w:rPr>
          <w:rStyle w:val="font171"/>
        </w:rPr>
        <w:t>У разі надходження пропозицій та зауважень щодо вирішення неврегульованих або проблемних питань</w:t>
      </w:r>
      <w:r w:rsidR="00506DA3">
        <w:rPr>
          <w:rStyle w:val="font171"/>
        </w:rPr>
        <w:t>,</w:t>
      </w:r>
      <w:r w:rsidRPr="006E76A6">
        <w:rPr>
          <w:rStyle w:val="font171"/>
        </w:rPr>
        <w:t xml:space="preserve"> буде розглянуто необхідність внесення відповідних змін.</w:t>
      </w:r>
    </w:p>
    <w:p w14:paraId="2BC10DA3" w14:textId="77777777" w:rsidR="00341072" w:rsidRDefault="00341072" w:rsidP="00F906CB">
      <w:pPr>
        <w:jc w:val="both"/>
        <w:rPr>
          <w:rStyle w:val="font171"/>
        </w:rPr>
      </w:pPr>
    </w:p>
    <w:p w14:paraId="65D176BA" w14:textId="77777777" w:rsidR="0097613B" w:rsidRDefault="0097613B" w:rsidP="00F906CB">
      <w:pPr>
        <w:jc w:val="both"/>
        <w:rPr>
          <w:rStyle w:val="font171"/>
        </w:rPr>
      </w:pPr>
    </w:p>
    <w:p w14:paraId="2E096964" w14:textId="55D3C8BD" w:rsidR="0097613B" w:rsidRDefault="00506DA3" w:rsidP="00F906CB">
      <w:pPr>
        <w:jc w:val="both"/>
        <w:rPr>
          <w:rStyle w:val="font171"/>
        </w:rPr>
      </w:pPr>
      <w:r w:rsidRPr="00506DA3">
        <w:rPr>
          <w:rStyle w:val="font171"/>
        </w:rPr>
        <w:t>Голов</w:t>
      </w:r>
      <w:r w:rsidR="00C24D6F">
        <w:rPr>
          <w:rStyle w:val="font171"/>
        </w:rPr>
        <w:t>а</w:t>
      </w:r>
      <w:r w:rsidR="0097613B">
        <w:rPr>
          <w:rStyle w:val="font171"/>
        </w:rPr>
        <w:t xml:space="preserve"> Державної</w:t>
      </w:r>
    </w:p>
    <w:p w14:paraId="1452CAA2" w14:textId="5B5B95AD" w:rsidR="00F11C27" w:rsidRDefault="0097613B" w:rsidP="00F906CB">
      <w:pPr>
        <w:jc w:val="both"/>
        <w:rPr>
          <w:rStyle w:val="font171"/>
        </w:rPr>
      </w:pPr>
      <w:r>
        <w:rPr>
          <w:rStyle w:val="font171"/>
        </w:rPr>
        <w:t>митної служби України</w:t>
      </w:r>
      <w:r w:rsidR="00506DA3" w:rsidRPr="00506DA3">
        <w:rPr>
          <w:rStyle w:val="font171"/>
        </w:rPr>
        <w:t xml:space="preserve">                                         </w:t>
      </w:r>
      <w:r>
        <w:rPr>
          <w:rStyle w:val="font171"/>
        </w:rPr>
        <w:t xml:space="preserve">                  </w:t>
      </w:r>
      <w:r w:rsidR="004F39C2">
        <w:rPr>
          <w:rStyle w:val="font171"/>
        </w:rPr>
        <w:t xml:space="preserve">      </w:t>
      </w:r>
      <w:r w:rsidR="00E111A7">
        <w:rPr>
          <w:rStyle w:val="font171"/>
        </w:rPr>
        <w:t xml:space="preserve"> </w:t>
      </w:r>
      <w:r w:rsidR="00506DA3" w:rsidRPr="00506DA3">
        <w:rPr>
          <w:rStyle w:val="font171"/>
        </w:rPr>
        <w:t xml:space="preserve"> </w:t>
      </w:r>
      <w:r w:rsidR="00C24D6F">
        <w:rPr>
          <w:rStyle w:val="font171"/>
        </w:rPr>
        <w:t>Орест</w:t>
      </w:r>
      <w:r w:rsidR="00506DA3" w:rsidRPr="00506DA3">
        <w:rPr>
          <w:rStyle w:val="font171"/>
        </w:rPr>
        <w:t xml:space="preserve"> </w:t>
      </w:r>
      <w:r w:rsidR="00C24D6F">
        <w:rPr>
          <w:rStyle w:val="font171"/>
        </w:rPr>
        <w:t>МАНДЗІЙ</w:t>
      </w:r>
    </w:p>
    <w:p w14:paraId="6FB16864" w14:textId="0461BEEF" w:rsidR="00C81928" w:rsidRPr="00506DA3" w:rsidRDefault="00C81928" w:rsidP="00487105">
      <w:pPr>
        <w:shd w:val="clear" w:color="auto" w:fill="FFFFFF"/>
        <w:spacing w:after="150"/>
        <w:ind w:firstLine="450"/>
        <w:jc w:val="both"/>
        <w:rPr>
          <w:rStyle w:val="font171"/>
        </w:rPr>
      </w:pPr>
    </w:p>
    <w:sectPr w:rsidR="00C81928" w:rsidRPr="00506DA3" w:rsidSect="00457BBE">
      <w:headerReference w:type="default" r:id="rId8"/>
      <w:pgSz w:w="11906" w:h="16838"/>
      <w:pgMar w:top="1134" w:right="567"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22BDE" w14:textId="77777777" w:rsidR="00033BFD" w:rsidRDefault="00033BFD" w:rsidP="00C12599">
      <w:r>
        <w:separator/>
      </w:r>
    </w:p>
  </w:endnote>
  <w:endnote w:type="continuationSeparator" w:id="0">
    <w:p w14:paraId="64BEB16D" w14:textId="77777777" w:rsidR="00033BFD" w:rsidRDefault="00033BFD" w:rsidP="00C1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Haettenschweiler"/>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1DB76" w14:textId="77777777" w:rsidR="00033BFD" w:rsidRDefault="00033BFD" w:rsidP="00C12599">
      <w:r>
        <w:separator/>
      </w:r>
    </w:p>
  </w:footnote>
  <w:footnote w:type="continuationSeparator" w:id="0">
    <w:p w14:paraId="22FDBE59" w14:textId="77777777" w:rsidR="00033BFD" w:rsidRDefault="00033BFD" w:rsidP="00C12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677185"/>
      <w:docPartObj>
        <w:docPartGallery w:val="Page Numbers (Top of Page)"/>
        <w:docPartUnique/>
      </w:docPartObj>
    </w:sdtPr>
    <w:sdtEndPr/>
    <w:sdtContent>
      <w:p w14:paraId="1BAC5E44" w14:textId="1FA0560A" w:rsidR="005E333E" w:rsidRDefault="005E333E">
        <w:pPr>
          <w:pStyle w:val="a8"/>
          <w:jc w:val="center"/>
        </w:pPr>
        <w:r>
          <w:fldChar w:fldCharType="begin"/>
        </w:r>
        <w:r>
          <w:instrText>PAGE   \* MERGEFORMAT</w:instrText>
        </w:r>
        <w:r>
          <w:fldChar w:fldCharType="separate"/>
        </w:r>
        <w:r w:rsidR="001739FA" w:rsidRPr="001739FA">
          <w:rPr>
            <w:noProof/>
            <w:lang w:val="ru-RU"/>
          </w:rPr>
          <w:t>16</w:t>
        </w:r>
        <w:r>
          <w:fldChar w:fldCharType="end"/>
        </w:r>
      </w:p>
    </w:sdtContent>
  </w:sdt>
  <w:p w14:paraId="3EA91F62" w14:textId="77777777" w:rsidR="005E333E" w:rsidRDefault="005E333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CE41F3"/>
    <w:multiLevelType w:val="hybridMultilevel"/>
    <w:tmpl w:val="223EEE7C"/>
    <w:lvl w:ilvl="0" w:tplc="95E87350">
      <w:start w:val="26"/>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DA63019"/>
    <w:multiLevelType w:val="hybridMultilevel"/>
    <w:tmpl w:val="E698EFFE"/>
    <w:lvl w:ilvl="0" w:tplc="B3984DB8">
      <w:start w:val="26"/>
      <w:numFmt w:val="bullet"/>
      <w:lvlText w:val=""/>
      <w:lvlJc w:val="left"/>
      <w:pPr>
        <w:ind w:left="927" w:hanging="360"/>
      </w:pPr>
      <w:rPr>
        <w:rFonts w:ascii="Symbol" w:eastAsia="Times New Roman" w:hAnsi="Symbol"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FAA0570"/>
    <w:multiLevelType w:val="hybridMultilevel"/>
    <w:tmpl w:val="79341ACA"/>
    <w:lvl w:ilvl="0" w:tplc="8944832A">
      <w:start w:val="2"/>
      <w:numFmt w:val="bullet"/>
      <w:lvlText w:val=""/>
      <w:lvlJc w:val="left"/>
      <w:pPr>
        <w:ind w:left="927" w:hanging="360"/>
      </w:pPr>
      <w:rPr>
        <w:rFonts w:ascii="Symbol" w:eastAsiaTheme="minorEastAsia" w:hAnsi="Symbol"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3ED83052"/>
    <w:multiLevelType w:val="hybridMultilevel"/>
    <w:tmpl w:val="CE5E9B7E"/>
    <w:lvl w:ilvl="0" w:tplc="04220001">
      <w:start w:val="26"/>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3DD440E"/>
    <w:multiLevelType w:val="hybridMultilevel"/>
    <w:tmpl w:val="30268FC8"/>
    <w:lvl w:ilvl="0" w:tplc="5FEC4F50">
      <w:start w:val="2"/>
      <w:numFmt w:val="bullet"/>
      <w:lvlText w:val=""/>
      <w:lvlJc w:val="left"/>
      <w:pPr>
        <w:ind w:left="1647" w:hanging="360"/>
      </w:pPr>
      <w:rPr>
        <w:rFonts w:ascii="Symbol" w:eastAsiaTheme="minorEastAsia" w:hAnsi="Symbol"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6" w15:restartNumberingAfterBreak="0">
    <w:nsid w:val="49AC7D0A"/>
    <w:multiLevelType w:val="hybridMultilevel"/>
    <w:tmpl w:val="0FC8C2EE"/>
    <w:lvl w:ilvl="0" w:tplc="3A1A74F4">
      <w:start w:val="10"/>
      <w:numFmt w:val="bullet"/>
      <w:lvlText w:val=""/>
      <w:lvlJc w:val="left"/>
      <w:pPr>
        <w:ind w:left="808" w:hanging="360"/>
      </w:pPr>
      <w:rPr>
        <w:rFonts w:ascii="Symbol" w:eastAsia="Times New Roman" w:hAnsi="Symbol" w:cs="Times New Roman" w:hint="default"/>
      </w:rPr>
    </w:lvl>
    <w:lvl w:ilvl="1" w:tplc="04220003" w:tentative="1">
      <w:start w:val="1"/>
      <w:numFmt w:val="bullet"/>
      <w:lvlText w:val="o"/>
      <w:lvlJc w:val="left"/>
      <w:pPr>
        <w:ind w:left="1528" w:hanging="360"/>
      </w:pPr>
      <w:rPr>
        <w:rFonts w:ascii="Courier New" w:hAnsi="Courier New" w:cs="Courier New" w:hint="default"/>
      </w:rPr>
    </w:lvl>
    <w:lvl w:ilvl="2" w:tplc="04220005" w:tentative="1">
      <w:start w:val="1"/>
      <w:numFmt w:val="bullet"/>
      <w:lvlText w:val=""/>
      <w:lvlJc w:val="left"/>
      <w:pPr>
        <w:ind w:left="2248" w:hanging="360"/>
      </w:pPr>
      <w:rPr>
        <w:rFonts w:ascii="Wingdings" w:hAnsi="Wingdings" w:hint="default"/>
      </w:rPr>
    </w:lvl>
    <w:lvl w:ilvl="3" w:tplc="04220001" w:tentative="1">
      <w:start w:val="1"/>
      <w:numFmt w:val="bullet"/>
      <w:lvlText w:val=""/>
      <w:lvlJc w:val="left"/>
      <w:pPr>
        <w:ind w:left="2968" w:hanging="360"/>
      </w:pPr>
      <w:rPr>
        <w:rFonts w:ascii="Symbol" w:hAnsi="Symbol" w:hint="default"/>
      </w:rPr>
    </w:lvl>
    <w:lvl w:ilvl="4" w:tplc="04220003" w:tentative="1">
      <w:start w:val="1"/>
      <w:numFmt w:val="bullet"/>
      <w:lvlText w:val="o"/>
      <w:lvlJc w:val="left"/>
      <w:pPr>
        <w:ind w:left="3688" w:hanging="360"/>
      </w:pPr>
      <w:rPr>
        <w:rFonts w:ascii="Courier New" w:hAnsi="Courier New" w:cs="Courier New" w:hint="default"/>
      </w:rPr>
    </w:lvl>
    <w:lvl w:ilvl="5" w:tplc="04220005" w:tentative="1">
      <w:start w:val="1"/>
      <w:numFmt w:val="bullet"/>
      <w:lvlText w:val=""/>
      <w:lvlJc w:val="left"/>
      <w:pPr>
        <w:ind w:left="4408" w:hanging="360"/>
      </w:pPr>
      <w:rPr>
        <w:rFonts w:ascii="Wingdings" w:hAnsi="Wingdings" w:hint="default"/>
      </w:rPr>
    </w:lvl>
    <w:lvl w:ilvl="6" w:tplc="04220001" w:tentative="1">
      <w:start w:val="1"/>
      <w:numFmt w:val="bullet"/>
      <w:lvlText w:val=""/>
      <w:lvlJc w:val="left"/>
      <w:pPr>
        <w:ind w:left="5128" w:hanging="360"/>
      </w:pPr>
      <w:rPr>
        <w:rFonts w:ascii="Symbol" w:hAnsi="Symbol" w:hint="default"/>
      </w:rPr>
    </w:lvl>
    <w:lvl w:ilvl="7" w:tplc="04220003" w:tentative="1">
      <w:start w:val="1"/>
      <w:numFmt w:val="bullet"/>
      <w:lvlText w:val="o"/>
      <w:lvlJc w:val="left"/>
      <w:pPr>
        <w:ind w:left="5848" w:hanging="360"/>
      </w:pPr>
      <w:rPr>
        <w:rFonts w:ascii="Courier New" w:hAnsi="Courier New" w:cs="Courier New" w:hint="default"/>
      </w:rPr>
    </w:lvl>
    <w:lvl w:ilvl="8" w:tplc="04220005" w:tentative="1">
      <w:start w:val="1"/>
      <w:numFmt w:val="bullet"/>
      <w:lvlText w:val=""/>
      <w:lvlJc w:val="left"/>
      <w:pPr>
        <w:ind w:left="6568" w:hanging="360"/>
      </w:pPr>
      <w:rPr>
        <w:rFonts w:ascii="Wingdings" w:hAnsi="Wingdings" w:hint="default"/>
      </w:rPr>
    </w:lvl>
  </w:abstractNum>
  <w:abstractNum w:abstractNumId="7" w15:restartNumberingAfterBreak="0">
    <w:nsid w:val="584051E5"/>
    <w:multiLevelType w:val="hybridMultilevel"/>
    <w:tmpl w:val="B53E78BC"/>
    <w:lvl w:ilvl="0" w:tplc="7A8A786E">
      <w:start w:val="10"/>
      <w:numFmt w:val="bullet"/>
      <w:lvlText w:val=""/>
      <w:lvlJc w:val="left"/>
      <w:pPr>
        <w:ind w:left="502" w:hanging="360"/>
      </w:pPr>
      <w:rPr>
        <w:rFonts w:ascii="Symbol" w:eastAsia="Times New Roman" w:hAnsi="Symbol"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8" w15:restartNumberingAfterBreak="0">
    <w:nsid w:val="61D90A00"/>
    <w:multiLevelType w:val="hybridMultilevel"/>
    <w:tmpl w:val="570CEC00"/>
    <w:lvl w:ilvl="0" w:tplc="30D014DA">
      <w:start w:val="10"/>
      <w:numFmt w:val="bullet"/>
      <w:lvlText w:val=""/>
      <w:lvlJc w:val="left"/>
      <w:pPr>
        <w:ind w:left="808" w:hanging="360"/>
      </w:pPr>
      <w:rPr>
        <w:rFonts w:ascii="Symbol" w:eastAsia="Times New Roman" w:hAnsi="Symbol" w:cs="Times New Roman" w:hint="default"/>
        <w:b w:val="0"/>
        <w:sz w:val="20"/>
      </w:rPr>
    </w:lvl>
    <w:lvl w:ilvl="1" w:tplc="04220003" w:tentative="1">
      <w:start w:val="1"/>
      <w:numFmt w:val="bullet"/>
      <w:lvlText w:val="o"/>
      <w:lvlJc w:val="left"/>
      <w:pPr>
        <w:ind w:left="1528" w:hanging="360"/>
      </w:pPr>
      <w:rPr>
        <w:rFonts w:ascii="Courier New" w:hAnsi="Courier New" w:cs="Courier New" w:hint="default"/>
      </w:rPr>
    </w:lvl>
    <w:lvl w:ilvl="2" w:tplc="04220005" w:tentative="1">
      <w:start w:val="1"/>
      <w:numFmt w:val="bullet"/>
      <w:lvlText w:val=""/>
      <w:lvlJc w:val="left"/>
      <w:pPr>
        <w:ind w:left="2248" w:hanging="360"/>
      </w:pPr>
      <w:rPr>
        <w:rFonts w:ascii="Wingdings" w:hAnsi="Wingdings" w:hint="default"/>
      </w:rPr>
    </w:lvl>
    <w:lvl w:ilvl="3" w:tplc="04220001" w:tentative="1">
      <w:start w:val="1"/>
      <w:numFmt w:val="bullet"/>
      <w:lvlText w:val=""/>
      <w:lvlJc w:val="left"/>
      <w:pPr>
        <w:ind w:left="2968" w:hanging="360"/>
      </w:pPr>
      <w:rPr>
        <w:rFonts w:ascii="Symbol" w:hAnsi="Symbol" w:hint="default"/>
      </w:rPr>
    </w:lvl>
    <w:lvl w:ilvl="4" w:tplc="04220003" w:tentative="1">
      <w:start w:val="1"/>
      <w:numFmt w:val="bullet"/>
      <w:lvlText w:val="o"/>
      <w:lvlJc w:val="left"/>
      <w:pPr>
        <w:ind w:left="3688" w:hanging="360"/>
      </w:pPr>
      <w:rPr>
        <w:rFonts w:ascii="Courier New" w:hAnsi="Courier New" w:cs="Courier New" w:hint="default"/>
      </w:rPr>
    </w:lvl>
    <w:lvl w:ilvl="5" w:tplc="04220005" w:tentative="1">
      <w:start w:val="1"/>
      <w:numFmt w:val="bullet"/>
      <w:lvlText w:val=""/>
      <w:lvlJc w:val="left"/>
      <w:pPr>
        <w:ind w:left="4408" w:hanging="360"/>
      </w:pPr>
      <w:rPr>
        <w:rFonts w:ascii="Wingdings" w:hAnsi="Wingdings" w:hint="default"/>
      </w:rPr>
    </w:lvl>
    <w:lvl w:ilvl="6" w:tplc="04220001" w:tentative="1">
      <w:start w:val="1"/>
      <w:numFmt w:val="bullet"/>
      <w:lvlText w:val=""/>
      <w:lvlJc w:val="left"/>
      <w:pPr>
        <w:ind w:left="5128" w:hanging="360"/>
      </w:pPr>
      <w:rPr>
        <w:rFonts w:ascii="Symbol" w:hAnsi="Symbol" w:hint="default"/>
      </w:rPr>
    </w:lvl>
    <w:lvl w:ilvl="7" w:tplc="04220003" w:tentative="1">
      <w:start w:val="1"/>
      <w:numFmt w:val="bullet"/>
      <w:lvlText w:val="o"/>
      <w:lvlJc w:val="left"/>
      <w:pPr>
        <w:ind w:left="5848" w:hanging="360"/>
      </w:pPr>
      <w:rPr>
        <w:rFonts w:ascii="Courier New" w:hAnsi="Courier New" w:cs="Courier New" w:hint="default"/>
      </w:rPr>
    </w:lvl>
    <w:lvl w:ilvl="8" w:tplc="04220005" w:tentative="1">
      <w:start w:val="1"/>
      <w:numFmt w:val="bullet"/>
      <w:lvlText w:val=""/>
      <w:lvlJc w:val="left"/>
      <w:pPr>
        <w:ind w:left="6568" w:hanging="360"/>
      </w:pPr>
      <w:rPr>
        <w:rFonts w:ascii="Wingdings" w:hAnsi="Wingdings" w:hint="default"/>
      </w:rPr>
    </w:lvl>
  </w:abstractNum>
  <w:abstractNum w:abstractNumId="9" w15:restartNumberingAfterBreak="0">
    <w:nsid w:val="67A5621B"/>
    <w:multiLevelType w:val="hybridMultilevel"/>
    <w:tmpl w:val="F8545C8A"/>
    <w:lvl w:ilvl="0" w:tplc="3CA880BA">
      <w:start w:val="2"/>
      <w:numFmt w:val="bullet"/>
      <w:lvlText w:val=""/>
      <w:lvlJc w:val="left"/>
      <w:pPr>
        <w:ind w:left="502" w:hanging="360"/>
      </w:pPr>
      <w:rPr>
        <w:rFonts w:ascii="Symbol" w:eastAsia="Times New Roman" w:hAnsi="Symbol"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0" w15:restartNumberingAfterBreak="0">
    <w:nsid w:val="783E3569"/>
    <w:multiLevelType w:val="hybridMultilevel"/>
    <w:tmpl w:val="65862D46"/>
    <w:lvl w:ilvl="0" w:tplc="D4008784">
      <w:start w:val="2"/>
      <w:numFmt w:val="bullet"/>
      <w:lvlText w:val=""/>
      <w:lvlJc w:val="left"/>
      <w:pPr>
        <w:ind w:left="1287" w:hanging="360"/>
      </w:pPr>
      <w:rPr>
        <w:rFonts w:ascii="Symbol" w:eastAsiaTheme="minorEastAsia" w:hAnsi="Symbol"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10"/>
  </w:num>
  <w:num w:numId="4">
    <w:abstractNumId w:val="5"/>
  </w:num>
  <w:num w:numId="5">
    <w:abstractNumId w:val="1"/>
  </w:num>
  <w:num w:numId="6">
    <w:abstractNumId w:val="2"/>
  </w:num>
  <w:num w:numId="7">
    <w:abstractNumId w:val="4"/>
  </w:num>
  <w:num w:numId="8">
    <w:abstractNumId w:val="7"/>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5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E6A"/>
    <w:rsid w:val="00000227"/>
    <w:rsid w:val="00002E5C"/>
    <w:rsid w:val="00003064"/>
    <w:rsid w:val="00003D3F"/>
    <w:rsid w:val="00004404"/>
    <w:rsid w:val="00010229"/>
    <w:rsid w:val="00010332"/>
    <w:rsid w:val="00012551"/>
    <w:rsid w:val="000129EF"/>
    <w:rsid w:val="00020C58"/>
    <w:rsid w:val="000220A7"/>
    <w:rsid w:val="000235A5"/>
    <w:rsid w:val="000237A0"/>
    <w:rsid w:val="00027DF6"/>
    <w:rsid w:val="00030808"/>
    <w:rsid w:val="00033BFD"/>
    <w:rsid w:val="00040BB4"/>
    <w:rsid w:val="000412AC"/>
    <w:rsid w:val="0004137F"/>
    <w:rsid w:val="00043263"/>
    <w:rsid w:val="00044AE7"/>
    <w:rsid w:val="00054ABD"/>
    <w:rsid w:val="0005521A"/>
    <w:rsid w:val="000571D9"/>
    <w:rsid w:val="000575FB"/>
    <w:rsid w:val="00057B38"/>
    <w:rsid w:val="000623EB"/>
    <w:rsid w:val="0006455B"/>
    <w:rsid w:val="0007041B"/>
    <w:rsid w:val="00071126"/>
    <w:rsid w:val="00071BCE"/>
    <w:rsid w:val="000742A6"/>
    <w:rsid w:val="000756D5"/>
    <w:rsid w:val="00075A7A"/>
    <w:rsid w:val="00077F97"/>
    <w:rsid w:val="0008350C"/>
    <w:rsid w:val="00084311"/>
    <w:rsid w:val="00084B76"/>
    <w:rsid w:val="000856CE"/>
    <w:rsid w:val="00094A7E"/>
    <w:rsid w:val="000A1B7B"/>
    <w:rsid w:val="000A2D15"/>
    <w:rsid w:val="000B5306"/>
    <w:rsid w:val="000C0C9D"/>
    <w:rsid w:val="000C0D69"/>
    <w:rsid w:val="000C19A9"/>
    <w:rsid w:val="000C67AC"/>
    <w:rsid w:val="000D0A92"/>
    <w:rsid w:val="000D0DC0"/>
    <w:rsid w:val="000E2DB1"/>
    <w:rsid w:val="000E72E6"/>
    <w:rsid w:val="000F0AA3"/>
    <w:rsid w:val="000F1CF9"/>
    <w:rsid w:val="000F2FCE"/>
    <w:rsid w:val="000F6A47"/>
    <w:rsid w:val="00100E7B"/>
    <w:rsid w:val="00101E58"/>
    <w:rsid w:val="0010624F"/>
    <w:rsid w:val="00106E55"/>
    <w:rsid w:val="00107BA7"/>
    <w:rsid w:val="00112A55"/>
    <w:rsid w:val="00113C01"/>
    <w:rsid w:val="001170F1"/>
    <w:rsid w:val="00117527"/>
    <w:rsid w:val="001179A5"/>
    <w:rsid w:val="00125538"/>
    <w:rsid w:val="00125796"/>
    <w:rsid w:val="00126711"/>
    <w:rsid w:val="001301FE"/>
    <w:rsid w:val="00131580"/>
    <w:rsid w:val="00134EA6"/>
    <w:rsid w:val="00136427"/>
    <w:rsid w:val="001367D8"/>
    <w:rsid w:val="00141405"/>
    <w:rsid w:val="00145120"/>
    <w:rsid w:val="0014646C"/>
    <w:rsid w:val="0015426C"/>
    <w:rsid w:val="00154783"/>
    <w:rsid w:val="001559B9"/>
    <w:rsid w:val="00155FF3"/>
    <w:rsid w:val="00164EF9"/>
    <w:rsid w:val="00165016"/>
    <w:rsid w:val="001739FA"/>
    <w:rsid w:val="00173DBF"/>
    <w:rsid w:val="00180740"/>
    <w:rsid w:val="00181FB2"/>
    <w:rsid w:val="001825E1"/>
    <w:rsid w:val="00183CF6"/>
    <w:rsid w:val="00183EBA"/>
    <w:rsid w:val="00186622"/>
    <w:rsid w:val="00187405"/>
    <w:rsid w:val="001909CF"/>
    <w:rsid w:val="00195A8B"/>
    <w:rsid w:val="00195DFC"/>
    <w:rsid w:val="001A000F"/>
    <w:rsid w:val="001A0CAE"/>
    <w:rsid w:val="001A1D84"/>
    <w:rsid w:val="001A353D"/>
    <w:rsid w:val="001A3668"/>
    <w:rsid w:val="001B3C1E"/>
    <w:rsid w:val="001B4761"/>
    <w:rsid w:val="001C0D1D"/>
    <w:rsid w:val="001C4BCE"/>
    <w:rsid w:val="001E0565"/>
    <w:rsid w:val="001E0CBC"/>
    <w:rsid w:val="001E5A11"/>
    <w:rsid w:val="001F2DDA"/>
    <w:rsid w:val="001F5669"/>
    <w:rsid w:val="001F57B5"/>
    <w:rsid w:val="001F5D2D"/>
    <w:rsid w:val="001F699F"/>
    <w:rsid w:val="001F6EC9"/>
    <w:rsid w:val="001F78CD"/>
    <w:rsid w:val="002010A7"/>
    <w:rsid w:val="00207B2C"/>
    <w:rsid w:val="002123EB"/>
    <w:rsid w:val="0021293F"/>
    <w:rsid w:val="00216B75"/>
    <w:rsid w:val="00217013"/>
    <w:rsid w:val="00220ECD"/>
    <w:rsid w:val="00226454"/>
    <w:rsid w:val="002341CE"/>
    <w:rsid w:val="00234A0A"/>
    <w:rsid w:val="002375DC"/>
    <w:rsid w:val="00240535"/>
    <w:rsid w:val="00242366"/>
    <w:rsid w:val="00242AE5"/>
    <w:rsid w:val="00245539"/>
    <w:rsid w:val="00245C05"/>
    <w:rsid w:val="00255707"/>
    <w:rsid w:val="00255A25"/>
    <w:rsid w:val="00257BA8"/>
    <w:rsid w:val="002665FF"/>
    <w:rsid w:val="00267174"/>
    <w:rsid w:val="0028248A"/>
    <w:rsid w:val="00287251"/>
    <w:rsid w:val="002A4BC0"/>
    <w:rsid w:val="002A5F65"/>
    <w:rsid w:val="002A6F4D"/>
    <w:rsid w:val="002A786C"/>
    <w:rsid w:val="002B1D9E"/>
    <w:rsid w:val="002B26F6"/>
    <w:rsid w:val="002B2DDB"/>
    <w:rsid w:val="002B418C"/>
    <w:rsid w:val="002B74EA"/>
    <w:rsid w:val="002D16AD"/>
    <w:rsid w:val="002D2D54"/>
    <w:rsid w:val="002D46FA"/>
    <w:rsid w:val="002D4CF3"/>
    <w:rsid w:val="002D60FA"/>
    <w:rsid w:val="002E0184"/>
    <w:rsid w:val="002E17F8"/>
    <w:rsid w:val="002E5B9C"/>
    <w:rsid w:val="002E6DD5"/>
    <w:rsid w:val="002F3E15"/>
    <w:rsid w:val="002F4BC0"/>
    <w:rsid w:val="003065B6"/>
    <w:rsid w:val="003108CD"/>
    <w:rsid w:val="003164B2"/>
    <w:rsid w:val="00320046"/>
    <w:rsid w:val="00320779"/>
    <w:rsid w:val="003251C2"/>
    <w:rsid w:val="00327480"/>
    <w:rsid w:val="00327DCD"/>
    <w:rsid w:val="003316A9"/>
    <w:rsid w:val="00336141"/>
    <w:rsid w:val="003367ED"/>
    <w:rsid w:val="00336EBF"/>
    <w:rsid w:val="00341072"/>
    <w:rsid w:val="00341D5B"/>
    <w:rsid w:val="00341D74"/>
    <w:rsid w:val="003420A6"/>
    <w:rsid w:val="00342C5C"/>
    <w:rsid w:val="00344E65"/>
    <w:rsid w:val="00344EAE"/>
    <w:rsid w:val="00345AAB"/>
    <w:rsid w:val="00346EF8"/>
    <w:rsid w:val="00351942"/>
    <w:rsid w:val="00356D69"/>
    <w:rsid w:val="00362793"/>
    <w:rsid w:val="003679A9"/>
    <w:rsid w:val="00371309"/>
    <w:rsid w:val="00372135"/>
    <w:rsid w:val="0037244E"/>
    <w:rsid w:val="00377EE4"/>
    <w:rsid w:val="00380957"/>
    <w:rsid w:val="00387C6E"/>
    <w:rsid w:val="00391657"/>
    <w:rsid w:val="003916D1"/>
    <w:rsid w:val="00392588"/>
    <w:rsid w:val="00393589"/>
    <w:rsid w:val="00395CB3"/>
    <w:rsid w:val="003A46B2"/>
    <w:rsid w:val="003B53E5"/>
    <w:rsid w:val="003B765C"/>
    <w:rsid w:val="003C004B"/>
    <w:rsid w:val="003C10E8"/>
    <w:rsid w:val="003C634E"/>
    <w:rsid w:val="003D7C45"/>
    <w:rsid w:val="003E4106"/>
    <w:rsid w:val="003E4525"/>
    <w:rsid w:val="003E5062"/>
    <w:rsid w:val="003E54FF"/>
    <w:rsid w:val="003F03EC"/>
    <w:rsid w:val="003F2AAD"/>
    <w:rsid w:val="003F457D"/>
    <w:rsid w:val="003F5971"/>
    <w:rsid w:val="003F79DA"/>
    <w:rsid w:val="00400684"/>
    <w:rsid w:val="00400AD4"/>
    <w:rsid w:val="00401E80"/>
    <w:rsid w:val="00406977"/>
    <w:rsid w:val="00406F3B"/>
    <w:rsid w:val="00407A22"/>
    <w:rsid w:val="00407B8D"/>
    <w:rsid w:val="00411838"/>
    <w:rsid w:val="00411A38"/>
    <w:rsid w:val="00412175"/>
    <w:rsid w:val="004148FD"/>
    <w:rsid w:val="00426DF9"/>
    <w:rsid w:val="00430304"/>
    <w:rsid w:val="004347A3"/>
    <w:rsid w:val="00435308"/>
    <w:rsid w:val="00435F7D"/>
    <w:rsid w:val="0043737D"/>
    <w:rsid w:val="00437DB1"/>
    <w:rsid w:val="0044011D"/>
    <w:rsid w:val="004416B8"/>
    <w:rsid w:val="00441950"/>
    <w:rsid w:val="004419DE"/>
    <w:rsid w:val="00441C60"/>
    <w:rsid w:val="00442353"/>
    <w:rsid w:val="00443EEF"/>
    <w:rsid w:val="0044543A"/>
    <w:rsid w:val="0044683F"/>
    <w:rsid w:val="00447DD5"/>
    <w:rsid w:val="00450A5C"/>
    <w:rsid w:val="00456E69"/>
    <w:rsid w:val="00457BBE"/>
    <w:rsid w:val="00461F03"/>
    <w:rsid w:val="00466B02"/>
    <w:rsid w:val="00471CEC"/>
    <w:rsid w:val="00477F0C"/>
    <w:rsid w:val="00487105"/>
    <w:rsid w:val="00494E87"/>
    <w:rsid w:val="00495741"/>
    <w:rsid w:val="004A1D7F"/>
    <w:rsid w:val="004A49E8"/>
    <w:rsid w:val="004B5857"/>
    <w:rsid w:val="004B60B0"/>
    <w:rsid w:val="004B70F5"/>
    <w:rsid w:val="004C031A"/>
    <w:rsid w:val="004C7C50"/>
    <w:rsid w:val="004D16A5"/>
    <w:rsid w:val="004D4A87"/>
    <w:rsid w:val="004D6C12"/>
    <w:rsid w:val="004E33BC"/>
    <w:rsid w:val="004E4598"/>
    <w:rsid w:val="004E4D59"/>
    <w:rsid w:val="004E6C15"/>
    <w:rsid w:val="004F39C2"/>
    <w:rsid w:val="004F6258"/>
    <w:rsid w:val="004F6314"/>
    <w:rsid w:val="004F70C2"/>
    <w:rsid w:val="00503C9F"/>
    <w:rsid w:val="005045F0"/>
    <w:rsid w:val="00505C94"/>
    <w:rsid w:val="005068A5"/>
    <w:rsid w:val="00506DA3"/>
    <w:rsid w:val="005271EA"/>
    <w:rsid w:val="00530467"/>
    <w:rsid w:val="005307BB"/>
    <w:rsid w:val="00531A04"/>
    <w:rsid w:val="005328C6"/>
    <w:rsid w:val="00534133"/>
    <w:rsid w:val="005345E1"/>
    <w:rsid w:val="005352D4"/>
    <w:rsid w:val="005367B0"/>
    <w:rsid w:val="0055692C"/>
    <w:rsid w:val="00557B85"/>
    <w:rsid w:val="00560D5D"/>
    <w:rsid w:val="00562930"/>
    <w:rsid w:val="00564758"/>
    <w:rsid w:val="00564B14"/>
    <w:rsid w:val="00565825"/>
    <w:rsid w:val="00566CC7"/>
    <w:rsid w:val="005711A0"/>
    <w:rsid w:val="00573638"/>
    <w:rsid w:val="005762FD"/>
    <w:rsid w:val="005801E9"/>
    <w:rsid w:val="005829CF"/>
    <w:rsid w:val="005835B0"/>
    <w:rsid w:val="005842CD"/>
    <w:rsid w:val="00584496"/>
    <w:rsid w:val="00591357"/>
    <w:rsid w:val="005946A1"/>
    <w:rsid w:val="00596121"/>
    <w:rsid w:val="005977A2"/>
    <w:rsid w:val="005A0374"/>
    <w:rsid w:val="005A13ED"/>
    <w:rsid w:val="005A2F24"/>
    <w:rsid w:val="005A65AA"/>
    <w:rsid w:val="005A6F2C"/>
    <w:rsid w:val="005B2E53"/>
    <w:rsid w:val="005B6155"/>
    <w:rsid w:val="005C0461"/>
    <w:rsid w:val="005C3C13"/>
    <w:rsid w:val="005D057E"/>
    <w:rsid w:val="005D0BF0"/>
    <w:rsid w:val="005D1899"/>
    <w:rsid w:val="005D1B25"/>
    <w:rsid w:val="005D2E47"/>
    <w:rsid w:val="005D3E9D"/>
    <w:rsid w:val="005D4B71"/>
    <w:rsid w:val="005D5FF2"/>
    <w:rsid w:val="005D6FC8"/>
    <w:rsid w:val="005D7B95"/>
    <w:rsid w:val="005E1C39"/>
    <w:rsid w:val="005E1C78"/>
    <w:rsid w:val="005E3275"/>
    <w:rsid w:val="005E333E"/>
    <w:rsid w:val="005E5665"/>
    <w:rsid w:val="005E59E3"/>
    <w:rsid w:val="005E5C6B"/>
    <w:rsid w:val="005E6FE5"/>
    <w:rsid w:val="005F3DB5"/>
    <w:rsid w:val="005F6C6A"/>
    <w:rsid w:val="00600257"/>
    <w:rsid w:val="0060179B"/>
    <w:rsid w:val="00601A7A"/>
    <w:rsid w:val="00604CB1"/>
    <w:rsid w:val="00607924"/>
    <w:rsid w:val="0061026E"/>
    <w:rsid w:val="006103B9"/>
    <w:rsid w:val="00611344"/>
    <w:rsid w:val="006124E2"/>
    <w:rsid w:val="00612D04"/>
    <w:rsid w:val="00626D1E"/>
    <w:rsid w:val="00627DEE"/>
    <w:rsid w:val="00630840"/>
    <w:rsid w:val="006317BC"/>
    <w:rsid w:val="00641CBD"/>
    <w:rsid w:val="0064234F"/>
    <w:rsid w:val="00644F00"/>
    <w:rsid w:val="006451DC"/>
    <w:rsid w:val="006459FC"/>
    <w:rsid w:val="00647B99"/>
    <w:rsid w:val="006507FD"/>
    <w:rsid w:val="00651B55"/>
    <w:rsid w:val="00656A3E"/>
    <w:rsid w:val="00657A69"/>
    <w:rsid w:val="00657B59"/>
    <w:rsid w:val="00657D76"/>
    <w:rsid w:val="00657DB8"/>
    <w:rsid w:val="006621FC"/>
    <w:rsid w:val="00662428"/>
    <w:rsid w:val="00670710"/>
    <w:rsid w:val="0067265D"/>
    <w:rsid w:val="00675645"/>
    <w:rsid w:val="00682D71"/>
    <w:rsid w:val="00684320"/>
    <w:rsid w:val="00687A2D"/>
    <w:rsid w:val="00696AC4"/>
    <w:rsid w:val="006A12F1"/>
    <w:rsid w:val="006A1CE0"/>
    <w:rsid w:val="006A2014"/>
    <w:rsid w:val="006A3BA3"/>
    <w:rsid w:val="006B0623"/>
    <w:rsid w:val="006B1D4A"/>
    <w:rsid w:val="006B2B06"/>
    <w:rsid w:val="006B317B"/>
    <w:rsid w:val="006B3BE6"/>
    <w:rsid w:val="006B6EA3"/>
    <w:rsid w:val="006C3F3F"/>
    <w:rsid w:val="006C4F5E"/>
    <w:rsid w:val="006D0ED7"/>
    <w:rsid w:val="006D4076"/>
    <w:rsid w:val="006D51EA"/>
    <w:rsid w:val="006D6000"/>
    <w:rsid w:val="006D77B4"/>
    <w:rsid w:val="006E4829"/>
    <w:rsid w:val="006E5749"/>
    <w:rsid w:val="006E76A6"/>
    <w:rsid w:val="006F2125"/>
    <w:rsid w:val="006F763F"/>
    <w:rsid w:val="00701430"/>
    <w:rsid w:val="0070189C"/>
    <w:rsid w:val="0070189F"/>
    <w:rsid w:val="007022A6"/>
    <w:rsid w:val="00704228"/>
    <w:rsid w:val="00704E0A"/>
    <w:rsid w:val="00710A92"/>
    <w:rsid w:val="00710B5E"/>
    <w:rsid w:val="007121AB"/>
    <w:rsid w:val="00722B31"/>
    <w:rsid w:val="00723DED"/>
    <w:rsid w:val="007270DA"/>
    <w:rsid w:val="007315EE"/>
    <w:rsid w:val="007346B3"/>
    <w:rsid w:val="00736833"/>
    <w:rsid w:val="00737394"/>
    <w:rsid w:val="00741039"/>
    <w:rsid w:val="0074176B"/>
    <w:rsid w:val="00741ECD"/>
    <w:rsid w:val="007434D8"/>
    <w:rsid w:val="007437DC"/>
    <w:rsid w:val="00744605"/>
    <w:rsid w:val="00746E9D"/>
    <w:rsid w:val="0075208D"/>
    <w:rsid w:val="007520A0"/>
    <w:rsid w:val="00757A2C"/>
    <w:rsid w:val="007650CF"/>
    <w:rsid w:val="00773E23"/>
    <w:rsid w:val="007761E7"/>
    <w:rsid w:val="0077713C"/>
    <w:rsid w:val="00777361"/>
    <w:rsid w:val="007775B4"/>
    <w:rsid w:val="00782339"/>
    <w:rsid w:val="00784C65"/>
    <w:rsid w:val="007852A3"/>
    <w:rsid w:val="00791E57"/>
    <w:rsid w:val="00796B00"/>
    <w:rsid w:val="007A0A75"/>
    <w:rsid w:val="007A352A"/>
    <w:rsid w:val="007A4012"/>
    <w:rsid w:val="007A4295"/>
    <w:rsid w:val="007A5280"/>
    <w:rsid w:val="007B11B9"/>
    <w:rsid w:val="007B18E8"/>
    <w:rsid w:val="007B30A2"/>
    <w:rsid w:val="007C10E1"/>
    <w:rsid w:val="007C2D85"/>
    <w:rsid w:val="007C34EF"/>
    <w:rsid w:val="007D49FB"/>
    <w:rsid w:val="007D67CC"/>
    <w:rsid w:val="007E15D0"/>
    <w:rsid w:val="007E2B4E"/>
    <w:rsid w:val="007E3A4C"/>
    <w:rsid w:val="007E6BB8"/>
    <w:rsid w:val="007F13FD"/>
    <w:rsid w:val="007F516D"/>
    <w:rsid w:val="007F58C1"/>
    <w:rsid w:val="007F5A05"/>
    <w:rsid w:val="007F7EAE"/>
    <w:rsid w:val="00800551"/>
    <w:rsid w:val="0080274F"/>
    <w:rsid w:val="00812031"/>
    <w:rsid w:val="0081327D"/>
    <w:rsid w:val="00817303"/>
    <w:rsid w:val="00821394"/>
    <w:rsid w:val="00823235"/>
    <w:rsid w:val="00823415"/>
    <w:rsid w:val="008264C0"/>
    <w:rsid w:val="00826746"/>
    <w:rsid w:val="00827CEF"/>
    <w:rsid w:val="00830243"/>
    <w:rsid w:val="00830C28"/>
    <w:rsid w:val="00832E4E"/>
    <w:rsid w:val="00836B92"/>
    <w:rsid w:val="008372FE"/>
    <w:rsid w:val="008402FD"/>
    <w:rsid w:val="008417B8"/>
    <w:rsid w:val="00843EDA"/>
    <w:rsid w:val="008463E5"/>
    <w:rsid w:val="00852724"/>
    <w:rsid w:val="00852B85"/>
    <w:rsid w:val="008541D8"/>
    <w:rsid w:val="00856A14"/>
    <w:rsid w:val="00861D0D"/>
    <w:rsid w:val="008637BC"/>
    <w:rsid w:val="00866B00"/>
    <w:rsid w:val="00871221"/>
    <w:rsid w:val="00872F4F"/>
    <w:rsid w:val="008756A3"/>
    <w:rsid w:val="00875A50"/>
    <w:rsid w:val="00876138"/>
    <w:rsid w:val="008854F0"/>
    <w:rsid w:val="008878C3"/>
    <w:rsid w:val="0089232F"/>
    <w:rsid w:val="00893BE6"/>
    <w:rsid w:val="00894961"/>
    <w:rsid w:val="00894D57"/>
    <w:rsid w:val="008971A3"/>
    <w:rsid w:val="008A242D"/>
    <w:rsid w:val="008A2D71"/>
    <w:rsid w:val="008A3105"/>
    <w:rsid w:val="008A46F0"/>
    <w:rsid w:val="008A4CB0"/>
    <w:rsid w:val="008B2B30"/>
    <w:rsid w:val="008C1EE9"/>
    <w:rsid w:val="008C2035"/>
    <w:rsid w:val="008C42E1"/>
    <w:rsid w:val="008D4101"/>
    <w:rsid w:val="008D4F2B"/>
    <w:rsid w:val="008D506E"/>
    <w:rsid w:val="008E0D59"/>
    <w:rsid w:val="008E1D6C"/>
    <w:rsid w:val="008E295A"/>
    <w:rsid w:val="008E3386"/>
    <w:rsid w:val="008E4A88"/>
    <w:rsid w:val="008E4B01"/>
    <w:rsid w:val="008F62EB"/>
    <w:rsid w:val="008F6624"/>
    <w:rsid w:val="009002C6"/>
    <w:rsid w:val="009021E6"/>
    <w:rsid w:val="00903EB7"/>
    <w:rsid w:val="00905B28"/>
    <w:rsid w:val="00907E5E"/>
    <w:rsid w:val="00910ADF"/>
    <w:rsid w:val="00910C0C"/>
    <w:rsid w:val="00915164"/>
    <w:rsid w:val="0091563B"/>
    <w:rsid w:val="009204F9"/>
    <w:rsid w:val="00922684"/>
    <w:rsid w:val="00923CE9"/>
    <w:rsid w:val="00924D24"/>
    <w:rsid w:val="009329FA"/>
    <w:rsid w:val="00932E5D"/>
    <w:rsid w:val="009345FA"/>
    <w:rsid w:val="009361D1"/>
    <w:rsid w:val="00936487"/>
    <w:rsid w:val="009404F7"/>
    <w:rsid w:val="00942634"/>
    <w:rsid w:val="0094484C"/>
    <w:rsid w:val="00944BB1"/>
    <w:rsid w:val="00946F93"/>
    <w:rsid w:val="00947165"/>
    <w:rsid w:val="00952CDF"/>
    <w:rsid w:val="0095454C"/>
    <w:rsid w:val="00962378"/>
    <w:rsid w:val="00962D04"/>
    <w:rsid w:val="0096499D"/>
    <w:rsid w:val="009657BE"/>
    <w:rsid w:val="00966200"/>
    <w:rsid w:val="009700C0"/>
    <w:rsid w:val="00972D00"/>
    <w:rsid w:val="00973B80"/>
    <w:rsid w:val="0097613B"/>
    <w:rsid w:val="00976216"/>
    <w:rsid w:val="00982943"/>
    <w:rsid w:val="00984297"/>
    <w:rsid w:val="00985078"/>
    <w:rsid w:val="00985801"/>
    <w:rsid w:val="00985E63"/>
    <w:rsid w:val="00990683"/>
    <w:rsid w:val="009A0155"/>
    <w:rsid w:val="009A02C1"/>
    <w:rsid w:val="009A0AD5"/>
    <w:rsid w:val="009A5E97"/>
    <w:rsid w:val="009A602A"/>
    <w:rsid w:val="009A66A3"/>
    <w:rsid w:val="009A7CC3"/>
    <w:rsid w:val="009B3241"/>
    <w:rsid w:val="009B5C98"/>
    <w:rsid w:val="009C0185"/>
    <w:rsid w:val="009C0F02"/>
    <w:rsid w:val="009C147F"/>
    <w:rsid w:val="009C1FBB"/>
    <w:rsid w:val="009D0793"/>
    <w:rsid w:val="009D22B1"/>
    <w:rsid w:val="009D2A45"/>
    <w:rsid w:val="009D3A0A"/>
    <w:rsid w:val="009D5D5F"/>
    <w:rsid w:val="009D7177"/>
    <w:rsid w:val="009D71F0"/>
    <w:rsid w:val="009D73BE"/>
    <w:rsid w:val="009E150A"/>
    <w:rsid w:val="009E17B7"/>
    <w:rsid w:val="009E277B"/>
    <w:rsid w:val="009F05AB"/>
    <w:rsid w:val="00A00886"/>
    <w:rsid w:val="00A02146"/>
    <w:rsid w:val="00A02D92"/>
    <w:rsid w:val="00A0402E"/>
    <w:rsid w:val="00A040EF"/>
    <w:rsid w:val="00A06E31"/>
    <w:rsid w:val="00A12E21"/>
    <w:rsid w:val="00A13298"/>
    <w:rsid w:val="00A14E96"/>
    <w:rsid w:val="00A1603C"/>
    <w:rsid w:val="00A167C8"/>
    <w:rsid w:val="00A2256E"/>
    <w:rsid w:val="00A251C7"/>
    <w:rsid w:val="00A275EA"/>
    <w:rsid w:val="00A354E9"/>
    <w:rsid w:val="00A418D5"/>
    <w:rsid w:val="00A423B9"/>
    <w:rsid w:val="00A43BA9"/>
    <w:rsid w:val="00A45649"/>
    <w:rsid w:val="00A50C88"/>
    <w:rsid w:val="00A51869"/>
    <w:rsid w:val="00A52430"/>
    <w:rsid w:val="00A54969"/>
    <w:rsid w:val="00A553BA"/>
    <w:rsid w:val="00A554B1"/>
    <w:rsid w:val="00A56027"/>
    <w:rsid w:val="00A562AC"/>
    <w:rsid w:val="00A56EDF"/>
    <w:rsid w:val="00A5778C"/>
    <w:rsid w:val="00A61A55"/>
    <w:rsid w:val="00A622E0"/>
    <w:rsid w:val="00A62E4F"/>
    <w:rsid w:val="00A64BE5"/>
    <w:rsid w:val="00A71231"/>
    <w:rsid w:val="00A7441D"/>
    <w:rsid w:val="00A77C99"/>
    <w:rsid w:val="00A80982"/>
    <w:rsid w:val="00A815CB"/>
    <w:rsid w:val="00A85C74"/>
    <w:rsid w:val="00A91617"/>
    <w:rsid w:val="00A92969"/>
    <w:rsid w:val="00A93C8B"/>
    <w:rsid w:val="00A95395"/>
    <w:rsid w:val="00A95A7D"/>
    <w:rsid w:val="00AA1A3F"/>
    <w:rsid w:val="00AA6484"/>
    <w:rsid w:val="00AB0F5B"/>
    <w:rsid w:val="00AC165E"/>
    <w:rsid w:val="00AC1B9E"/>
    <w:rsid w:val="00AC50A0"/>
    <w:rsid w:val="00AC60F9"/>
    <w:rsid w:val="00AF04CA"/>
    <w:rsid w:val="00AF1A57"/>
    <w:rsid w:val="00AF2C57"/>
    <w:rsid w:val="00AF5777"/>
    <w:rsid w:val="00AF6486"/>
    <w:rsid w:val="00AF77B7"/>
    <w:rsid w:val="00B00002"/>
    <w:rsid w:val="00B0452E"/>
    <w:rsid w:val="00B06F8B"/>
    <w:rsid w:val="00B10F5B"/>
    <w:rsid w:val="00B11C5A"/>
    <w:rsid w:val="00B11CA2"/>
    <w:rsid w:val="00B15C99"/>
    <w:rsid w:val="00B16D2B"/>
    <w:rsid w:val="00B16FC7"/>
    <w:rsid w:val="00B17150"/>
    <w:rsid w:val="00B201F1"/>
    <w:rsid w:val="00B20712"/>
    <w:rsid w:val="00B22DD2"/>
    <w:rsid w:val="00B243E4"/>
    <w:rsid w:val="00B32758"/>
    <w:rsid w:val="00B3359C"/>
    <w:rsid w:val="00B3788E"/>
    <w:rsid w:val="00B52AA1"/>
    <w:rsid w:val="00B55986"/>
    <w:rsid w:val="00B64A88"/>
    <w:rsid w:val="00B66BA5"/>
    <w:rsid w:val="00B66D03"/>
    <w:rsid w:val="00B67160"/>
    <w:rsid w:val="00B676F1"/>
    <w:rsid w:val="00B81BC8"/>
    <w:rsid w:val="00B839B4"/>
    <w:rsid w:val="00B841EE"/>
    <w:rsid w:val="00B87ED2"/>
    <w:rsid w:val="00B9066B"/>
    <w:rsid w:val="00B91048"/>
    <w:rsid w:val="00B91E6A"/>
    <w:rsid w:val="00B94E3D"/>
    <w:rsid w:val="00B9525F"/>
    <w:rsid w:val="00B9620B"/>
    <w:rsid w:val="00B96BAF"/>
    <w:rsid w:val="00B97866"/>
    <w:rsid w:val="00BA11A0"/>
    <w:rsid w:val="00BA17EB"/>
    <w:rsid w:val="00BA6FF1"/>
    <w:rsid w:val="00BB4039"/>
    <w:rsid w:val="00BB4093"/>
    <w:rsid w:val="00BC416E"/>
    <w:rsid w:val="00BC44E6"/>
    <w:rsid w:val="00BC5838"/>
    <w:rsid w:val="00BD140C"/>
    <w:rsid w:val="00BD373F"/>
    <w:rsid w:val="00BE173B"/>
    <w:rsid w:val="00BE34BF"/>
    <w:rsid w:val="00BE45DE"/>
    <w:rsid w:val="00BE63DB"/>
    <w:rsid w:val="00BE6CB1"/>
    <w:rsid w:val="00BF07C3"/>
    <w:rsid w:val="00BF09A2"/>
    <w:rsid w:val="00BF51C7"/>
    <w:rsid w:val="00BF7ACA"/>
    <w:rsid w:val="00C00E10"/>
    <w:rsid w:val="00C0122A"/>
    <w:rsid w:val="00C024FF"/>
    <w:rsid w:val="00C04493"/>
    <w:rsid w:val="00C12599"/>
    <w:rsid w:val="00C15A56"/>
    <w:rsid w:val="00C217F9"/>
    <w:rsid w:val="00C24D6F"/>
    <w:rsid w:val="00C3031F"/>
    <w:rsid w:val="00C45BA1"/>
    <w:rsid w:val="00C47112"/>
    <w:rsid w:val="00C5027F"/>
    <w:rsid w:val="00C50907"/>
    <w:rsid w:val="00C53FFF"/>
    <w:rsid w:val="00C55DB8"/>
    <w:rsid w:val="00C57EFC"/>
    <w:rsid w:val="00C62AC9"/>
    <w:rsid w:val="00C65B1E"/>
    <w:rsid w:val="00C66B54"/>
    <w:rsid w:val="00C73E49"/>
    <w:rsid w:val="00C75B51"/>
    <w:rsid w:val="00C81928"/>
    <w:rsid w:val="00C90863"/>
    <w:rsid w:val="00C91F89"/>
    <w:rsid w:val="00C92BBC"/>
    <w:rsid w:val="00C970E1"/>
    <w:rsid w:val="00CA0306"/>
    <w:rsid w:val="00CA0798"/>
    <w:rsid w:val="00CA0B4C"/>
    <w:rsid w:val="00CA637F"/>
    <w:rsid w:val="00CB0021"/>
    <w:rsid w:val="00CC38EB"/>
    <w:rsid w:val="00CD101B"/>
    <w:rsid w:val="00CD2E30"/>
    <w:rsid w:val="00CE0942"/>
    <w:rsid w:val="00CE3524"/>
    <w:rsid w:val="00CE3A55"/>
    <w:rsid w:val="00CF1460"/>
    <w:rsid w:val="00CF1605"/>
    <w:rsid w:val="00CF2376"/>
    <w:rsid w:val="00CF45C8"/>
    <w:rsid w:val="00CF4D7C"/>
    <w:rsid w:val="00D01AA1"/>
    <w:rsid w:val="00D053EC"/>
    <w:rsid w:val="00D0640D"/>
    <w:rsid w:val="00D070AA"/>
    <w:rsid w:val="00D078F4"/>
    <w:rsid w:val="00D145F3"/>
    <w:rsid w:val="00D176A4"/>
    <w:rsid w:val="00D247AB"/>
    <w:rsid w:val="00D24CFB"/>
    <w:rsid w:val="00D26669"/>
    <w:rsid w:val="00D267BC"/>
    <w:rsid w:val="00D30DD0"/>
    <w:rsid w:val="00D34CAE"/>
    <w:rsid w:val="00D34D29"/>
    <w:rsid w:val="00D35234"/>
    <w:rsid w:val="00D358DB"/>
    <w:rsid w:val="00D35CF1"/>
    <w:rsid w:val="00D35E0D"/>
    <w:rsid w:val="00D374E6"/>
    <w:rsid w:val="00D37839"/>
    <w:rsid w:val="00D432CB"/>
    <w:rsid w:val="00D45994"/>
    <w:rsid w:val="00D45ABA"/>
    <w:rsid w:val="00D51B11"/>
    <w:rsid w:val="00D528A5"/>
    <w:rsid w:val="00D54552"/>
    <w:rsid w:val="00D562F2"/>
    <w:rsid w:val="00D576C6"/>
    <w:rsid w:val="00D605D0"/>
    <w:rsid w:val="00D61639"/>
    <w:rsid w:val="00D643AD"/>
    <w:rsid w:val="00D67E03"/>
    <w:rsid w:val="00D73321"/>
    <w:rsid w:val="00D750DA"/>
    <w:rsid w:val="00D75EF8"/>
    <w:rsid w:val="00D77340"/>
    <w:rsid w:val="00D80D9F"/>
    <w:rsid w:val="00D92319"/>
    <w:rsid w:val="00D92683"/>
    <w:rsid w:val="00D92A59"/>
    <w:rsid w:val="00D94006"/>
    <w:rsid w:val="00DA1AA1"/>
    <w:rsid w:val="00DA1AEA"/>
    <w:rsid w:val="00DA2978"/>
    <w:rsid w:val="00DB2F93"/>
    <w:rsid w:val="00DC2961"/>
    <w:rsid w:val="00DC58FB"/>
    <w:rsid w:val="00DC687E"/>
    <w:rsid w:val="00DD001F"/>
    <w:rsid w:val="00DD00E4"/>
    <w:rsid w:val="00DD2883"/>
    <w:rsid w:val="00DD2FAA"/>
    <w:rsid w:val="00DD3CAB"/>
    <w:rsid w:val="00DD44C0"/>
    <w:rsid w:val="00DD5931"/>
    <w:rsid w:val="00DD5A44"/>
    <w:rsid w:val="00DD68C0"/>
    <w:rsid w:val="00DE0EE7"/>
    <w:rsid w:val="00DE607C"/>
    <w:rsid w:val="00DF02C1"/>
    <w:rsid w:val="00DF09C6"/>
    <w:rsid w:val="00E00BCF"/>
    <w:rsid w:val="00E021E1"/>
    <w:rsid w:val="00E027C4"/>
    <w:rsid w:val="00E06D71"/>
    <w:rsid w:val="00E111A7"/>
    <w:rsid w:val="00E174F6"/>
    <w:rsid w:val="00E201FC"/>
    <w:rsid w:val="00E20501"/>
    <w:rsid w:val="00E20DDE"/>
    <w:rsid w:val="00E22F1D"/>
    <w:rsid w:val="00E23F06"/>
    <w:rsid w:val="00E262E6"/>
    <w:rsid w:val="00E30BB8"/>
    <w:rsid w:val="00E337C3"/>
    <w:rsid w:val="00E35042"/>
    <w:rsid w:val="00E40D88"/>
    <w:rsid w:val="00E4269D"/>
    <w:rsid w:val="00E42E30"/>
    <w:rsid w:val="00E47E80"/>
    <w:rsid w:val="00E50237"/>
    <w:rsid w:val="00E535A0"/>
    <w:rsid w:val="00E543CE"/>
    <w:rsid w:val="00E567C4"/>
    <w:rsid w:val="00E62EFB"/>
    <w:rsid w:val="00E70524"/>
    <w:rsid w:val="00E74CD7"/>
    <w:rsid w:val="00E77BFF"/>
    <w:rsid w:val="00E81AB2"/>
    <w:rsid w:val="00E83604"/>
    <w:rsid w:val="00E84F7F"/>
    <w:rsid w:val="00E85D0B"/>
    <w:rsid w:val="00E86E8E"/>
    <w:rsid w:val="00E878EB"/>
    <w:rsid w:val="00E90F0B"/>
    <w:rsid w:val="00E939A3"/>
    <w:rsid w:val="00EA0B32"/>
    <w:rsid w:val="00EA4B0F"/>
    <w:rsid w:val="00EA4F0B"/>
    <w:rsid w:val="00EA631B"/>
    <w:rsid w:val="00EA6430"/>
    <w:rsid w:val="00EB48B3"/>
    <w:rsid w:val="00EB500C"/>
    <w:rsid w:val="00EB5657"/>
    <w:rsid w:val="00EB6DD9"/>
    <w:rsid w:val="00EB75E9"/>
    <w:rsid w:val="00EC27AA"/>
    <w:rsid w:val="00EC41A1"/>
    <w:rsid w:val="00EC5444"/>
    <w:rsid w:val="00EC60D3"/>
    <w:rsid w:val="00ED406C"/>
    <w:rsid w:val="00ED5DA1"/>
    <w:rsid w:val="00ED612E"/>
    <w:rsid w:val="00EE1BE7"/>
    <w:rsid w:val="00EE2428"/>
    <w:rsid w:val="00EE34A6"/>
    <w:rsid w:val="00EE4EA8"/>
    <w:rsid w:val="00EE73C9"/>
    <w:rsid w:val="00EF3062"/>
    <w:rsid w:val="00EF61B6"/>
    <w:rsid w:val="00EF713A"/>
    <w:rsid w:val="00F0162A"/>
    <w:rsid w:val="00F017AB"/>
    <w:rsid w:val="00F06B92"/>
    <w:rsid w:val="00F07DFB"/>
    <w:rsid w:val="00F11C27"/>
    <w:rsid w:val="00F1219E"/>
    <w:rsid w:val="00F12409"/>
    <w:rsid w:val="00F1615B"/>
    <w:rsid w:val="00F268B4"/>
    <w:rsid w:val="00F3222A"/>
    <w:rsid w:val="00F33369"/>
    <w:rsid w:val="00F35BBD"/>
    <w:rsid w:val="00F3625C"/>
    <w:rsid w:val="00F36C1F"/>
    <w:rsid w:val="00F40845"/>
    <w:rsid w:val="00F44C52"/>
    <w:rsid w:val="00F464C0"/>
    <w:rsid w:val="00F46C3C"/>
    <w:rsid w:val="00F523C1"/>
    <w:rsid w:val="00F525EC"/>
    <w:rsid w:val="00F542E1"/>
    <w:rsid w:val="00F641CB"/>
    <w:rsid w:val="00F72CEC"/>
    <w:rsid w:val="00F72D7E"/>
    <w:rsid w:val="00F7765B"/>
    <w:rsid w:val="00F81330"/>
    <w:rsid w:val="00F8754C"/>
    <w:rsid w:val="00F9024C"/>
    <w:rsid w:val="00F906CB"/>
    <w:rsid w:val="00F91528"/>
    <w:rsid w:val="00F9439A"/>
    <w:rsid w:val="00FA09E4"/>
    <w:rsid w:val="00FA211B"/>
    <w:rsid w:val="00FA3917"/>
    <w:rsid w:val="00FA59BC"/>
    <w:rsid w:val="00FA7F99"/>
    <w:rsid w:val="00FB136D"/>
    <w:rsid w:val="00FB2A96"/>
    <w:rsid w:val="00FB6020"/>
    <w:rsid w:val="00FC0678"/>
    <w:rsid w:val="00FC270E"/>
    <w:rsid w:val="00FC4BB1"/>
    <w:rsid w:val="00FC6D9A"/>
    <w:rsid w:val="00FD32FF"/>
    <w:rsid w:val="00FD3EA2"/>
    <w:rsid w:val="00FD56D5"/>
    <w:rsid w:val="00FD5E87"/>
    <w:rsid w:val="00FE4047"/>
    <w:rsid w:val="00FE6C0C"/>
    <w:rsid w:val="00FE78F0"/>
    <w:rsid w:val="00FF1790"/>
    <w:rsid w:val="00FF29BC"/>
    <w:rsid w:val="00FF426E"/>
    <w:rsid w:val="00FF61CA"/>
    <w:rsid w:val="00FF6ADD"/>
    <w:rsid w:val="00FF7D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CC8B2"/>
  <w15:docId w15:val="{0FD6E837-AB1D-46D4-95F0-195B36A4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57B5"/>
    <w:pPr>
      <w:spacing w:after="0" w:line="240" w:lineRule="auto"/>
    </w:pPr>
    <w:rPr>
      <w:rFonts w:ascii="Times New Roman" w:eastAsiaTheme="minorEastAsia" w:hAnsi="Times New Roman" w:cs="Times New Roman"/>
      <w:sz w:val="24"/>
      <w:szCs w:val="24"/>
      <w:lang w:eastAsia="uk-UA"/>
    </w:rPr>
  </w:style>
  <w:style w:type="paragraph" w:styleId="2">
    <w:name w:val="heading 2"/>
    <w:basedOn w:val="a"/>
    <w:next w:val="a0"/>
    <w:link w:val="20"/>
    <w:qFormat/>
    <w:rsid w:val="00A06E31"/>
    <w:pPr>
      <w:numPr>
        <w:ilvl w:val="1"/>
        <w:numId w:val="1"/>
      </w:numPr>
      <w:suppressAutoHyphens/>
      <w:spacing w:before="280" w:after="280"/>
      <w:outlineLvl w:val="1"/>
    </w:pPr>
    <w:rPr>
      <w:rFonts w:eastAsia="Times New Roman"/>
      <w:b/>
      <w:bCs/>
      <w:sz w:val="36"/>
      <w:szCs w:val="36"/>
      <w:lang w:val="ru-RU" w:eastAsia="ar-SA"/>
    </w:rPr>
  </w:style>
  <w:style w:type="paragraph" w:styleId="3">
    <w:name w:val="heading 3"/>
    <w:basedOn w:val="a"/>
    <w:next w:val="a"/>
    <w:link w:val="30"/>
    <w:uiPriority w:val="9"/>
    <w:semiHidden/>
    <w:unhideWhenUsed/>
    <w:qFormat/>
    <w:rsid w:val="008264C0"/>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веб) Знак,Знак1 Знак,Знак1 Знак Знак,Знак1 Знак Знак Знак Знак Знак Знак Знак,Знак1,Обычный (веб) Знак2,Обычный (веб) Знак1 Знак,Обычный (веб) Знак Знак Знак,Знак1 Знак1 Знак Знак Знак Знак,Обычный (Web),Обычный (Web"/>
    <w:basedOn w:val="a"/>
    <w:link w:val="a5"/>
    <w:uiPriority w:val="99"/>
    <w:unhideWhenUsed/>
    <w:qFormat/>
    <w:rsid w:val="00B91E6A"/>
    <w:pPr>
      <w:spacing w:before="100" w:beforeAutospacing="1" w:after="100" w:afterAutospacing="1"/>
    </w:pPr>
  </w:style>
  <w:style w:type="character" w:customStyle="1" w:styleId="font141">
    <w:name w:val="font141"/>
    <w:basedOn w:val="a1"/>
    <w:rsid w:val="00B91E6A"/>
    <w:rPr>
      <w:rFonts w:ascii="Times New Roman" w:hAnsi="Times New Roman" w:cs="Times New Roman" w:hint="default"/>
      <w:sz w:val="22"/>
      <w:szCs w:val="22"/>
    </w:rPr>
  </w:style>
  <w:style w:type="character" w:customStyle="1" w:styleId="font171">
    <w:name w:val="font171"/>
    <w:basedOn w:val="a1"/>
    <w:rsid w:val="00B91E6A"/>
    <w:rPr>
      <w:rFonts w:ascii="Times New Roman" w:hAnsi="Times New Roman" w:cs="Times New Roman" w:hint="default"/>
      <w:sz w:val="28"/>
      <w:szCs w:val="28"/>
    </w:rPr>
  </w:style>
  <w:style w:type="character" w:customStyle="1" w:styleId="font151">
    <w:name w:val="font151"/>
    <w:basedOn w:val="a1"/>
    <w:rsid w:val="00B91E6A"/>
    <w:rPr>
      <w:rFonts w:ascii="Times New Roman" w:hAnsi="Times New Roman" w:cs="Times New Roman" w:hint="default"/>
      <w:sz w:val="24"/>
      <w:szCs w:val="24"/>
    </w:rPr>
  </w:style>
  <w:style w:type="paragraph" w:styleId="a6">
    <w:name w:val="Balloon Text"/>
    <w:basedOn w:val="a"/>
    <w:link w:val="a7"/>
    <w:uiPriority w:val="99"/>
    <w:semiHidden/>
    <w:unhideWhenUsed/>
    <w:rsid w:val="00B91E6A"/>
    <w:rPr>
      <w:rFonts w:ascii="Tahoma" w:hAnsi="Tahoma" w:cs="Tahoma"/>
      <w:sz w:val="16"/>
      <w:szCs w:val="16"/>
    </w:rPr>
  </w:style>
  <w:style w:type="character" w:customStyle="1" w:styleId="a7">
    <w:name w:val="Текст у виносці Знак"/>
    <w:basedOn w:val="a1"/>
    <w:link w:val="a6"/>
    <w:uiPriority w:val="99"/>
    <w:semiHidden/>
    <w:rsid w:val="00B91E6A"/>
    <w:rPr>
      <w:rFonts w:ascii="Tahoma" w:eastAsiaTheme="minorEastAsia" w:hAnsi="Tahoma" w:cs="Tahoma"/>
      <w:sz w:val="16"/>
      <w:szCs w:val="16"/>
      <w:lang w:eastAsia="uk-UA"/>
    </w:rPr>
  </w:style>
  <w:style w:type="paragraph" w:styleId="a8">
    <w:name w:val="header"/>
    <w:basedOn w:val="a"/>
    <w:link w:val="a9"/>
    <w:uiPriority w:val="99"/>
    <w:unhideWhenUsed/>
    <w:rsid w:val="00C12599"/>
    <w:pPr>
      <w:tabs>
        <w:tab w:val="center" w:pos="4819"/>
        <w:tab w:val="right" w:pos="9639"/>
      </w:tabs>
    </w:pPr>
  </w:style>
  <w:style w:type="character" w:customStyle="1" w:styleId="a9">
    <w:name w:val="Верхній колонтитул Знак"/>
    <w:basedOn w:val="a1"/>
    <w:link w:val="a8"/>
    <w:uiPriority w:val="99"/>
    <w:rsid w:val="00C12599"/>
    <w:rPr>
      <w:rFonts w:ascii="Times New Roman" w:eastAsiaTheme="minorEastAsia" w:hAnsi="Times New Roman" w:cs="Times New Roman"/>
      <w:sz w:val="24"/>
      <w:szCs w:val="24"/>
      <w:lang w:eastAsia="uk-UA"/>
    </w:rPr>
  </w:style>
  <w:style w:type="paragraph" w:styleId="aa">
    <w:name w:val="footer"/>
    <w:basedOn w:val="a"/>
    <w:link w:val="ab"/>
    <w:uiPriority w:val="99"/>
    <w:unhideWhenUsed/>
    <w:rsid w:val="00C12599"/>
    <w:pPr>
      <w:tabs>
        <w:tab w:val="center" w:pos="4819"/>
        <w:tab w:val="right" w:pos="9639"/>
      </w:tabs>
    </w:pPr>
  </w:style>
  <w:style w:type="character" w:customStyle="1" w:styleId="ab">
    <w:name w:val="Нижній колонтитул Знак"/>
    <w:basedOn w:val="a1"/>
    <w:link w:val="aa"/>
    <w:uiPriority w:val="99"/>
    <w:rsid w:val="00C12599"/>
    <w:rPr>
      <w:rFonts w:ascii="Times New Roman" w:eastAsiaTheme="minorEastAsia" w:hAnsi="Times New Roman" w:cs="Times New Roman"/>
      <w:sz w:val="24"/>
      <w:szCs w:val="24"/>
      <w:lang w:eastAsia="uk-UA"/>
    </w:rPr>
  </w:style>
  <w:style w:type="paragraph" w:customStyle="1" w:styleId="CharCharCharChar">
    <w:name w:val="Char Знак Знак Char Знак Знак Char Знак Знак Char Знак Знак Знак"/>
    <w:basedOn w:val="a"/>
    <w:rsid w:val="006317BC"/>
    <w:rPr>
      <w:rFonts w:ascii="Verdana" w:eastAsia="Times New Roman" w:hAnsi="Verdana" w:cs="Verdana"/>
      <w:sz w:val="20"/>
      <w:szCs w:val="20"/>
      <w:lang w:val="en-US" w:eastAsia="en-US"/>
    </w:rPr>
  </w:style>
  <w:style w:type="character" w:customStyle="1" w:styleId="20">
    <w:name w:val="Заголовок 2 Знак"/>
    <w:basedOn w:val="a1"/>
    <w:link w:val="2"/>
    <w:rsid w:val="00A06E31"/>
    <w:rPr>
      <w:rFonts w:ascii="Times New Roman" w:eastAsia="Times New Roman" w:hAnsi="Times New Roman" w:cs="Times New Roman"/>
      <w:b/>
      <w:bCs/>
      <w:sz w:val="36"/>
      <w:szCs w:val="36"/>
      <w:lang w:val="ru-RU" w:eastAsia="ar-SA"/>
    </w:rPr>
  </w:style>
  <w:style w:type="paragraph" w:styleId="a0">
    <w:name w:val="Body Text"/>
    <w:basedOn w:val="a"/>
    <w:link w:val="ac"/>
    <w:uiPriority w:val="99"/>
    <w:semiHidden/>
    <w:unhideWhenUsed/>
    <w:rsid w:val="00A06E31"/>
    <w:pPr>
      <w:spacing w:after="120"/>
    </w:pPr>
  </w:style>
  <w:style w:type="character" w:customStyle="1" w:styleId="ac">
    <w:name w:val="Основний текст Знак"/>
    <w:basedOn w:val="a1"/>
    <w:link w:val="a0"/>
    <w:uiPriority w:val="99"/>
    <w:semiHidden/>
    <w:rsid w:val="00A06E31"/>
    <w:rPr>
      <w:rFonts w:ascii="Times New Roman" w:eastAsiaTheme="minorEastAsia" w:hAnsi="Times New Roman" w:cs="Times New Roman"/>
      <w:sz w:val="24"/>
      <w:szCs w:val="24"/>
      <w:lang w:eastAsia="uk-UA"/>
    </w:rPr>
  </w:style>
  <w:style w:type="table" w:styleId="ad">
    <w:name w:val="Table Grid"/>
    <w:basedOn w:val="a2"/>
    <w:uiPriority w:val="59"/>
    <w:rsid w:val="002B1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uiPriority w:val="9"/>
    <w:semiHidden/>
    <w:rsid w:val="008264C0"/>
    <w:rPr>
      <w:rFonts w:asciiTheme="majorHAnsi" w:eastAsiaTheme="majorEastAsia" w:hAnsiTheme="majorHAnsi" w:cstheme="majorBidi"/>
      <w:b/>
      <w:bCs/>
      <w:color w:val="4F81BD" w:themeColor="accent1"/>
      <w:sz w:val="24"/>
      <w:szCs w:val="24"/>
      <w:lang w:eastAsia="uk-UA"/>
    </w:rPr>
  </w:style>
  <w:style w:type="paragraph" w:customStyle="1" w:styleId="rvps2">
    <w:name w:val="rvps2"/>
    <w:basedOn w:val="a"/>
    <w:rsid w:val="00027DF6"/>
    <w:pPr>
      <w:spacing w:before="100" w:beforeAutospacing="1" w:after="100" w:afterAutospacing="1"/>
    </w:pPr>
    <w:rPr>
      <w:rFonts w:eastAsia="Times New Roman"/>
      <w:lang w:val="ru-RU" w:eastAsia="ru-RU"/>
    </w:rPr>
  </w:style>
  <w:style w:type="paragraph" w:styleId="ae">
    <w:name w:val="List Paragraph"/>
    <w:basedOn w:val="a"/>
    <w:uiPriority w:val="34"/>
    <w:qFormat/>
    <w:rsid w:val="005946A1"/>
    <w:pPr>
      <w:ind w:left="720"/>
      <w:contextualSpacing/>
    </w:pPr>
  </w:style>
  <w:style w:type="table" w:customStyle="1" w:styleId="1">
    <w:name w:val="Сетка таблицы1"/>
    <w:basedOn w:val="a2"/>
    <w:next w:val="ad"/>
    <w:uiPriority w:val="59"/>
    <w:rsid w:val="00F11C27"/>
    <w:pPr>
      <w:spacing w:after="0" w:line="240" w:lineRule="auto"/>
    </w:pPr>
    <w:rPr>
      <w:rFonts w:ascii="Times New Roman" w:hAnsi="Times New Roman" w:cs="Times New Roman"/>
      <w:sz w:val="28"/>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uiPriority w:val="99"/>
    <w:unhideWhenUsed/>
    <w:rsid w:val="00627DEE"/>
    <w:rPr>
      <w:color w:val="0000FF" w:themeColor="hyperlink"/>
      <w:u w:val="single"/>
    </w:rPr>
  </w:style>
  <w:style w:type="character" w:styleId="af0">
    <w:name w:val="annotation reference"/>
    <w:basedOn w:val="a1"/>
    <w:uiPriority w:val="99"/>
    <w:semiHidden/>
    <w:unhideWhenUsed/>
    <w:rsid w:val="009A602A"/>
    <w:rPr>
      <w:sz w:val="16"/>
      <w:szCs w:val="16"/>
    </w:rPr>
  </w:style>
  <w:style w:type="paragraph" w:styleId="af1">
    <w:name w:val="annotation text"/>
    <w:basedOn w:val="a"/>
    <w:link w:val="af2"/>
    <w:uiPriority w:val="99"/>
    <w:semiHidden/>
    <w:unhideWhenUsed/>
    <w:rsid w:val="009A602A"/>
    <w:rPr>
      <w:sz w:val="20"/>
      <w:szCs w:val="20"/>
    </w:rPr>
  </w:style>
  <w:style w:type="character" w:customStyle="1" w:styleId="af2">
    <w:name w:val="Текст примітки Знак"/>
    <w:basedOn w:val="a1"/>
    <w:link w:val="af1"/>
    <w:uiPriority w:val="99"/>
    <w:semiHidden/>
    <w:rsid w:val="009A602A"/>
    <w:rPr>
      <w:rFonts w:ascii="Times New Roman" w:eastAsiaTheme="minorEastAsia" w:hAnsi="Times New Roman" w:cs="Times New Roman"/>
      <w:sz w:val="20"/>
      <w:szCs w:val="20"/>
      <w:lang w:eastAsia="uk-UA"/>
    </w:rPr>
  </w:style>
  <w:style w:type="paragraph" w:styleId="af3">
    <w:name w:val="annotation subject"/>
    <w:basedOn w:val="af1"/>
    <w:next w:val="af1"/>
    <w:link w:val="af4"/>
    <w:uiPriority w:val="99"/>
    <w:semiHidden/>
    <w:unhideWhenUsed/>
    <w:rsid w:val="009A602A"/>
    <w:rPr>
      <w:b/>
      <w:bCs/>
    </w:rPr>
  </w:style>
  <w:style w:type="character" w:customStyle="1" w:styleId="af4">
    <w:name w:val="Тема примітки Знак"/>
    <w:basedOn w:val="af2"/>
    <w:link w:val="af3"/>
    <w:uiPriority w:val="99"/>
    <w:semiHidden/>
    <w:rsid w:val="009A602A"/>
    <w:rPr>
      <w:rFonts w:ascii="Times New Roman" w:eastAsiaTheme="minorEastAsia" w:hAnsi="Times New Roman" w:cs="Times New Roman"/>
      <w:b/>
      <w:bCs/>
      <w:sz w:val="20"/>
      <w:szCs w:val="20"/>
      <w:lang w:eastAsia="uk-UA"/>
    </w:rPr>
  </w:style>
  <w:style w:type="paragraph" w:styleId="af5">
    <w:name w:val="footnote text"/>
    <w:basedOn w:val="a"/>
    <w:link w:val="af6"/>
    <w:uiPriority w:val="99"/>
    <w:semiHidden/>
    <w:unhideWhenUsed/>
    <w:rsid w:val="00457BBE"/>
    <w:rPr>
      <w:rFonts w:asciiTheme="minorHAnsi" w:eastAsiaTheme="minorHAnsi" w:hAnsiTheme="minorHAnsi" w:cstheme="minorBidi"/>
      <w:sz w:val="20"/>
      <w:szCs w:val="20"/>
      <w:lang w:eastAsia="en-US"/>
    </w:rPr>
  </w:style>
  <w:style w:type="character" w:customStyle="1" w:styleId="af6">
    <w:name w:val="Текст виноски Знак"/>
    <w:basedOn w:val="a1"/>
    <w:link w:val="af5"/>
    <w:uiPriority w:val="99"/>
    <w:semiHidden/>
    <w:rsid w:val="00457BBE"/>
    <w:rPr>
      <w:sz w:val="20"/>
      <w:szCs w:val="20"/>
    </w:rPr>
  </w:style>
  <w:style w:type="character" w:styleId="af7">
    <w:name w:val="footnote reference"/>
    <w:basedOn w:val="a1"/>
    <w:uiPriority w:val="99"/>
    <w:semiHidden/>
    <w:unhideWhenUsed/>
    <w:rsid w:val="00457BBE"/>
    <w:rPr>
      <w:vertAlign w:val="superscript"/>
    </w:rPr>
  </w:style>
  <w:style w:type="character" w:customStyle="1" w:styleId="a5">
    <w:name w:val="Звичайний (веб) Знак"/>
    <w:aliases w:val="Обычный (веб) Знак Знак,Знак1 Знак Знак1,Знак1 Знак Знак Знак,Знак1 Знак Знак Знак Знак Знак Знак Знак Знак,Знак1 Знак1,Обычный (веб) Знак2 Знак,Обычный (веб) Знак1 Знак Знак,Обычный (веб) Знак Знак Знак Знак,Обычный (Web) Знак"/>
    <w:link w:val="a4"/>
    <w:uiPriority w:val="99"/>
    <w:locked/>
    <w:rsid w:val="00A02D92"/>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50230">
      <w:bodyDiv w:val="1"/>
      <w:marLeft w:val="0"/>
      <w:marRight w:val="0"/>
      <w:marTop w:val="0"/>
      <w:marBottom w:val="0"/>
      <w:divBdr>
        <w:top w:val="none" w:sz="0" w:space="0" w:color="auto"/>
        <w:left w:val="none" w:sz="0" w:space="0" w:color="auto"/>
        <w:bottom w:val="none" w:sz="0" w:space="0" w:color="auto"/>
        <w:right w:val="none" w:sz="0" w:space="0" w:color="auto"/>
      </w:divBdr>
    </w:div>
    <w:div w:id="391119285">
      <w:bodyDiv w:val="1"/>
      <w:marLeft w:val="0"/>
      <w:marRight w:val="0"/>
      <w:marTop w:val="0"/>
      <w:marBottom w:val="0"/>
      <w:divBdr>
        <w:top w:val="none" w:sz="0" w:space="0" w:color="auto"/>
        <w:left w:val="none" w:sz="0" w:space="0" w:color="auto"/>
        <w:bottom w:val="none" w:sz="0" w:space="0" w:color="auto"/>
        <w:right w:val="none" w:sz="0" w:space="0" w:color="auto"/>
      </w:divBdr>
    </w:div>
    <w:div w:id="459034833">
      <w:bodyDiv w:val="1"/>
      <w:marLeft w:val="0"/>
      <w:marRight w:val="0"/>
      <w:marTop w:val="0"/>
      <w:marBottom w:val="0"/>
      <w:divBdr>
        <w:top w:val="none" w:sz="0" w:space="0" w:color="auto"/>
        <w:left w:val="none" w:sz="0" w:space="0" w:color="auto"/>
        <w:bottom w:val="none" w:sz="0" w:space="0" w:color="auto"/>
        <w:right w:val="none" w:sz="0" w:space="0" w:color="auto"/>
      </w:divBdr>
    </w:div>
    <w:div w:id="724064185">
      <w:bodyDiv w:val="1"/>
      <w:marLeft w:val="0"/>
      <w:marRight w:val="0"/>
      <w:marTop w:val="0"/>
      <w:marBottom w:val="0"/>
      <w:divBdr>
        <w:top w:val="none" w:sz="0" w:space="0" w:color="auto"/>
        <w:left w:val="none" w:sz="0" w:space="0" w:color="auto"/>
        <w:bottom w:val="none" w:sz="0" w:space="0" w:color="auto"/>
        <w:right w:val="none" w:sz="0" w:space="0" w:color="auto"/>
      </w:divBdr>
    </w:div>
    <w:div w:id="867454832">
      <w:bodyDiv w:val="1"/>
      <w:marLeft w:val="0"/>
      <w:marRight w:val="0"/>
      <w:marTop w:val="0"/>
      <w:marBottom w:val="0"/>
      <w:divBdr>
        <w:top w:val="none" w:sz="0" w:space="0" w:color="auto"/>
        <w:left w:val="none" w:sz="0" w:space="0" w:color="auto"/>
        <w:bottom w:val="none" w:sz="0" w:space="0" w:color="auto"/>
        <w:right w:val="none" w:sz="0" w:space="0" w:color="auto"/>
      </w:divBdr>
    </w:div>
    <w:div w:id="1072582726">
      <w:bodyDiv w:val="1"/>
      <w:marLeft w:val="0"/>
      <w:marRight w:val="0"/>
      <w:marTop w:val="0"/>
      <w:marBottom w:val="0"/>
      <w:divBdr>
        <w:top w:val="none" w:sz="0" w:space="0" w:color="auto"/>
        <w:left w:val="none" w:sz="0" w:space="0" w:color="auto"/>
        <w:bottom w:val="none" w:sz="0" w:space="0" w:color="auto"/>
        <w:right w:val="none" w:sz="0" w:space="0" w:color="auto"/>
      </w:divBdr>
    </w:div>
    <w:div w:id="1212418552">
      <w:bodyDiv w:val="1"/>
      <w:marLeft w:val="0"/>
      <w:marRight w:val="0"/>
      <w:marTop w:val="0"/>
      <w:marBottom w:val="0"/>
      <w:divBdr>
        <w:top w:val="none" w:sz="0" w:space="0" w:color="auto"/>
        <w:left w:val="none" w:sz="0" w:space="0" w:color="auto"/>
        <w:bottom w:val="none" w:sz="0" w:space="0" w:color="auto"/>
        <w:right w:val="none" w:sz="0" w:space="0" w:color="auto"/>
      </w:divBdr>
    </w:div>
    <w:div w:id="1229147974">
      <w:bodyDiv w:val="1"/>
      <w:marLeft w:val="0"/>
      <w:marRight w:val="0"/>
      <w:marTop w:val="0"/>
      <w:marBottom w:val="0"/>
      <w:divBdr>
        <w:top w:val="none" w:sz="0" w:space="0" w:color="auto"/>
        <w:left w:val="none" w:sz="0" w:space="0" w:color="auto"/>
        <w:bottom w:val="none" w:sz="0" w:space="0" w:color="auto"/>
        <w:right w:val="none" w:sz="0" w:space="0" w:color="auto"/>
      </w:divBdr>
    </w:div>
    <w:div w:id="1391927948">
      <w:bodyDiv w:val="1"/>
      <w:marLeft w:val="0"/>
      <w:marRight w:val="0"/>
      <w:marTop w:val="0"/>
      <w:marBottom w:val="0"/>
      <w:divBdr>
        <w:top w:val="none" w:sz="0" w:space="0" w:color="auto"/>
        <w:left w:val="none" w:sz="0" w:space="0" w:color="auto"/>
        <w:bottom w:val="none" w:sz="0" w:space="0" w:color="auto"/>
        <w:right w:val="none" w:sz="0" w:space="0" w:color="auto"/>
      </w:divBdr>
      <w:divsChild>
        <w:div w:id="431822682">
          <w:marLeft w:val="0"/>
          <w:marRight w:val="0"/>
          <w:marTop w:val="0"/>
          <w:marBottom w:val="0"/>
          <w:divBdr>
            <w:top w:val="none" w:sz="0" w:space="0" w:color="auto"/>
            <w:left w:val="none" w:sz="0" w:space="0" w:color="auto"/>
            <w:bottom w:val="none" w:sz="0" w:space="0" w:color="auto"/>
            <w:right w:val="none" w:sz="0" w:space="0" w:color="auto"/>
          </w:divBdr>
        </w:div>
        <w:div w:id="726341487">
          <w:marLeft w:val="0"/>
          <w:marRight w:val="0"/>
          <w:marTop w:val="0"/>
          <w:marBottom w:val="0"/>
          <w:divBdr>
            <w:top w:val="none" w:sz="0" w:space="0" w:color="auto"/>
            <w:left w:val="none" w:sz="0" w:space="0" w:color="auto"/>
            <w:bottom w:val="none" w:sz="0" w:space="0" w:color="auto"/>
            <w:right w:val="none" w:sz="0" w:space="0" w:color="auto"/>
          </w:divBdr>
        </w:div>
        <w:div w:id="1723557964">
          <w:marLeft w:val="0"/>
          <w:marRight w:val="0"/>
          <w:marTop w:val="0"/>
          <w:marBottom w:val="0"/>
          <w:divBdr>
            <w:top w:val="none" w:sz="0" w:space="0" w:color="auto"/>
            <w:left w:val="none" w:sz="0" w:space="0" w:color="auto"/>
            <w:bottom w:val="none" w:sz="0" w:space="0" w:color="auto"/>
            <w:right w:val="none" w:sz="0" w:space="0" w:color="auto"/>
          </w:divBdr>
        </w:div>
      </w:divsChild>
    </w:div>
    <w:div w:id="1424646585">
      <w:bodyDiv w:val="1"/>
      <w:marLeft w:val="0"/>
      <w:marRight w:val="0"/>
      <w:marTop w:val="0"/>
      <w:marBottom w:val="0"/>
      <w:divBdr>
        <w:top w:val="none" w:sz="0" w:space="0" w:color="auto"/>
        <w:left w:val="none" w:sz="0" w:space="0" w:color="auto"/>
        <w:bottom w:val="none" w:sz="0" w:space="0" w:color="auto"/>
        <w:right w:val="none" w:sz="0" w:space="0" w:color="auto"/>
      </w:divBdr>
    </w:div>
    <w:div w:id="1480224225">
      <w:bodyDiv w:val="1"/>
      <w:marLeft w:val="0"/>
      <w:marRight w:val="0"/>
      <w:marTop w:val="0"/>
      <w:marBottom w:val="0"/>
      <w:divBdr>
        <w:top w:val="none" w:sz="0" w:space="0" w:color="auto"/>
        <w:left w:val="none" w:sz="0" w:space="0" w:color="auto"/>
        <w:bottom w:val="none" w:sz="0" w:space="0" w:color="auto"/>
        <w:right w:val="none" w:sz="0" w:space="0" w:color="auto"/>
      </w:divBdr>
    </w:div>
    <w:div w:id="1547447588">
      <w:bodyDiv w:val="1"/>
      <w:marLeft w:val="0"/>
      <w:marRight w:val="0"/>
      <w:marTop w:val="0"/>
      <w:marBottom w:val="0"/>
      <w:divBdr>
        <w:top w:val="none" w:sz="0" w:space="0" w:color="auto"/>
        <w:left w:val="none" w:sz="0" w:space="0" w:color="auto"/>
        <w:bottom w:val="none" w:sz="0" w:space="0" w:color="auto"/>
        <w:right w:val="none" w:sz="0" w:space="0" w:color="auto"/>
      </w:divBdr>
    </w:div>
    <w:div w:id="1615941340">
      <w:bodyDiv w:val="1"/>
      <w:marLeft w:val="0"/>
      <w:marRight w:val="0"/>
      <w:marTop w:val="0"/>
      <w:marBottom w:val="0"/>
      <w:divBdr>
        <w:top w:val="none" w:sz="0" w:space="0" w:color="auto"/>
        <w:left w:val="none" w:sz="0" w:space="0" w:color="auto"/>
        <w:bottom w:val="none" w:sz="0" w:space="0" w:color="auto"/>
        <w:right w:val="none" w:sz="0" w:space="0" w:color="auto"/>
      </w:divBdr>
    </w:div>
    <w:div w:id="1618368916">
      <w:bodyDiv w:val="1"/>
      <w:marLeft w:val="0"/>
      <w:marRight w:val="0"/>
      <w:marTop w:val="0"/>
      <w:marBottom w:val="0"/>
      <w:divBdr>
        <w:top w:val="none" w:sz="0" w:space="0" w:color="auto"/>
        <w:left w:val="none" w:sz="0" w:space="0" w:color="auto"/>
        <w:bottom w:val="none" w:sz="0" w:space="0" w:color="auto"/>
        <w:right w:val="none" w:sz="0" w:space="0" w:color="auto"/>
      </w:divBdr>
    </w:div>
    <w:div w:id="1713655226">
      <w:bodyDiv w:val="1"/>
      <w:marLeft w:val="0"/>
      <w:marRight w:val="0"/>
      <w:marTop w:val="0"/>
      <w:marBottom w:val="0"/>
      <w:divBdr>
        <w:top w:val="none" w:sz="0" w:space="0" w:color="auto"/>
        <w:left w:val="none" w:sz="0" w:space="0" w:color="auto"/>
        <w:bottom w:val="none" w:sz="0" w:space="0" w:color="auto"/>
        <w:right w:val="none" w:sz="0" w:space="0" w:color="auto"/>
      </w:divBdr>
    </w:div>
    <w:div w:id="1839688531">
      <w:bodyDiv w:val="1"/>
      <w:marLeft w:val="0"/>
      <w:marRight w:val="0"/>
      <w:marTop w:val="0"/>
      <w:marBottom w:val="0"/>
      <w:divBdr>
        <w:top w:val="none" w:sz="0" w:space="0" w:color="auto"/>
        <w:left w:val="none" w:sz="0" w:space="0" w:color="auto"/>
        <w:bottom w:val="none" w:sz="0" w:space="0" w:color="auto"/>
        <w:right w:val="none" w:sz="0" w:space="0" w:color="auto"/>
      </w:divBdr>
    </w:div>
    <w:div w:id="1856841485">
      <w:bodyDiv w:val="1"/>
      <w:marLeft w:val="0"/>
      <w:marRight w:val="0"/>
      <w:marTop w:val="0"/>
      <w:marBottom w:val="0"/>
      <w:divBdr>
        <w:top w:val="none" w:sz="0" w:space="0" w:color="auto"/>
        <w:left w:val="none" w:sz="0" w:space="0" w:color="auto"/>
        <w:bottom w:val="none" w:sz="0" w:space="0" w:color="auto"/>
        <w:right w:val="none" w:sz="0" w:space="0" w:color="auto"/>
      </w:divBdr>
      <w:divsChild>
        <w:div w:id="1408765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A8F39-D55A-4D77-BFFB-FECA320A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20385</Words>
  <Characters>11621</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СТОРОЖЧУК ВОЛОДИМИР МИКОЛАЙОВИЧ</dc:creator>
  <cp:keywords/>
  <dc:description/>
  <cp:lastModifiedBy>Микитюк Ілона Віталіївна</cp:lastModifiedBy>
  <cp:revision>3</cp:revision>
  <cp:lastPrinted>2026-05-19T07:41:00Z</cp:lastPrinted>
  <dcterms:created xsi:type="dcterms:W3CDTF">2026-06-03T12:20:00Z</dcterms:created>
  <dcterms:modified xsi:type="dcterms:W3CDTF">2026-07-07T08:09:00Z</dcterms:modified>
</cp:coreProperties>
</file>