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59" w:rsidRPr="00C83F64" w:rsidRDefault="007C3EE2" w:rsidP="002E2F2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F64">
        <w:rPr>
          <w:rFonts w:ascii="Times New Roman" w:eastAsia="Times New Roman" w:hAnsi="Times New Roman" w:cs="Times New Roman"/>
          <w:b/>
          <w:sz w:val="28"/>
          <w:szCs w:val="28"/>
        </w:rPr>
        <w:t>АНАЛІЗ РЕГУЛЯТОРНОГО ВПЛИВУ</w:t>
      </w:r>
    </w:p>
    <w:p w:rsidR="00F72773" w:rsidRDefault="00264C30" w:rsidP="002E2F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64">
        <w:rPr>
          <w:rFonts w:ascii="Times New Roman" w:eastAsia="Times New Roman" w:hAnsi="Times New Roman" w:cs="Times New Roman"/>
          <w:b/>
          <w:sz w:val="28"/>
          <w:szCs w:val="28"/>
        </w:rPr>
        <w:t>до про</w:t>
      </w:r>
      <w:r w:rsidR="002C53B5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C83F64">
        <w:rPr>
          <w:rFonts w:ascii="Times New Roman" w:eastAsia="Times New Roman" w:hAnsi="Times New Roman" w:cs="Times New Roman"/>
          <w:b/>
          <w:sz w:val="28"/>
          <w:szCs w:val="28"/>
        </w:rPr>
        <w:t xml:space="preserve">кту </w:t>
      </w:r>
      <w:r w:rsidR="00526BD2" w:rsidRPr="00C83F64">
        <w:rPr>
          <w:rFonts w:ascii="Times New Roman" w:hAnsi="Times New Roman" w:cs="Times New Roman"/>
          <w:b/>
          <w:sz w:val="28"/>
          <w:szCs w:val="28"/>
        </w:rPr>
        <w:t>наказу Міністерства фінансів України</w:t>
      </w:r>
    </w:p>
    <w:p w:rsidR="00F72773" w:rsidRDefault="00526BD2" w:rsidP="002E2F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64">
        <w:rPr>
          <w:rFonts w:ascii="Times New Roman" w:hAnsi="Times New Roman" w:cs="Times New Roman"/>
          <w:b/>
          <w:sz w:val="28"/>
          <w:szCs w:val="28"/>
        </w:rPr>
        <w:t>«Про затвердження Порядку розпорядження валютними цінностями</w:t>
      </w:r>
    </w:p>
    <w:p w:rsidR="00F72773" w:rsidRDefault="00526BD2" w:rsidP="002E2F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64">
        <w:rPr>
          <w:rFonts w:ascii="Times New Roman" w:hAnsi="Times New Roman" w:cs="Times New Roman"/>
          <w:b/>
          <w:sz w:val="28"/>
          <w:szCs w:val="28"/>
        </w:rPr>
        <w:t xml:space="preserve">(крім банківських металів), </w:t>
      </w:r>
      <w:r w:rsidR="008B4971" w:rsidRPr="00C83F64">
        <w:rPr>
          <w:rFonts w:ascii="Times New Roman" w:hAnsi="Times New Roman" w:cs="Times New Roman"/>
          <w:b/>
          <w:sz w:val="28"/>
          <w:szCs w:val="28"/>
        </w:rPr>
        <w:t xml:space="preserve">платіжними документами, </w:t>
      </w:r>
      <w:r w:rsidR="00F72773">
        <w:rPr>
          <w:rFonts w:ascii="Times New Roman" w:hAnsi="Times New Roman" w:cs="Times New Roman"/>
          <w:b/>
          <w:sz w:val="28"/>
          <w:szCs w:val="28"/>
        </w:rPr>
        <w:t>що переходять</w:t>
      </w:r>
    </w:p>
    <w:p w:rsidR="00B345F8" w:rsidRPr="00C83F64" w:rsidRDefault="00526BD2" w:rsidP="002E2F2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F64">
        <w:rPr>
          <w:rFonts w:ascii="Times New Roman" w:hAnsi="Times New Roman" w:cs="Times New Roman"/>
          <w:b/>
          <w:sz w:val="28"/>
          <w:szCs w:val="28"/>
        </w:rPr>
        <w:t>у власність держави»</w:t>
      </w:r>
    </w:p>
    <w:p w:rsidR="00264C30" w:rsidRPr="00C83F64" w:rsidRDefault="00264C30" w:rsidP="002E2F2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EE6" w:rsidRPr="00C83F64" w:rsidRDefault="007C3EE2" w:rsidP="002E2F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F64">
        <w:rPr>
          <w:rFonts w:ascii="Times New Roman" w:eastAsia="Times New Roman" w:hAnsi="Times New Roman" w:cs="Times New Roman"/>
          <w:b/>
          <w:sz w:val="28"/>
          <w:szCs w:val="28"/>
        </w:rPr>
        <w:t>І. Визначення проблеми</w:t>
      </w:r>
    </w:p>
    <w:p w:rsidR="000C36CC" w:rsidRDefault="000C36CC" w:rsidP="002E2F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сьогодні діє </w:t>
      </w:r>
      <w:r w:rsidRPr="00C83F64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C83F64">
        <w:rPr>
          <w:rFonts w:ascii="Times New Roman" w:hAnsi="Times New Roman" w:cs="Times New Roman"/>
          <w:sz w:val="28"/>
          <w:szCs w:val="28"/>
        </w:rPr>
        <w:t xml:space="preserve"> розпорядження валютними цінностями (крім цінних паперів), дорогоцінних металів і дорогоцінним камінням, дорогоцінним камінням органогенного утворення та </w:t>
      </w:r>
      <w:proofErr w:type="spellStart"/>
      <w:r w:rsidRPr="00C83F64">
        <w:rPr>
          <w:rFonts w:ascii="Times New Roman" w:hAnsi="Times New Roman" w:cs="Times New Roman"/>
          <w:sz w:val="28"/>
          <w:szCs w:val="28"/>
        </w:rPr>
        <w:t>напівдорогоційного</w:t>
      </w:r>
      <w:proofErr w:type="spellEnd"/>
      <w:r w:rsidRPr="00C83F64">
        <w:rPr>
          <w:rFonts w:ascii="Times New Roman" w:hAnsi="Times New Roman" w:cs="Times New Roman"/>
          <w:sz w:val="28"/>
          <w:szCs w:val="28"/>
        </w:rPr>
        <w:t xml:space="preserve"> утворення та </w:t>
      </w:r>
      <w:proofErr w:type="spellStart"/>
      <w:r w:rsidRPr="00C83F64">
        <w:rPr>
          <w:rFonts w:ascii="Times New Roman" w:hAnsi="Times New Roman" w:cs="Times New Roman"/>
          <w:sz w:val="28"/>
          <w:szCs w:val="28"/>
        </w:rPr>
        <w:t>напівдорогоційним</w:t>
      </w:r>
      <w:proofErr w:type="spellEnd"/>
      <w:r w:rsidRPr="00C83F64">
        <w:rPr>
          <w:rFonts w:ascii="Times New Roman" w:hAnsi="Times New Roman" w:cs="Times New Roman"/>
          <w:sz w:val="28"/>
          <w:szCs w:val="28"/>
        </w:rPr>
        <w:t xml:space="preserve"> камінням, що переходить у власність держави, затверджен</w:t>
      </w:r>
      <w:r w:rsidR="00F40CC4">
        <w:rPr>
          <w:rFonts w:ascii="Times New Roman" w:hAnsi="Times New Roman" w:cs="Times New Roman"/>
          <w:sz w:val="28"/>
          <w:szCs w:val="28"/>
        </w:rPr>
        <w:t>ий</w:t>
      </w:r>
      <w:r w:rsidRPr="00C83F64">
        <w:rPr>
          <w:rFonts w:ascii="Times New Roman" w:hAnsi="Times New Roman" w:cs="Times New Roman"/>
          <w:sz w:val="28"/>
          <w:szCs w:val="28"/>
        </w:rPr>
        <w:t xml:space="preserve"> наказом Міністерства фінансів України від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83F64">
        <w:rPr>
          <w:rFonts w:ascii="Times New Roman" w:hAnsi="Times New Roman" w:cs="Times New Roman"/>
          <w:sz w:val="28"/>
          <w:szCs w:val="28"/>
        </w:rPr>
        <w:t>13 січня 1999 року № 11 та постановою Правління Національного банку від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83F64">
        <w:rPr>
          <w:rFonts w:ascii="Times New Roman" w:hAnsi="Times New Roman" w:cs="Times New Roman"/>
          <w:sz w:val="28"/>
          <w:szCs w:val="28"/>
        </w:rPr>
        <w:t>31 березня 1999 року № 153 (далі – Порядок № 11), зареєстрован</w:t>
      </w:r>
      <w:r w:rsidR="00F40CC4">
        <w:rPr>
          <w:rFonts w:ascii="Times New Roman" w:hAnsi="Times New Roman" w:cs="Times New Roman"/>
          <w:sz w:val="28"/>
          <w:szCs w:val="28"/>
        </w:rPr>
        <w:t>им</w:t>
      </w:r>
      <w:r w:rsidRPr="00C83F64">
        <w:rPr>
          <w:rFonts w:ascii="Times New Roman" w:hAnsi="Times New Roman" w:cs="Times New Roman"/>
          <w:sz w:val="28"/>
          <w:szCs w:val="28"/>
        </w:rPr>
        <w:t xml:space="preserve"> </w:t>
      </w:r>
      <w:r w:rsidR="00F40CC4">
        <w:rPr>
          <w:rFonts w:ascii="Times New Roman" w:hAnsi="Times New Roman" w:cs="Times New Roman"/>
          <w:sz w:val="28"/>
          <w:szCs w:val="28"/>
        </w:rPr>
        <w:t>у</w:t>
      </w:r>
      <w:r w:rsidRPr="00C83F64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27 квітня 1999 року за № 261/3554, який був розроблений відповідно до абзацу другого пункту 6 постанови Кабінету Міністрів України від 25 серпня 1998</w:t>
      </w:r>
      <w:r w:rsidR="001D214A">
        <w:rPr>
          <w:rFonts w:ascii="Times New Roman" w:hAnsi="Times New Roman" w:cs="Times New Roman"/>
          <w:sz w:val="28"/>
          <w:szCs w:val="28"/>
        </w:rPr>
        <w:t> </w:t>
      </w:r>
      <w:r w:rsidRPr="00C83F64">
        <w:rPr>
          <w:rFonts w:ascii="Times New Roman" w:hAnsi="Times New Roman" w:cs="Times New Roman"/>
          <w:sz w:val="28"/>
          <w:szCs w:val="28"/>
        </w:rPr>
        <w:t>року № 1340 «Про Порядок обліку, зберігання, оцінки конфіскованого та іншого майна, що переходить у власність держави, і розпорядження ним»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107" w:rsidRPr="00C83F64" w:rsidRDefault="00310107" w:rsidP="0054100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F64">
        <w:rPr>
          <w:rFonts w:ascii="Times New Roman" w:hAnsi="Times New Roman" w:cs="Times New Roman"/>
          <w:sz w:val="28"/>
          <w:szCs w:val="28"/>
        </w:rPr>
        <w:t>Порядком № 11 визначено перелік уповноважених банків для здійснення зберігання та розпорядження валютними цінностями, як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C83F64">
        <w:rPr>
          <w:rFonts w:ascii="Times New Roman" w:hAnsi="Times New Roman" w:cs="Times New Roman"/>
          <w:sz w:val="28"/>
          <w:szCs w:val="28"/>
        </w:rPr>
        <w:t xml:space="preserve"> вилучені </w:t>
      </w:r>
      <w:r w:rsidR="00E04A57">
        <w:rPr>
          <w:rFonts w:ascii="Times New Roman" w:hAnsi="Times New Roman" w:cs="Times New Roman"/>
          <w:sz w:val="28"/>
          <w:szCs w:val="28"/>
        </w:rPr>
        <w:t>у</w:t>
      </w:r>
      <w:r w:rsidRPr="00C83F64">
        <w:rPr>
          <w:rFonts w:ascii="Times New Roman" w:hAnsi="Times New Roman" w:cs="Times New Roman"/>
          <w:sz w:val="28"/>
          <w:szCs w:val="28"/>
        </w:rPr>
        <w:t xml:space="preserve"> юридичних і фізичних осіб правоохоронними, податковими та митними органами за порушення законодавства до прийняття судового рішення чи іншого рішення про перехід валютних цінностей згідно з чинним законодавством у власність держави, прийнят</w:t>
      </w:r>
      <w:r w:rsidR="008D24E6">
        <w:rPr>
          <w:rFonts w:ascii="Times New Roman" w:hAnsi="Times New Roman" w:cs="Times New Roman"/>
          <w:sz w:val="28"/>
          <w:szCs w:val="28"/>
        </w:rPr>
        <w:t>і</w:t>
      </w:r>
      <w:r w:rsidRPr="00C83F64">
        <w:rPr>
          <w:rFonts w:ascii="Times New Roman" w:hAnsi="Times New Roman" w:cs="Times New Roman"/>
          <w:sz w:val="28"/>
          <w:szCs w:val="28"/>
        </w:rPr>
        <w:t xml:space="preserve"> митними органами на зберігання у випадках, передбачених законодавством, виявлен</w:t>
      </w:r>
      <w:r w:rsidR="008D24E6">
        <w:rPr>
          <w:rFonts w:ascii="Times New Roman" w:hAnsi="Times New Roman" w:cs="Times New Roman"/>
          <w:sz w:val="28"/>
          <w:szCs w:val="28"/>
        </w:rPr>
        <w:t>і</w:t>
      </w:r>
      <w:r w:rsidRPr="00C83F64">
        <w:rPr>
          <w:rFonts w:ascii="Times New Roman" w:hAnsi="Times New Roman" w:cs="Times New Roman"/>
          <w:sz w:val="28"/>
          <w:szCs w:val="28"/>
        </w:rPr>
        <w:t xml:space="preserve"> будь-якими органами як безхазяйн</w:t>
      </w:r>
      <w:r w:rsidR="008D24E6">
        <w:rPr>
          <w:rFonts w:ascii="Times New Roman" w:hAnsi="Times New Roman" w:cs="Times New Roman"/>
          <w:sz w:val="28"/>
          <w:szCs w:val="28"/>
        </w:rPr>
        <w:t>і</w:t>
      </w:r>
      <w:r w:rsidRPr="00C83F64">
        <w:rPr>
          <w:rFonts w:ascii="Times New Roman" w:hAnsi="Times New Roman" w:cs="Times New Roman"/>
          <w:sz w:val="28"/>
          <w:szCs w:val="28"/>
        </w:rPr>
        <w:t>, знахідки, спадков</w:t>
      </w:r>
      <w:r w:rsidR="008D24E6">
        <w:rPr>
          <w:rFonts w:ascii="Times New Roman" w:hAnsi="Times New Roman" w:cs="Times New Roman"/>
          <w:sz w:val="28"/>
          <w:szCs w:val="28"/>
        </w:rPr>
        <w:t>і</w:t>
      </w:r>
      <w:r w:rsidRPr="00C83F64">
        <w:rPr>
          <w:rFonts w:ascii="Times New Roman" w:hAnsi="Times New Roman" w:cs="Times New Roman"/>
          <w:sz w:val="28"/>
          <w:szCs w:val="28"/>
        </w:rPr>
        <w:t xml:space="preserve">, а саме Державний експортно-імпортний банк (Укрексімбанк), </w:t>
      </w:r>
      <w:proofErr w:type="spellStart"/>
      <w:r w:rsidRPr="00C83F64">
        <w:rPr>
          <w:rFonts w:ascii="Times New Roman" w:hAnsi="Times New Roman" w:cs="Times New Roman"/>
          <w:sz w:val="28"/>
          <w:szCs w:val="28"/>
        </w:rPr>
        <w:t>Акціонерно</w:t>
      </w:r>
      <w:proofErr w:type="spellEnd"/>
      <w:r w:rsidRPr="00C83F64">
        <w:rPr>
          <w:rFonts w:ascii="Times New Roman" w:hAnsi="Times New Roman" w:cs="Times New Roman"/>
          <w:sz w:val="28"/>
          <w:szCs w:val="28"/>
        </w:rPr>
        <w:t xml:space="preserve">-комерційний агропромисловий банк </w:t>
      </w:r>
      <w:r w:rsidR="001B1BAE">
        <w:rPr>
          <w:rFonts w:ascii="Times New Roman" w:hAnsi="Times New Roman" w:cs="Times New Roman"/>
          <w:sz w:val="28"/>
          <w:szCs w:val="28"/>
        </w:rPr>
        <w:t>«Україна»</w:t>
      </w:r>
      <w:r w:rsidRPr="00C83F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3F64">
        <w:rPr>
          <w:rFonts w:ascii="Times New Roman" w:hAnsi="Times New Roman" w:cs="Times New Roman"/>
          <w:sz w:val="28"/>
          <w:szCs w:val="28"/>
        </w:rPr>
        <w:t>Акціонерно</w:t>
      </w:r>
      <w:proofErr w:type="spellEnd"/>
      <w:r w:rsidRPr="00C83F64">
        <w:rPr>
          <w:rFonts w:ascii="Times New Roman" w:hAnsi="Times New Roman" w:cs="Times New Roman"/>
          <w:sz w:val="28"/>
          <w:szCs w:val="28"/>
        </w:rPr>
        <w:t xml:space="preserve">-комерційний банк соціального розвитку </w:t>
      </w:r>
      <w:r w:rsidR="001B1BAE">
        <w:rPr>
          <w:rFonts w:ascii="Times New Roman" w:hAnsi="Times New Roman" w:cs="Times New Roman"/>
          <w:sz w:val="28"/>
          <w:szCs w:val="28"/>
        </w:rPr>
        <w:t>«</w:t>
      </w:r>
      <w:r w:rsidRPr="00C83F64">
        <w:rPr>
          <w:rFonts w:ascii="Times New Roman" w:hAnsi="Times New Roman" w:cs="Times New Roman"/>
          <w:sz w:val="28"/>
          <w:szCs w:val="28"/>
        </w:rPr>
        <w:t>Укрсоцбанк</w:t>
      </w:r>
      <w:r w:rsidR="001B1BAE">
        <w:rPr>
          <w:rFonts w:ascii="Times New Roman" w:hAnsi="Times New Roman" w:cs="Times New Roman"/>
          <w:sz w:val="28"/>
          <w:szCs w:val="28"/>
        </w:rPr>
        <w:t>»</w:t>
      </w:r>
      <w:r w:rsidRPr="00C83F64">
        <w:rPr>
          <w:rFonts w:ascii="Times New Roman" w:hAnsi="Times New Roman" w:cs="Times New Roman"/>
          <w:sz w:val="28"/>
          <w:szCs w:val="28"/>
        </w:rPr>
        <w:t xml:space="preserve">, Український акціонерний промислово-інвестиційний банк </w:t>
      </w:r>
      <w:r w:rsidR="001B1BAE">
        <w:rPr>
          <w:rFonts w:ascii="Times New Roman" w:hAnsi="Times New Roman" w:cs="Times New Roman"/>
          <w:sz w:val="28"/>
          <w:szCs w:val="28"/>
        </w:rPr>
        <w:t>«</w:t>
      </w:r>
      <w:r w:rsidRPr="00C83F64">
        <w:rPr>
          <w:rFonts w:ascii="Times New Roman" w:hAnsi="Times New Roman" w:cs="Times New Roman"/>
          <w:sz w:val="28"/>
          <w:szCs w:val="28"/>
        </w:rPr>
        <w:t>Промінвестбанк</w:t>
      </w:r>
      <w:r w:rsidR="001B1BAE">
        <w:rPr>
          <w:rFonts w:ascii="Times New Roman" w:hAnsi="Times New Roman" w:cs="Times New Roman"/>
          <w:sz w:val="28"/>
          <w:szCs w:val="28"/>
        </w:rPr>
        <w:t>»</w:t>
      </w:r>
      <w:r w:rsidRPr="00C83F64">
        <w:rPr>
          <w:rFonts w:ascii="Times New Roman" w:hAnsi="Times New Roman" w:cs="Times New Roman"/>
          <w:sz w:val="28"/>
          <w:szCs w:val="28"/>
        </w:rPr>
        <w:t xml:space="preserve">, Державний спеціалізований комерційний ощадний банк Акціонерного поштово-пенсійного банку </w:t>
      </w:r>
      <w:r w:rsidR="001B1BAE">
        <w:rPr>
          <w:rFonts w:ascii="Times New Roman" w:hAnsi="Times New Roman" w:cs="Times New Roman"/>
          <w:sz w:val="28"/>
          <w:szCs w:val="28"/>
        </w:rPr>
        <w:t>«</w:t>
      </w:r>
      <w:r w:rsidRPr="00C83F64">
        <w:rPr>
          <w:rFonts w:ascii="Times New Roman" w:hAnsi="Times New Roman" w:cs="Times New Roman"/>
          <w:sz w:val="28"/>
          <w:szCs w:val="28"/>
        </w:rPr>
        <w:t>Аваль</w:t>
      </w:r>
      <w:r w:rsidR="001B1BAE">
        <w:rPr>
          <w:rFonts w:ascii="Times New Roman" w:hAnsi="Times New Roman" w:cs="Times New Roman"/>
          <w:sz w:val="28"/>
          <w:szCs w:val="28"/>
        </w:rPr>
        <w:t>»</w:t>
      </w:r>
      <w:r w:rsidRPr="00C83F64">
        <w:rPr>
          <w:rFonts w:ascii="Times New Roman" w:hAnsi="Times New Roman" w:cs="Times New Roman"/>
          <w:sz w:val="28"/>
          <w:szCs w:val="28"/>
        </w:rPr>
        <w:t xml:space="preserve">, з якими Головним управлінням Державного казначейства укладено </w:t>
      </w:r>
      <w:r w:rsidR="00F40CC4">
        <w:rPr>
          <w:rFonts w:ascii="Times New Roman" w:hAnsi="Times New Roman" w:cs="Times New Roman"/>
          <w:sz w:val="28"/>
          <w:szCs w:val="28"/>
        </w:rPr>
        <w:t>у</w:t>
      </w:r>
      <w:r w:rsidRPr="00C83F64">
        <w:rPr>
          <w:rFonts w:ascii="Times New Roman" w:hAnsi="Times New Roman" w:cs="Times New Roman"/>
          <w:sz w:val="28"/>
          <w:szCs w:val="28"/>
        </w:rPr>
        <w:t>годи про обслуговування Державного бюджету</w:t>
      </w:r>
      <w:r w:rsidR="008F2F41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C83F64">
        <w:rPr>
          <w:rFonts w:ascii="Times New Roman" w:hAnsi="Times New Roman" w:cs="Times New Roman"/>
          <w:sz w:val="28"/>
          <w:szCs w:val="28"/>
        </w:rPr>
        <w:t xml:space="preserve">. </w:t>
      </w:r>
      <w:r w:rsidRPr="00C83F64">
        <w:rPr>
          <w:rFonts w:ascii="Times New Roman" w:hAnsi="Times New Roman" w:cs="Times New Roman"/>
          <w:sz w:val="28"/>
          <w:szCs w:val="28"/>
          <w:lang w:eastAsia="ru-RU"/>
        </w:rPr>
        <w:t xml:space="preserve">На сьогодні </w:t>
      </w:r>
      <w:r w:rsidRPr="00C83F64">
        <w:rPr>
          <w:rFonts w:ascii="Times New Roman" w:hAnsi="Times New Roman" w:cs="Times New Roman"/>
          <w:sz w:val="28"/>
          <w:szCs w:val="28"/>
        </w:rPr>
        <w:t>тільки два банк</w:t>
      </w:r>
      <w:r w:rsidR="00F40CC4">
        <w:rPr>
          <w:rFonts w:ascii="Times New Roman" w:hAnsi="Times New Roman" w:cs="Times New Roman"/>
          <w:sz w:val="28"/>
          <w:szCs w:val="28"/>
        </w:rPr>
        <w:t>и</w:t>
      </w:r>
      <w:r w:rsidRPr="00C83F64">
        <w:rPr>
          <w:rFonts w:ascii="Times New Roman" w:hAnsi="Times New Roman" w:cs="Times New Roman"/>
          <w:sz w:val="28"/>
          <w:szCs w:val="28"/>
        </w:rPr>
        <w:t xml:space="preserve"> із переліку зазначених банків можуть здійснювати банківську діяльність та мають право надавати банківські та інші фінансові послуги (крім послуг у сфері страхування), а також здійснювати іншу діяльність, визначену в законодавстві, як у національній, так і в іноземній валюті, а сам</w:t>
      </w:r>
      <w:r w:rsidR="00E02AAB">
        <w:rPr>
          <w:rFonts w:ascii="Times New Roman" w:hAnsi="Times New Roman" w:cs="Times New Roman"/>
          <w:sz w:val="28"/>
          <w:szCs w:val="28"/>
        </w:rPr>
        <w:t>е</w:t>
      </w:r>
      <w:r w:rsidRPr="00C83F64">
        <w:rPr>
          <w:rFonts w:ascii="Times New Roman" w:hAnsi="Times New Roman" w:cs="Times New Roman"/>
          <w:sz w:val="28"/>
          <w:szCs w:val="28"/>
        </w:rPr>
        <w:t xml:space="preserve"> АБ</w:t>
      </w:r>
      <w:r w:rsidR="00E02AAB">
        <w:rPr>
          <w:rFonts w:ascii="Times New Roman" w:hAnsi="Times New Roman" w:cs="Times New Roman"/>
          <w:sz w:val="28"/>
          <w:szCs w:val="28"/>
        </w:rPr>
        <w:t> </w:t>
      </w:r>
      <w:r w:rsidRPr="00C83F64">
        <w:rPr>
          <w:rFonts w:ascii="Times New Roman" w:hAnsi="Times New Roman" w:cs="Times New Roman"/>
          <w:sz w:val="28"/>
          <w:szCs w:val="28"/>
        </w:rPr>
        <w:t xml:space="preserve">«Укрексімбанк» та АТ «Райффайзен Банк Аваль». </w:t>
      </w:r>
    </w:p>
    <w:p w:rsidR="00626192" w:rsidRPr="00C83F64" w:rsidRDefault="00626192" w:rsidP="0054100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C83F64">
        <w:rPr>
          <w:rFonts w:ascii="Times New Roman" w:hAnsi="Times New Roman" w:cs="Times New Roman"/>
          <w:sz w:val="28"/>
          <w:szCs w:val="28"/>
          <w:lang w:eastAsia="ru-RU"/>
        </w:rPr>
        <w:t xml:space="preserve">ерелік уповноважених банків може бути доповнений тільки за рішенням Кабінету Міністрів України та Національного банку України. </w:t>
      </w:r>
    </w:p>
    <w:p w:rsidR="00A71354" w:rsidRPr="002E702B" w:rsidRDefault="00A71354" w:rsidP="0054100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Водночас постанов</w:t>
      </w:r>
      <w:r w:rsidR="00E02A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Кабінету Міністрів України та Національного банку України від 21 січня 1998 року «Про вдосконалення касового обслуговування касового виконання Державного бюджету України», якою було визначено перелік </w:t>
      </w:r>
      <w:r w:rsidR="00E02AAB">
        <w:rPr>
          <w:rFonts w:ascii="Times New Roman" w:hAnsi="Times New Roman" w:cs="Times New Roman"/>
          <w:color w:val="000000" w:themeColor="text1"/>
          <w:sz w:val="28"/>
          <w:szCs w:val="28"/>
        </w:rPr>
        <w:t>уповноважених банків</w:t>
      </w:r>
      <w:r w:rsidRPr="002E7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1B8" w:rsidRPr="002E702B">
        <w:rPr>
          <w:rFonts w:ascii="Times New Roman" w:hAnsi="Times New Roman" w:cs="Times New Roman"/>
          <w:color w:val="000000" w:themeColor="text1"/>
          <w:sz w:val="28"/>
          <w:szCs w:val="28"/>
        </w:rPr>
        <w:t>та порядок його доповнення</w:t>
      </w:r>
      <w:r w:rsidR="00E02A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51B8" w:rsidRPr="002E7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02B">
        <w:rPr>
          <w:rFonts w:ascii="Times New Roman" w:hAnsi="Times New Roman" w:cs="Times New Roman"/>
          <w:color w:val="000000" w:themeColor="text1"/>
          <w:sz w:val="28"/>
          <w:szCs w:val="28"/>
        </w:rPr>
        <w:t>скасовано.</w:t>
      </w:r>
    </w:p>
    <w:p w:rsidR="00900371" w:rsidRPr="002E702B" w:rsidRDefault="00900371" w:rsidP="0090037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02B">
        <w:rPr>
          <w:rFonts w:ascii="Times New Roman" w:hAnsi="Times New Roman" w:cs="Times New Roman"/>
          <w:color w:val="000000" w:themeColor="text1"/>
          <w:sz w:val="28"/>
          <w:szCs w:val="28"/>
        </w:rPr>
        <w:t>Отж</w:t>
      </w:r>
      <w:r w:rsidR="00476C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E7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 огляду на зміни, що відбулися у законодавстві, на сьогодні Порядок № 11 потребує оновлення шляхом викладення його в новій редакції. </w:t>
      </w:r>
    </w:p>
    <w:p w:rsidR="00076A3A" w:rsidRPr="001E546B" w:rsidRDefault="008839EE" w:rsidP="001E54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Також слід зазначити</w:t>
      </w:r>
      <w:r w:rsidR="00C727BE" w:rsidRPr="002E702B"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r w:rsidR="00EE7704" w:rsidRPr="002E702B">
        <w:rPr>
          <w:rFonts w:ascii="Times New Roman" w:eastAsia="Times New Roman" w:hAnsi="Times New Roman" w:cs="Times New Roman"/>
          <w:sz w:val="28"/>
          <w:szCs w:val="28"/>
        </w:rPr>
        <w:t>з метою єдиного банківського обслуговування, єдиного технічного забезпечення</w:t>
      </w:r>
      <w:r w:rsidR="004A4FAF" w:rsidRPr="002E702B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EE7704" w:rsidRPr="002E702B">
        <w:rPr>
          <w:rFonts w:ascii="Times New Roman" w:eastAsia="Times New Roman" w:hAnsi="Times New Roman" w:cs="Times New Roman"/>
          <w:sz w:val="28"/>
          <w:szCs w:val="28"/>
        </w:rPr>
        <w:t xml:space="preserve"> створення ефективної системи розрахунків з державним бюджетом за податками і зборами</w:t>
      </w:r>
      <w:r w:rsidR="00B6620A" w:rsidRPr="002E702B">
        <w:rPr>
          <w:rFonts w:ascii="Times New Roman" w:eastAsia="Times New Roman" w:hAnsi="Times New Roman" w:cs="Times New Roman"/>
          <w:sz w:val="28"/>
          <w:szCs w:val="28"/>
        </w:rPr>
        <w:t>, контроль за справлянням яких покладено на митні органи</w:t>
      </w:r>
      <w:r w:rsidR="004A4FAF" w:rsidRPr="002E70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27BE" w:rsidRPr="002E702B">
        <w:rPr>
          <w:rFonts w:ascii="Times New Roman" w:hAnsi="Times New Roman" w:cs="Times New Roman"/>
          <w:sz w:val="28"/>
          <w:szCs w:val="28"/>
        </w:rPr>
        <w:t xml:space="preserve"> </w:t>
      </w:r>
      <w:r w:rsidR="00DB3829" w:rsidRPr="002E702B">
        <w:rPr>
          <w:rFonts w:ascii="Times New Roman" w:hAnsi="Times New Roman" w:cs="Times New Roman"/>
          <w:sz w:val="28"/>
          <w:szCs w:val="28"/>
        </w:rPr>
        <w:t xml:space="preserve">уповноваженим банком </w:t>
      </w:r>
      <w:r w:rsidR="00F6279F" w:rsidRPr="002E702B">
        <w:rPr>
          <w:rFonts w:ascii="Times New Roman" w:hAnsi="Times New Roman" w:cs="Times New Roman"/>
          <w:sz w:val="28"/>
          <w:szCs w:val="28"/>
        </w:rPr>
        <w:t>Державно</w:t>
      </w:r>
      <w:r w:rsidR="00A911FA" w:rsidRPr="002E702B">
        <w:rPr>
          <w:rFonts w:ascii="Times New Roman" w:hAnsi="Times New Roman" w:cs="Times New Roman"/>
          <w:sz w:val="28"/>
          <w:szCs w:val="28"/>
        </w:rPr>
        <w:t>ю</w:t>
      </w:r>
      <w:r w:rsidR="00F6279F" w:rsidRPr="002E702B">
        <w:rPr>
          <w:rFonts w:ascii="Times New Roman" w:hAnsi="Times New Roman" w:cs="Times New Roman"/>
          <w:sz w:val="28"/>
          <w:szCs w:val="28"/>
        </w:rPr>
        <w:t xml:space="preserve"> митно</w:t>
      </w:r>
      <w:r w:rsidR="00A911FA" w:rsidRPr="002E702B">
        <w:rPr>
          <w:rFonts w:ascii="Times New Roman" w:hAnsi="Times New Roman" w:cs="Times New Roman"/>
          <w:sz w:val="28"/>
          <w:szCs w:val="28"/>
        </w:rPr>
        <w:t>ю</w:t>
      </w:r>
      <w:r w:rsidR="00DB3829" w:rsidRPr="002E702B">
        <w:rPr>
          <w:rFonts w:ascii="Times New Roman" w:hAnsi="Times New Roman" w:cs="Times New Roman"/>
          <w:sz w:val="28"/>
          <w:szCs w:val="28"/>
        </w:rPr>
        <w:t xml:space="preserve"> </w:t>
      </w:r>
      <w:r w:rsidR="00F6279F" w:rsidRPr="002E702B">
        <w:rPr>
          <w:rFonts w:ascii="Times New Roman" w:hAnsi="Times New Roman" w:cs="Times New Roman"/>
          <w:sz w:val="28"/>
          <w:szCs w:val="28"/>
        </w:rPr>
        <w:t>служб</w:t>
      </w:r>
      <w:r w:rsidR="00A911FA" w:rsidRPr="002E702B">
        <w:rPr>
          <w:rFonts w:ascii="Times New Roman" w:hAnsi="Times New Roman" w:cs="Times New Roman"/>
          <w:sz w:val="28"/>
          <w:szCs w:val="28"/>
        </w:rPr>
        <w:t>ою</w:t>
      </w:r>
      <w:r w:rsidR="00F6279F" w:rsidRPr="002E702B">
        <w:rPr>
          <w:rFonts w:ascii="Times New Roman" w:hAnsi="Times New Roman" w:cs="Times New Roman"/>
          <w:sz w:val="28"/>
          <w:szCs w:val="28"/>
        </w:rPr>
        <w:t xml:space="preserve"> України визначається банк, який відповідає вимогам </w:t>
      </w:r>
      <w:r w:rsidR="006C7D11" w:rsidRPr="002E702B">
        <w:rPr>
          <w:rFonts w:ascii="Times New Roman" w:hAnsi="Times New Roman" w:cs="Times New Roman"/>
          <w:sz w:val="28"/>
          <w:szCs w:val="28"/>
        </w:rPr>
        <w:t>Порядку проведення конкурсу з визначення уповноваженого банку на здійснення</w:t>
      </w:r>
      <w:r w:rsidR="006C7D11" w:rsidRPr="006C7D11">
        <w:rPr>
          <w:rFonts w:ascii="Times New Roman" w:hAnsi="Times New Roman" w:cs="Times New Roman"/>
          <w:sz w:val="28"/>
          <w:szCs w:val="28"/>
        </w:rPr>
        <w:t xml:space="preserve"> розрахунків з державним бюджетом за митними </w:t>
      </w:r>
      <w:proofErr w:type="spellStart"/>
      <w:r w:rsidR="006C7D11" w:rsidRPr="006C7D11">
        <w:rPr>
          <w:rFonts w:ascii="Times New Roman" w:hAnsi="Times New Roman" w:cs="Times New Roman"/>
          <w:sz w:val="28"/>
          <w:szCs w:val="28"/>
        </w:rPr>
        <w:t>платежами</w:t>
      </w:r>
      <w:proofErr w:type="spellEnd"/>
      <w:r w:rsidR="00FC7240" w:rsidRPr="00102383">
        <w:rPr>
          <w:rFonts w:ascii="Times New Roman" w:hAnsi="Times New Roman" w:cs="Times New Roman"/>
          <w:sz w:val="28"/>
          <w:szCs w:val="28"/>
        </w:rPr>
        <w:t>, затверджен</w:t>
      </w:r>
      <w:r w:rsidR="003B5EC2">
        <w:rPr>
          <w:rFonts w:ascii="Times New Roman" w:hAnsi="Times New Roman" w:cs="Times New Roman"/>
          <w:sz w:val="28"/>
          <w:szCs w:val="28"/>
        </w:rPr>
        <w:t>ого</w:t>
      </w:r>
      <w:r w:rsidR="00FC7240" w:rsidRPr="00102383">
        <w:rPr>
          <w:rFonts w:ascii="Times New Roman" w:hAnsi="Times New Roman" w:cs="Times New Roman"/>
          <w:sz w:val="28"/>
          <w:szCs w:val="28"/>
        </w:rPr>
        <w:t xml:space="preserve"> наказом Міністерства фінансів України </w:t>
      </w:r>
      <w:r w:rsidR="00FC7240" w:rsidRPr="00102383">
        <w:rPr>
          <w:rFonts w:ascii="Times New Roman" w:hAnsi="Times New Roman" w:cs="Times New Roman"/>
          <w:color w:val="000000"/>
          <w:sz w:val="28"/>
          <w:szCs w:val="28"/>
        </w:rPr>
        <w:t>від 29</w:t>
      </w:r>
      <w:r w:rsidR="003B5EC2">
        <w:rPr>
          <w:rFonts w:ascii="Times New Roman" w:hAnsi="Times New Roman" w:cs="Times New Roman"/>
          <w:color w:val="000000"/>
          <w:sz w:val="28"/>
          <w:szCs w:val="28"/>
        </w:rPr>
        <w:t xml:space="preserve"> вересня </w:t>
      </w:r>
      <w:r w:rsidR="00FC7240" w:rsidRPr="00102383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3B5EC2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  <w:r w:rsidR="00FC7240" w:rsidRPr="00102383">
        <w:rPr>
          <w:rFonts w:ascii="Times New Roman" w:hAnsi="Times New Roman" w:cs="Times New Roman"/>
          <w:color w:val="000000"/>
          <w:sz w:val="28"/>
          <w:szCs w:val="28"/>
        </w:rPr>
        <w:t xml:space="preserve"> № 984, </w:t>
      </w:r>
      <w:r w:rsidR="00FC7240" w:rsidRPr="00102383">
        <w:rPr>
          <w:rFonts w:ascii="Times New Roman" w:hAnsi="Times New Roman" w:cs="Times New Roman"/>
          <w:sz w:val="28"/>
          <w:szCs w:val="28"/>
        </w:rPr>
        <w:t>зареєстрованим у Міністерстві юстиції України 26</w:t>
      </w:r>
      <w:r w:rsidR="003B5EC2">
        <w:rPr>
          <w:rFonts w:ascii="Times New Roman" w:hAnsi="Times New Roman" w:cs="Times New Roman"/>
          <w:sz w:val="28"/>
          <w:szCs w:val="28"/>
        </w:rPr>
        <w:t xml:space="preserve"> листопада </w:t>
      </w:r>
      <w:r w:rsidR="00FC7240" w:rsidRPr="00102383">
        <w:rPr>
          <w:rFonts w:ascii="Times New Roman" w:hAnsi="Times New Roman" w:cs="Times New Roman"/>
          <w:sz w:val="28"/>
          <w:szCs w:val="28"/>
        </w:rPr>
        <w:t>2014</w:t>
      </w:r>
      <w:r w:rsidR="003B5EC2">
        <w:rPr>
          <w:rFonts w:ascii="Times New Roman" w:hAnsi="Times New Roman" w:cs="Times New Roman"/>
          <w:sz w:val="28"/>
          <w:szCs w:val="28"/>
        </w:rPr>
        <w:t xml:space="preserve"> року</w:t>
      </w:r>
      <w:r w:rsidR="00FC7240" w:rsidRPr="00102383">
        <w:rPr>
          <w:rFonts w:ascii="Times New Roman" w:hAnsi="Times New Roman" w:cs="Times New Roman"/>
          <w:sz w:val="28"/>
          <w:szCs w:val="28"/>
        </w:rPr>
        <w:t xml:space="preserve"> за №</w:t>
      </w:r>
      <w:r w:rsidR="003B5EC2">
        <w:rPr>
          <w:rFonts w:ascii="Times New Roman" w:hAnsi="Times New Roman" w:cs="Times New Roman"/>
          <w:sz w:val="28"/>
          <w:szCs w:val="28"/>
        </w:rPr>
        <w:t> </w:t>
      </w:r>
      <w:r w:rsidR="00FC7240" w:rsidRPr="00102383">
        <w:rPr>
          <w:rFonts w:ascii="Times New Roman" w:hAnsi="Times New Roman" w:cs="Times New Roman"/>
          <w:sz w:val="28"/>
          <w:szCs w:val="28"/>
        </w:rPr>
        <w:t>1514/26291 (далі – Порядок №</w:t>
      </w:r>
      <w:r w:rsidR="00694974">
        <w:rPr>
          <w:rFonts w:ascii="Times New Roman" w:hAnsi="Times New Roman" w:cs="Times New Roman"/>
          <w:sz w:val="28"/>
          <w:szCs w:val="28"/>
        </w:rPr>
        <w:t> </w:t>
      </w:r>
      <w:r w:rsidR="00FC7240" w:rsidRPr="00102383">
        <w:rPr>
          <w:rFonts w:ascii="Times New Roman" w:hAnsi="Times New Roman" w:cs="Times New Roman"/>
          <w:sz w:val="28"/>
          <w:szCs w:val="28"/>
        </w:rPr>
        <w:t>984</w:t>
      </w:r>
      <w:r w:rsidR="00FC7240">
        <w:rPr>
          <w:rFonts w:ascii="Times New Roman" w:hAnsi="Times New Roman" w:cs="Times New Roman"/>
          <w:sz w:val="28"/>
          <w:szCs w:val="28"/>
        </w:rPr>
        <w:t>).</w:t>
      </w:r>
      <w:r w:rsidR="00694974">
        <w:rPr>
          <w:rFonts w:ascii="Times New Roman" w:hAnsi="Times New Roman" w:cs="Times New Roman"/>
          <w:sz w:val="28"/>
          <w:szCs w:val="28"/>
        </w:rPr>
        <w:t xml:space="preserve"> </w:t>
      </w:r>
      <w:r w:rsidR="001E546B">
        <w:rPr>
          <w:rFonts w:ascii="Times New Roman" w:hAnsi="Times New Roman" w:cs="Times New Roman"/>
          <w:sz w:val="28"/>
          <w:szCs w:val="28"/>
        </w:rPr>
        <w:t xml:space="preserve">На сьогодні уповноваженим банком, </w:t>
      </w:r>
      <w:r w:rsidR="00694974" w:rsidRPr="00694974">
        <w:rPr>
          <w:rFonts w:ascii="Times New Roman" w:hAnsi="Times New Roman" w:cs="Times New Roman"/>
          <w:sz w:val="28"/>
          <w:szCs w:val="28"/>
        </w:rPr>
        <w:t xml:space="preserve">який </w:t>
      </w:r>
      <w:r w:rsidR="001E546B">
        <w:rPr>
          <w:rFonts w:ascii="Times New Roman" w:hAnsi="Times New Roman" w:cs="Times New Roman"/>
          <w:sz w:val="28"/>
          <w:szCs w:val="28"/>
        </w:rPr>
        <w:t>відповідно до Порядку №</w:t>
      </w:r>
      <w:r w:rsidR="00C14377">
        <w:rPr>
          <w:rFonts w:ascii="Times New Roman" w:hAnsi="Times New Roman" w:cs="Times New Roman"/>
          <w:sz w:val="28"/>
          <w:szCs w:val="28"/>
        </w:rPr>
        <w:t> </w:t>
      </w:r>
      <w:r w:rsidR="00B60043">
        <w:rPr>
          <w:rFonts w:ascii="Times New Roman" w:hAnsi="Times New Roman" w:cs="Times New Roman"/>
          <w:sz w:val="28"/>
          <w:szCs w:val="28"/>
        </w:rPr>
        <w:t>984</w:t>
      </w:r>
      <w:r w:rsidR="001E546B">
        <w:rPr>
          <w:rFonts w:ascii="Times New Roman" w:hAnsi="Times New Roman" w:cs="Times New Roman"/>
          <w:sz w:val="28"/>
          <w:szCs w:val="28"/>
        </w:rPr>
        <w:t xml:space="preserve"> </w:t>
      </w:r>
      <w:r w:rsidR="00694974" w:rsidRPr="00694974">
        <w:rPr>
          <w:rFonts w:ascii="Times New Roman" w:hAnsi="Times New Roman" w:cs="Times New Roman"/>
          <w:sz w:val="28"/>
          <w:szCs w:val="28"/>
        </w:rPr>
        <w:t xml:space="preserve">запропонував повне покриття банківськими послугами визначених </w:t>
      </w:r>
      <w:r w:rsidR="00694974" w:rsidRPr="00A61C07">
        <w:rPr>
          <w:rStyle w:val="rvts0"/>
          <w:rFonts w:ascii="Times New Roman" w:hAnsi="Times New Roman" w:cs="Times New Roman"/>
          <w:sz w:val="28"/>
          <w:szCs w:val="28"/>
        </w:rPr>
        <w:t xml:space="preserve">Державною </w:t>
      </w:r>
      <w:r w:rsidR="00694974">
        <w:rPr>
          <w:rStyle w:val="rvts0"/>
          <w:rFonts w:ascii="Times New Roman" w:hAnsi="Times New Roman" w:cs="Times New Roman"/>
          <w:sz w:val="28"/>
          <w:szCs w:val="28"/>
        </w:rPr>
        <w:t>митною</w:t>
      </w:r>
      <w:r w:rsidR="00694974" w:rsidRPr="00A61C07">
        <w:rPr>
          <w:rStyle w:val="rvts0"/>
          <w:rFonts w:ascii="Times New Roman" w:hAnsi="Times New Roman" w:cs="Times New Roman"/>
          <w:sz w:val="28"/>
          <w:szCs w:val="28"/>
        </w:rPr>
        <w:t xml:space="preserve"> службою України</w:t>
      </w:r>
      <w:r w:rsidR="00694974" w:rsidRPr="00694974">
        <w:rPr>
          <w:rFonts w:ascii="Times New Roman" w:hAnsi="Times New Roman" w:cs="Times New Roman"/>
          <w:sz w:val="28"/>
          <w:szCs w:val="28"/>
        </w:rPr>
        <w:t xml:space="preserve"> місць митного оформлення товарів та транспортних засобів із найменшим обсягом коштів, які необхідно сплатити за надані послуги</w:t>
      </w:r>
      <w:r w:rsidR="001E546B">
        <w:rPr>
          <w:rFonts w:ascii="Times New Roman" w:hAnsi="Times New Roman" w:cs="Times New Roman"/>
          <w:sz w:val="28"/>
          <w:szCs w:val="28"/>
        </w:rPr>
        <w:t>,</w:t>
      </w:r>
      <w:r w:rsidR="00A911FA">
        <w:rPr>
          <w:rFonts w:ascii="Times New Roman" w:hAnsi="Times New Roman" w:cs="Times New Roman"/>
          <w:sz w:val="28"/>
          <w:szCs w:val="28"/>
        </w:rPr>
        <w:t xml:space="preserve"> є </w:t>
      </w:r>
      <w:r w:rsidR="00C727BE" w:rsidRPr="00102383">
        <w:rPr>
          <w:rFonts w:ascii="Times New Roman" w:hAnsi="Times New Roman" w:cs="Times New Roman"/>
          <w:sz w:val="28"/>
          <w:szCs w:val="28"/>
        </w:rPr>
        <w:t>ПАТ АБ «</w:t>
      </w:r>
      <w:proofErr w:type="spellStart"/>
      <w:r w:rsidR="00C727BE" w:rsidRPr="00102383">
        <w:rPr>
          <w:rFonts w:ascii="Times New Roman" w:hAnsi="Times New Roman" w:cs="Times New Roman"/>
          <w:sz w:val="28"/>
          <w:szCs w:val="28"/>
        </w:rPr>
        <w:t>Укргазбанк</w:t>
      </w:r>
      <w:proofErr w:type="spellEnd"/>
      <w:r w:rsidR="00C727BE" w:rsidRPr="00102383">
        <w:rPr>
          <w:rFonts w:ascii="Times New Roman" w:hAnsi="Times New Roman" w:cs="Times New Roman"/>
          <w:sz w:val="28"/>
          <w:szCs w:val="28"/>
        </w:rPr>
        <w:t>»</w:t>
      </w:r>
      <w:r w:rsidR="001E546B">
        <w:rPr>
          <w:rFonts w:ascii="Times New Roman" w:hAnsi="Times New Roman" w:cs="Times New Roman"/>
          <w:sz w:val="28"/>
          <w:szCs w:val="28"/>
        </w:rPr>
        <w:t xml:space="preserve">. Оскільки </w:t>
      </w:r>
      <w:r w:rsidR="007F2871">
        <w:rPr>
          <w:rFonts w:ascii="Times New Roman" w:hAnsi="Times New Roman" w:cs="Times New Roman"/>
          <w:sz w:val="28"/>
          <w:szCs w:val="28"/>
        </w:rPr>
        <w:t>зазначений банк</w:t>
      </w:r>
      <w:r w:rsidR="001E546B">
        <w:rPr>
          <w:rFonts w:ascii="Times New Roman" w:hAnsi="Times New Roman" w:cs="Times New Roman"/>
          <w:sz w:val="28"/>
          <w:szCs w:val="28"/>
        </w:rPr>
        <w:t xml:space="preserve"> </w:t>
      </w:r>
      <w:r w:rsidR="00076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входить до переліку уповноважених банків, визначених Порядком № 11, </w:t>
      </w:r>
      <w:r w:rsidR="007F2871">
        <w:rPr>
          <w:rFonts w:ascii="Times New Roman" w:hAnsi="Times New Roman" w:cs="Times New Roman"/>
          <w:color w:val="000000" w:themeColor="text1"/>
          <w:sz w:val="28"/>
          <w:szCs w:val="28"/>
        </w:rPr>
        <w:t>у нього відсутня</w:t>
      </w:r>
      <w:r w:rsidR="00076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можливі</w:t>
      </w:r>
      <w:r w:rsidR="007F2871">
        <w:rPr>
          <w:rFonts w:ascii="Times New Roman" w:hAnsi="Times New Roman" w:cs="Times New Roman"/>
          <w:color w:val="000000" w:themeColor="text1"/>
          <w:sz w:val="28"/>
          <w:szCs w:val="28"/>
        </w:rPr>
        <w:t>сть</w:t>
      </w:r>
      <w:r w:rsidR="00076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забезпечити митні органи повним спектром банківських послуг відповідно до Генеральної угоди між Державно</w:t>
      </w:r>
      <w:r w:rsidR="00B91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="00076A3A">
        <w:rPr>
          <w:rFonts w:ascii="Times New Roman" w:hAnsi="Times New Roman" w:cs="Times New Roman"/>
          <w:color w:val="000000" w:themeColor="text1"/>
          <w:sz w:val="28"/>
          <w:szCs w:val="28"/>
        </w:rPr>
        <w:t>митно</w:t>
      </w:r>
      <w:r w:rsidR="00B91EA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076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</w:t>
      </w:r>
      <w:r w:rsidR="00B91EAC"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="00076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 та </w:t>
      </w:r>
      <w:r w:rsidR="00F26191">
        <w:rPr>
          <w:rFonts w:ascii="Times New Roman" w:hAnsi="Times New Roman" w:cs="Times New Roman"/>
          <w:color w:val="000000" w:themeColor="text1"/>
          <w:sz w:val="28"/>
          <w:szCs w:val="28"/>
        </w:rPr>
        <w:t>банком.</w:t>
      </w:r>
    </w:p>
    <w:p w:rsidR="007B26F0" w:rsidRDefault="007B26F0" w:rsidP="002E2F2F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78DC" w:rsidRPr="00C83F64" w:rsidRDefault="007A78DC" w:rsidP="002E2F2F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3F64">
        <w:rPr>
          <w:rFonts w:ascii="Times New Roman" w:eastAsia="Times New Roman" w:hAnsi="Times New Roman" w:cs="Times New Roman"/>
          <w:sz w:val="28"/>
          <w:szCs w:val="28"/>
        </w:rPr>
        <w:t>Основні групи, на які проблема справляє вплив:</w:t>
      </w:r>
    </w:p>
    <w:tbl>
      <w:tblPr>
        <w:tblStyle w:val="a5"/>
        <w:tblW w:w="959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2551"/>
        <w:gridCol w:w="2509"/>
      </w:tblGrid>
      <w:tr w:rsidR="007A78DC" w:rsidRPr="00C83F64" w:rsidTr="00275C76">
        <w:trPr>
          <w:trHeight w:val="33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78DC" w:rsidRPr="00C83F64" w:rsidRDefault="007A78DC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Групи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78DC" w:rsidRPr="00C83F64" w:rsidRDefault="007A78DC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78DC" w:rsidRPr="00C83F64" w:rsidRDefault="007A78DC" w:rsidP="002E2F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7A78DC" w:rsidRPr="00C83F64" w:rsidTr="00275C76">
        <w:trPr>
          <w:trHeight w:val="14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8DC" w:rsidRPr="00C83F64" w:rsidRDefault="00B44FAC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Держава (розпорядники валютних цінностей</w:t>
            </w:r>
            <w:r w:rsidR="00644289"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8DC" w:rsidRPr="00C83F64" w:rsidRDefault="007C7616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8DC" w:rsidRPr="007C7616" w:rsidRDefault="007C7616" w:rsidP="002E2F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7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7A78DC" w:rsidRPr="00C83F64" w:rsidTr="00275C76">
        <w:trPr>
          <w:trHeight w:val="283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8DC" w:rsidRPr="00C83F64" w:rsidRDefault="00E466B0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Суб’єкти господарювання (</w:t>
            </w:r>
            <w:r w:rsidR="00201EC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B44FAC"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повноважені банки</w:t>
            </w:r>
            <w:r w:rsidR="00201EC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8DC" w:rsidRPr="007C7616" w:rsidRDefault="007C7616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8DC" w:rsidRPr="00C83F64" w:rsidRDefault="007C7616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7A78DC" w:rsidRPr="00C83F64" w:rsidTr="00275C76">
        <w:trPr>
          <w:trHeight w:val="279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8DC" w:rsidRPr="00C83F64" w:rsidRDefault="00C3500D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Громадяни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8DC" w:rsidRPr="00C83F64" w:rsidRDefault="007C7616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8DC" w:rsidRPr="00C83F64" w:rsidRDefault="00810011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</w:tbl>
    <w:p w:rsidR="007A78DC" w:rsidRPr="00C83F64" w:rsidRDefault="007A78DC" w:rsidP="002E2F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8AB" w:rsidRPr="00C83F64" w:rsidRDefault="00CD4EE6" w:rsidP="002E2F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F64">
        <w:rPr>
          <w:rFonts w:ascii="Times New Roman" w:eastAsia="Times New Roman" w:hAnsi="Times New Roman" w:cs="Times New Roman"/>
          <w:b/>
          <w:sz w:val="28"/>
          <w:szCs w:val="28"/>
        </w:rPr>
        <w:t>ІІ. Цілі державного регулювання</w:t>
      </w:r>
    </w:p>
    <w:p w:rsidR="00834E27" w:rsidRPr="00C83F64" w:rsidRDefault="00140CFF" w:rsidP="002E2F2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F64">
        <w:rPr>
          <w:rFonts w:ascii="Times New Roman" w:hAnsi="Times New Roman" w:cs="Times New Roman"/>
          <w:sz w:val="28"/>
          <w:szCs w:val="28"/>
        </w:rPr>
        <w:t xml:space="preserve">Ціллю державного регулювання </w:t>
      </w:r>
      <w:r w:rsidR="009359A0">
        <w:rPr>
          <w:rFonts w:ascii="Times New Roman" w:hAnsi="Times New Roman" w:cs="Times New Roman"/>
          <w:sz w:val="28"/>
          <w:szCs w:val="28"/>
        </w:rPr>
        <w:t xml:space="preserve">є </w:t>
      </w:r>
      <w:r w:rsidR="00641590" w:rsidRPr="00641590">
        <w:rPr>
          <w:rFonts w:ascii="Times New Roman" w:hAnsi="Times New Roman" w:cs="Times New Roman"/>
          <w:sz w:val="28"/>
          <w:szCs w:val="28"/>
        </w:rPr>
        <w:t xml:space="preserve">створення </w:t>
      </w:r>
      <w:r w:rsidR="00641590" w:rsidRPr="00641590">
        <w:rPr>
          <w:rFonts w:ascii="Times New Roman" w:hAnsi="Times New Roman" w:cs="Times New Roman"/>
          <w:bCs/>
          <w:sz w:val="28"/>
          <w:szCs w:val="28"/>
        </w:rPr>
        <w:t>єдиних умов щодо розпорядження</w:t>
      </w:r>
      <w:r w:rsidR="00641590" w:rsidRPr="00641590">
        <w:rPr>
          <w:rFonts w:ascii="Times New Roman" w:hAnsi="Times New Roman" w:cs="Times New Roman"/>
          <w:sz w:val="28"/>
          <w:szCs w:val="28"/>
        </w:rPr>
        <w:t xml:space="preserve"> </w:t>
      </w:r>
      <w:r w:rsidR="00834E27" w:rsidRPr="00641590">
        <w:rPr>
          <w:rFonts w:ascii="Times New Roman" w:hAnsi="Times New Roman" w:cs="Times New Roman"/>
          <w:sz w:val="28"/>
          <w:szCs w:val="28"/>
        </w:rPr>
        <w:t>валютними ціннос</w:t>
      </w:r>
      <w:r w:rsidR="00834E27" w:rsidRPr="00C83F64">
        <w:rPr>
          <w:rFonts w:ascii="Times New Roman" w:hAnsi="Times New Roman" w:cs="Times New Roman"/>
          <w:sz w:val="28"/>
          <w:szCs w:val="28"/>
        </w:rPr>
        <w:t>тями</w:t>
      </w:r>
      <w:r w:rsidR="00F9604C" w:rsidRPr="00C83F64">
        <w:rPr>
          <w:rFonts w:ascii="Times New Roman" w:hAnsi="Times New Roman" w:cs="Times New Roman"/>
          <w:sz w:val="28"/>
          <w:szCs w:val="28"/>
        </w:rPr>
        <w:t xml:space="preserve"> (крім банківських металів), платіжними документами,</w:t>
      </w:r>
      <w:r w:rsidR="00834E27" w:rsidRPr="00C83F64">
        <w:rPr>
          <w:rFonts w:ascii="Times New Roman" w:hAnsi="Times New Roman" w:cs="Times New Roman"/>
          <w:sz w:val="28"/>
          <w:szCs w:val="28"/>
        </w:rPr>
        <w:t xml:space="preserve"> </w:t>
      </w:r>
      <w:r w:rsidR="004F08FC" w:rsidRPr="004F08FC">
        <w:rPr>
          <w:rFonts w:ascii="Times New Roman" w:hAnsi="Times New Roman" w:cs="Times New Roman"/>
          <w:sz w:val="28"/>
          <w:szCs w:val="28"/>
        </w:rPr>
        <w:t>що переходять у власність держави</w:t>
      </w:r>
      <w:r w:rsidR="004F08FC">
        <w:rPr>
          <w:rFonts w:ascii="Times New Roman" w:hAnsi="Times New Roman" w:cs="Times New Roman"/>
          <w:sz w:val="28"/>
          <w:szCs w:val="28"/>
        </w:rPr>
        <w:t xml:space="preserve">, </w:t>
      </w:r>
      <w:r w:rsidR="00834E27" w:rsidRPr="00C83F64">
        <w:rPr>
          <w:rFonts w:ascii="Times New Roman" w:hAnsi="Times New Roman" w:cs="Times New Roman"/>
          <w:sz w:val="28"/>
          <w:szCs w:val="28"/>
        </w:rPr>
        <w:t xml:space="preserve">а також установлення </w:t>
      </w:r>
      <w:r w:rsidR="00834E27" w:rsidRPr="00C83F64">
        <w:rPr>
          <w:rFonts w:ascii="Times New Roman" w:hAnsi="Times New Roman" w:cs="Times New Roman"/>
          <w:color w:val="000000"/>
          <w:sz w:val="28"/>
          <w:szCs w:val="28"/>
        </w:rPr>
        <w:t>єдиних правил їх обліку та зберігання.</w:t>
      </w:r>
    </w:p>
    <w:p w:rsidR="00477F59" w:rsidRDefault="00834E27" w:rsidP="002E2F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F64">
        <w:rPr>
          <w:rFonts w:ascii="Times New Roman" w:hAnsi="Times New Roman" w:cs="Times New Roman"/>
          <w:sz w:val="28"/>
          <w:szCs w:val="28"/>
        </w:rPr>
        <w:t>Також ціллю державного регулювання є визначення уповноважених банків на право представлення банківських послуг, визначених р</w:t>
      </w:r>
      <w:r w:rsidR="005B54C0">
        <w:rPr>
          <w:rFonts w:ascii="Times New Roman" w:hAnsi="Times New Roman" w:cs="Times New Roman"/>
          <w:sz w:val="28"/>
          <w:szCs w:val="28"/>
        </w:rPr>
        <w:t>озпорядником валютних цінностей</w:t>
      </w:r>
      <w:r w:rsidR="001C6CBE">
        <w:rPr>
          <w:rFonts w:ascii="Times New Roman" w:hAnsi="Times New Roman" w:cs="Times New Roman"/>
          <w:sz w:val="28"/>
          <w:szCs w:val="28"/>
        </w:rPr>
        <w:t>.</w:t>
      </w:r>
      <w:r w:rsidR="006666AA">
        <w:rPr>
          <w:rFonts w:ascii="Times New Roman" w:hAnsi="Times New Roman" w:cs="Times New Roman"/>
          <w:sz w:val="28"/>
          <w:szCs w:val="28"/>
        </w:rPr>
        <w:t xml:space="preserve"> Для цього </w:t>
      </w:r>
      <w:r w:rsidR="00477F59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2C53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7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ктом наказу передбачається визначення </w:t>
      </w:r>
      <w:r w:rsidR="00477F59" w:rsidRPr="00C83F64">
        <w:rPr>
          <w:rFonts w:ascii="Times New Roman" w:eastAsia="Calibri" w:hAnsi="Times New Roman" w:cs="Times New Roman"/>
          <w:sz w:val="28"/>
          <w:szCs w:val="28"/>
        </w:rPr>
        <w:t>розпорядниками валютних цінностей</w:t>
      </w:r>
      <w:r w:rsidR="0047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уповноважених банків з переліку банків, визначених відповідно до </w:t>
      </w:r>
      <w:r w:rsidR="00477F59" w:rsidRPr="00C83F64">
        <w:rPr>
          <w:rFonts w:ascii="Times New Roman" w:hAnsi="Times New Roman" w:cs="Times New Roman"/>
          <w:sz w:val="28"/>
          <w:szCs w:val="28"/>
        </w:rPr>
        <w:t>Порядку відбору банків, через які здійснюється виплата пенсій, грошової допомоги та заробітної плати працівникам бюджетних установ, затвердженого постановою Кабінету Міністрів України від</w:t>
      </w:r>
      <w:r w:rsidR="00477F59">
        <w:rPr>
          <w:rFonts w:ascii="Times New Roman" w:hAnsi="Times New Roman" w:cs="Times New Roman"/>
          <w:sz w:val="28"/>
          <w:szCs w:val="28"/>
        </w:rPr>
        <w:t> </w:t>
      </w:r>
      <w:r w:rsidR="00477F59" w:rsidRPr="00C83F64">
        <w:rPr>
          <w:rFonts w:ascii="Times New Roman" w:hAnsi="Times New Roman" w:cs="Times New Roman"/>
          <w:sz w:val="28"/>
          <w:szCs w:val="28"/>
        </w:rPr>
        <w:t xml:space="preserve">26 вересня 2001 року № 1231 (далі – Порядок   </w:t>
      </w:r>
      <w:r w:rsidR="00477F59">
        <w:rPr>
          <w:rFonts w:ascii="Times New Roman" w:hAnsi="Times New Roman" w:cs="Times New Roman"/>
          <w:sz w:val="28"/>
          <w:szCs w:val="28"/>
        </w:rPr>
        <w:t xml:space="preserve">№ 1231), що в свою чергу </w:t>
      </w:r>
      <w:proofErr w:type="spellStart"/>
      <w:r w:rsidR="00477F59">
        <w:rPr>
          <w:rFonts w:ascii="Times New Roman" w:hAnsi="Times New Roman" w:cs="Times New Roman"/>
          <w:sz w:val="28"/>
          <w:szCs w:val="28"/>
        </w:rPr>
        <w:t>надасть</w:t>
      </w:r>
      <w:proofErr w:type="spellEnd"/>
      <w:r w:rsidR="00477F59">
        <w:rPr>
          <w:rFonts w:ascii="Times New Roman" w:hAnsi="Times New Roman" w:cs="Times New Roman"/>
          <w:sz w:val="28"/>
          <w:szCs w:val="28"/>
        </w:rPr>
        <w:t xml:space="preserve"> змогу створити конкурсне середовище серед банків, а отже</w:t>
      </w:r>
      <w:r w:rsidR="00EE76AF">
        <w:rPr>
          <w:rFonts w:ascii="Times New Roman" w:hAnsi="Times New Roman" w:cs="Times New Roman"/>
          <w:sz w:val="28"/>
          <w:szCs w:val="28"/>
        </w:rPr>
        <w:t>,</w:t>
      </w:r>
      <w:r w:rsidR="00477F59">
        <w:rPr>
          <w:rFonts w:ascii="Times New Roman" w:hAnsi="Times New Roman" w:cs="Times New Roman"/>
          <w:sz w:val="28"/>
          <w:szCs w:val="28"/>
        </w:rPr>
        <w:t xml:space="preserve"> відібрати найкращі банки для надання послуг у відповідній сфері. </w:t>
      </w:r>
    </w:p>
    <w:p w:rsidR="00477F59" w:rsidRDefault="00D95838" w:rsidP="002E2F2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Згідно з про</w:t>
      </w:r>
      <w:r w:rsidR="008839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ктом наказу у</w:t>
      </w:r>
      <w:r w:rsidR="00477F59">
        <w:rPr>
          <w:rFonts w:ascii="Times New Roman" w:hAnsi="Times New Roman" w:cs="Times New Roman"/>
          <w:sz w:val="28"/>
          <w:szCs w:val="28"/>
        </w:rPr>
        <w:t xml:space="preserve">повноваженим банком для митних органів є банк, вибраний </w:t>
      </w:r>
      <w:r w:rsidR="0080157A">
        <w:rPr>
          <w:rFonts w:ascii="Times New Roman" w:hAnsi="Times New Roman" w:cs="Times New Roman"/>
          <w:sz w:val="28"/>
          <w:szCs w:val="28"/>
        </w:rPr>
        <w:t xml:space="preserve">на конкурсних засадах </w:t>
      </w:r>
      <w:r w:rsidR="00477F59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477F59" w:rsidRPr="00C83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 </w:t>
      </w:r>
      <w:r w:rsidR="0047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77F59" w:rsidRPr="00C83F64">
        <w:rPr>
          <w:rFonts w:ascii="Times New Roman" w:hAnsi="Times New Roman" w:cs="Times New Roman"/>
          <w:color w:val="000000" w:themeColor="text1"/>
          <w:sz w:val="28"/>
          <w:szCs w:val="28"/>
        </w:rPr>
        <w:t>984</w:t>
      </w:r>
      <w:r w:rsidR="00477F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7F59" w:rsidRPr="00E073A5" w:rsidRDefault="00477F59" w:rsidP="002E2F2F">
      <w:pPr>
        <w:pStyle w:val="HTM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073A5">
        <w:rPr>
          <w:rFonts w:ascii="Times New Roman" w:hAnsi="Times New Roman" w:cs="Times New Roman"/>
          <w:spacing w:val="-4"/>
          <w:sz w:val="28"/>
          <w:szCs w:val="28"/>
        </w:rPr>
        <w:t>Крім того, про</w:t>
      </w:r>
      <w:r w:rsidR="008839EE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E073A5">
        <w:rPr>
          <w:rFonts w:ascii="Times New Roman" w:hAnsi="Times New Roman" w:cs="Times New Roman"/>
          <w:spacing w:val="-4"/>
          <w:sz w:val="28"/>
          <w:szCs w:val="28"/>
        </w:rPr>
        <w:t xml:space="preserve">ктом наказу врегульовано питання розпорядження вилученими з обігу іноземними банкноти та монетами першої, другої, третьої груп за Класифікатором, що не підлягають обміну в країні-емітенті, платіжними картками, чеками, які виражені як в іноземній валюті, так і в гривнях, що не можуть бути пред’явлені уповноваженими банками до сплати на інкасо.   </w:t>
      </w:r>
    </w:p>
    <w:p w:rsidR="00477F59" w:rsidRDefault="00477F59" w:rsidP="002E2F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4E27" w:rsidRPr="00C83F64" w:rsidRDefault="00DE60E7" w:rsidP="002E2F2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F64">
        <w:rPr>
          <w:rFonts w:ascii="Times New Roman" w:eastAsia="Times New Roman" w:hAnsi="Times New Roman" w:cs="Times New Roman"/>
          <w:b/>
          <w:sz w:val="28"/>
          <w:szCs w:val="28"/>
        </w:rPr>
        <w:t>ІІІ. Визначення та оцінка альтернативних способів досягнення цілей</w:t>
      </w:r>
    </w:p>
    <w:p w:rsidR="00AC3C55" w:rsidRPr="00C83F64" w:rsidRDefault="00AC3C55" w:rsidP="002E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F64">
        <w:rPr>
          <w:rFonts w:ascii="Times New Roman" w:eastAsia="Times New Roman" w:hAnsi="Times New Roman" w:cs="Times New Roman"/>
          <w:sz w:val="28"/>
          <w:szCs w:val="28"/>
        </w:rPr>
        <w:t>1. Визначення альтернативних способів</w:t>
      </w:r>
    </w:p>
    <w:tbl>
      <w:tblPr>
        <w:tblStyle w:val="a6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149"/>
        <w:gridCol w:w="6482"/>
      </w:tblGrid>
      <w:tr w:rsidR="00AC3C55" w:rsidRPr="00C83F64" w:rsidTr="00F80A1B">
        <w:trPr>
          <w:trHeight w:val="520"/>
        </w:trPr>
        <w:tc>
          <w:tcPr>
            <w:tcW w:w="163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3C55" w:rsidRPr="00C83F64" w:rsidRDefault="00AC3C55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336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3C55" w:rsidRPr="00C83F64" w:rsidRDefault="00AC3C55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Опис альтернативи</w:t>
            </w:r>
          </w:p>
        </w:tc>
      </w:tr>
      <w:tr w:rsidR="00AC3C55" w:rsidRPr="00C83F64" w:rsidTr="00F80A1B">
        <w:trPr>
          <w:trHeight w:val="311"/>
        </w:trPr>
        <w:tc>
          <w:tcPr>
            <w:tcW w:w="163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C55" w:rsidRPr="00C83F64" w:rsidRDefault="00AC3C55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1</w:t>
            </w:r>
          </w:p>
        </w:tc>
        <w:tc>
          <w:tcPr>
            <w:tcW w:w="33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C55" w:rsidRPr="00C83F64" w:rsidRDefault="003E0D39" w:rsidP="004D55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Залишення </w:t>
            </w:r>
            <w:r w:rsidR="004D5514">
              <w:rPr>
                <w:rFonts w:ascii="Times New Roman" w:eastAsia="Times New Roman" w:hAnsi="Times New Roman" w:cs="Times New Roman"/>
                <w:sz w:val="28"/>
                <w:szCs w:val="28"/>
              </w:rPr>
              <w:t>чинного</w:t>
            </w: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нормативно-правового </w:t>
            </w:r>
            <w:proofErr w:type="spellStart"/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proofErr w:type="spellEnd"/>
          </w:p>
        </w:tc>
      </w:tr>
      <w:tr w:rsidR="00AC3C55" w:rsidRPr="00C83F64" w:rsidTr="00F80A1B">
        <w:trPr>
          <w:trHeight w:val="347"/>
        </w:trPr>
        <w:tc>
          <w:tcPr>
            <w:tcW w:w="163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C55" w:rsidRPr="00C83F64" w:rsidRDefault="00F80A1B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2 </w:t>
            </w:r>
          </w:p>
        </w:tc>
        <w:tc>
          <w:tcPr>
            <w:tcW w:w="33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C55" w:rsidRPr="00C83F64" w:rsidRDefault="003E0D39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Прийняття розробленого нормативно-правового </w:t>
            </w:r>
            <w:proofErr w:type="spellStart"/>
            <w:r w:rsidRPr="003E0D39"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proofErr w:type="spellEnd"/>
          </w:p>
        </w:tc>
      </w:tr>
    </w:tbl>
    <w:p w:rsidR="0049734E" w:rsidRDefault="0049734E" w:rsidP="002E2F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C55" w:rsidRPr="00C83F64" w:rsidRDefault="00AC3C55" w:rsidP="002E2F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F64">
        <w:rPr>
          <w:rFonts w:ascii="Times New Roman" w:eastAsia="Times New Roman" w:hAnsi="Times New Roman" w:cs="Times New Roman"/>
          <w:sz w:val="28"/>
          <w:szCs w:val="28"/>
        </w:rPr>
        <w:t>2. Оцінка впливу на сферу інтересів держави</w:t>
      </w:r>
    </w:p>
    <w:tbl>
      <w:tblPr>
        <w:tblStyle w:val="a7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172"/>
        <w:gridCol w:w="3134"/>
        <w:gridCol w:w="3325"/>
      </w:tblGrid>
      <w:tr w:rsidR="00AC3C55" w:rsidRPr="00C83F64" w:rsidTr="00756390">
        <w:trPr>
          <w:trHeight w:val="132"/>
        </w:trPr>
        <w:tc>
          <w:tcPr>
            <w:tcW w:w="164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3C55" w:rsidRPr="00C83F64" w:rsidRDefault="00AC3C55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162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3C55" w:rsidRPr="00C83F64" w:rsidRDefault="00AC3C55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Вигоди</w:t>
            </w:r>
          </w:p>
        </w:tc>
        <w:tc>
          <w:tcPr>
            <w:tcW w:w="172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3C55" w:rsidRPr="00C83F64" w:rsidRDefault="00AC3C55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</w:t>
            </w:r>
          </w:p>
        </w:tc>
      </w:tr>
      <w:tr w:rsidR="00AC3C55" w:rsidRPr="00C83F64" w:rsidTr="0011145C">
        <w:trPr>
          <w:trHeight w:val="745"/>
        </w:trPr>
        <w:tc>
          <w:tcPr>
            <w:tcW w:w="164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C55" w:rsidRPr="00C83F64" w:rsidRDefault="00AC3C55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1</w:t>
            </w:r>
          </w:p>
          <w:p w:rsidR="00AC3C55" w:rsidRPr="00C83F64" w:rsidRDefault="00AC3C55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2D2" w:rsidRPr="00C83F64" w:rsidRDefault="0016709C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  <w:r w:rsidR="00B53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C55" w:rsidRDefault="0016709C" w:rsidP="00D9583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Відсутність змоги відібрати </w:t>
            </w:r>
            <w:r w:rsidR="007532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найкращі банки </w:t>
            </w:r>
            <w:r w:rsidR="00753275" w:rsidRPr="00C83F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надання послуг зі зберігання валютних цінностей </w:t>
            </w:r>
            <w:r w:rsidR="00753275">
              <w:rPr>
                <w:rFonts w:ascii="Times New Roman" w:eastAsia="Calibri" w:hAnsi="Times New Roman" w:cs="Times New Roman"/>
                <w:sz w:val="28"/>
                <w:szCs w:val="28"/>
              </w:rPr>
              <w:t>серед уповноважених банків, обраних відповідно до Порядку № 1231</w:t>
            </w:r>
            <w:r w:rsidR="00D9583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F3731" w:rsidRDefault="008F3731" w:rsidP="002E2F2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3731" w:rsidRDefault="001B4FDF" w:rsidP="002E2F2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Неможливість отримання </w:t>
            </w:r>
            <w:r w:rsidR="00BD00C3">
              <w:rPr>
                <w:rFonts w:ascii="Times New Roman" w:eastAsia="Calibri" w:hAnsi="Times New Roman" w:cs="Times New Roman"/>
                <w:sz w:val="28"/>
                <w:szCs w:val="28"/>
              </w:rPr>
              <w:t>у повному обсязі</w:t>
            </w:r>
            <w:r w:rsidR="00BD0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митними органами послуг банку,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обрано</w:t>
            </w:r>
            <w:r w:rsidR="00BD00C3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відповідно до Порядку </w:t>
            </w:r>
            <w:r w:rsidR="00BD00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984</w:t>
            </w:r>
            <w:r w:rsidR="00BD00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F3CF9" w:rsidRDefault="003F3CF9" w:rsidP="002E2F2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3CF9" w:rsidRPr="00C83F64" w:rsidRDefault="003F3CF9" w:rsidP="00026AA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Ненадходження до державного бюджету коштів від реалізації готівкової валюти за окремими видами валют, що перейшла у власність держави</w:t>
            </w:r>
          </w:p>
        </w:tc>
      </w:tr>
      <w:tr w:rsidR="00AC3C55" w:rsidRPr="00C83F64" w:rsidTr="0011145C">
        <w:trPr>
          <w:trHeight w:val="547"/>
        </w:trPr>
        <w:tc>
          <w:tcPr>
            <w:tcW w:w="164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C55" w:rsidRPr="00C83F64" w:rsidRDefault="00AC3C55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Альтернатива 2</w:t>
            </w:r>
          </w:p>
        </w:tc>
        <w:tc>
          <w:tcPr>
            <w:tcW w:w="162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09C" w:rsidRPr="00C83F64" w:rsidRDefault="0016709C" w:rsidP="002E2F2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Реалізація </w:t>
            </w:r>
            <w:proofErr w:type="spellStart"/>
            <w:r w:rsidRPr="00C83F64">
              <w:rPr>
                <w:rFonts w:ascii="Times New Roman" w:eastAsia="Calibri" w:hAnsi="Times New Roman" w:cs="Times New Roman"/>
                <w:sz w:val="28"/>
                <w:szCs w:val="28"/>
              </w:rPr>
              <w:t>акта</w:t>
            </w:r>
            <w:proofErr w:type="spellEnd"/>
            <w:r w:rsidRPr="00C83F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надасть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можливість </w:t>
            </w:r>
            <w:r w:rsidRPr="00C83F64">
              <w:rPr>
                <w:rFonts w:ascii="Times New Roman" w:eastAsia="Calibri" w:hAnsi="Times New Roman" w:cs="Times New Roman"/>
                <w:sz w:val="28"/>
                <w:szCs w:val="28"/>
              </w:rPr>
              <w:t>встанов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ити</w:t>
            </w:r>
            <w:r w:rsidRPr="00C83F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єдин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 </w:t>
            </w:r>
            <w:r w:rsidRPr="00C83F64">
              <w:rPr>
                <w:rFonts w:ascii="Times New Roman" w:eastAsia="Calibri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83F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обліку, зберігання та розпорядження валютними цінностями (крім банківських металів), платіжними документами та врегулює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наявні </w:t>
            </w:r>
            <w:r w:rsidRPr="00C83F64">
              <w:rPr>
                <w:rFonts w:ascii="Times New Roman" w:eastAsia="Calibri" w:hAnsi="Times New Roman" w:cs="Times New Roman"/>
                <w:sz w:val="28"/>
                <w:szCs w:val="28"/>
              </w:rPr>
              <w:t>проблемні питання</w:t>
            </w:r>
            <w:r w:rsidR="002C148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56390" w:rsidRPr="003D22F6" w:rsidRDefault="00756390" w:rsidP="002E2F2F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C3C55" w:rsidRDefault="00C10E60" w:rsidP="002E2F2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16100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161005" w:rsidRPr="00C83F64">
              <w:rPr>
                <w:rFonts w:ascii="Times New Roman" w:eastAsia="Calibri" w:hAnsi="Times New Roman" w:cs="Times New Roman"/>
                <w:sz w:val="28"/>
                <w:szCs w:val="28"/>
              </w:rPr>
              <w:t>дасть</w:t>
            </w:r>
            <w:proofErr w:type="spellEnd"/>
            <w:r w:rsidR="0016709C" w:rsidRPr="00C83F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61005">
              <w:rPr>
                <w:rFonts w:ascii="Times New Roman" w:eastAsia="Calibri" w:hAnsi="Times New Roman" w:cs="Times New Roman"/>
                <w:sz w:val="28"/>
                <w:szCs w:val="28"/>
              </w:rPr>
              <w:t>змогу</w:t>
            </w:r>
            <w:r w:rsidR="0016709C" w:rsidRPr="00C83F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відібрати </w:t>
            </w:r>
            <w:r w:rsidR="005B5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найкращі банки </w:t>
            </w:r>
            <w:r w:rsidR="00753275" w:rsidRPr="00C83F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надання послуг зі зберігання валютних цінностей </w:t>
            </w:r>
            <w:r w:rsidR="005B59D7">
              <w:rPr>
                <w:rFonts w:ascii="Times New Roman" w:eastAsia="Calibri" w:hAnsi="Times New Roman" w:cs="Times New Roman"/>
                <w:sz w:val="28"/>
                <w:szCs w:val="28"/>
              </w:rPr>
              <w:t>серед уповноважених банків, обран</w:t>
            </w:r>
            <w:r w:rsidR="00753275">
              <w:rPr>
                <w:rFonts w:ascii="Times New Roman" w:eastAsia="Calibri" w:hAnsi="Times New Roman" w:cs="Times New Roman"/>
                <w:sz w:val="28"/>
                <w:szCs w:val="28"/>
              </w:rPr>
              <w:t>их</w:t>
            </w:r>
            <w:r w:rsidR="005B5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відповідно до Порядку № 1231, та </w:t>
            </w:r>
            <w:r w:rsidR="001610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підвищити </w:t>
            </w:r>
            <w:r w:rsidR="002C4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їх </w:t>
            </w:r>
            <w:r w:rsidR="001610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імідж за рахунок співпраці з державою та </w:t>
            </w:r>
          </w:p>
          <w:p w:rsidR="00161005" w:rsidRDefault="00753275" w:rsidP="002E2F2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5B59D7">
              <w:rPr>
                <w:rFonts w:ascii="Times New Roman" w:eastAsia="Calibri" w:hAnsi="Times New Roman" w:cs="Times New Roman"/>
                <w:sz w:val="28"/>
                <w:szCs w:val="28"/>
              </w:rPr>
              <w:t>кісного надання відповідних послуг</w:t>
            </w:r>
            <w:r w:rsidR="002C148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59D7" w:rsidRPr="003D22F6" w:rsidRDefault="005B59D7" w:rsidP="002E2F2F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0A3B" w:rsidRDefault="00161005" w:rsidP="002E2F2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Отримання </w:t>
            </w:r>
            <w:r w:rsidR="00753275">
              <w:rPr>
                <w:rFonts w:ascii="Times New Roman" w:eastAsia="Calibri" w:hAnsi="Times New Roman" w:cs="Times New Roman"/>
                <w:sz w:val="28"/>
                <w:szCs w:val="28"/>
              </w:rPr>
              <w:t>у повному обсязі</w:t>
            </w:r>
            <w:r w:rsidR="00753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митними органами послуг банку, </w:t>
            </w:r>
            <w:r w:rsidR="00753275">
              <w:rPr>
                <w:rFonts w:ascii="Times New Roman" w:eastAsia="Calibri" w:hAnsi="Times New Roman" w:cs="Times New Roman"/>
                <w:sz w:val="28"/>
                <w:szCs w:val="28"/>
              </w:rPr>
              <w:t>обраного відповідно до Порядку № 984.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C1485" w:rsidRPr="003D22F6" w:rsidRDefault="002C1485" w:rsidP="002E2F2F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C1485" w:rsidRPr="00C83F64" w:rsidRDefault="002C1485" w:rsidP="0049006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Надходження до державного бюджету коштів від реалізації готівкової валюти за окремими видами валют, що перейшла у власність держави</w:t>
            </w:r>
          </w:p>
        </w:tc>
        <w:tc>
          <w:tcPr>
            <w:tcW w:w="172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2D2" w:rsidRPr="00C83F64" w:rsidRDefault="0016709C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</w:p>
        </w:tc>
      </w:tr>
    </w:tbl>
    <w:p w:rsidR="008839EE" w:rsidRDefault="008839EE" w:rsidP="002E2F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ED2" w:rsidRPr="00C83F64" w:rsidRDefault="00807BFD" w:rsidP="002E2F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3035D" w:rsidRPr="00C83F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60ED2" w:rsidRPr="00C83F64">
        <w:rPr>
          <w:rFonts w:ascii="Times New Roman" w:eastAsia="Times New Roman" w:hAnsi="Times New Roman" w:cs="Times New Roman"/>
          <w:sz w:val="28"/>
          <w:szCs w:val="28"/>
        </w:rPr>
        <w:t>Оцінка впливу на сферу інтересів суб’єктів господарювання</w:t>
      </w:r>
    </w:p>
    <w:p w:rsidR="00BB5CE5" w:rsidRPr="00C83F64" w:rsidRDefault="00BB5CE5" w:rsidP="002E2F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F64">
        <w:rPr>
          <w:rFonts w:ascii="Times New Roman" w:eastAsia="Times New Roman" w:hAnsi="Times New Roman" w:cs="Times New Roman"/>
          <w:sz w:val="28"/>
          <w:szCs w:val="28"/>
        </w:rPr>
        <w:t xml:space="preserve">Кількість суб’єктів господарювання, на яких </w:t>
      </w:r>
      <w:r w:rsidR="0063035D" w:rsidRPr="00C83F64">
        <w:rPr>
          <w:rFonts w:ascii="Times New Roman" w:eastAsia="Times New Roman" w:hAnsi="Times New Roman" w:cs="Times New Roman"/>
          <w:sz w:val="28"/>
          <w:szCs w:val="28"/>
        </w:rPr>
        <w:t>поширюва</w:t>
      </w:r>
      <w:r w:rsidR="003B14B4" w:rsidRPr="00C83F64">
        <w:rPr>
          <w:rFonts w:ascii="Times New Roman" w:eastAsia="Times New Roman" w:hAnsi="Times New Roman" w:cs="Times New Roman"/>
          <w:sz w:val="28"/>
          <w:szCs w:val="28"/>
        </w:rPr>
        <w:t>тиме</w:t>
      </w:r>
      <w:r w:rsidR="0063035D" w:rsidRPr="00C83F64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C83F64">
        <w:rPr>
          <w:rFonts w:ascii="Times New Roman" w:eastAsia="Times New Roman" w:hAnsi="Times New Roman" w:cs="Times New Roman"/>
          <w:sz w:val="28"/>
          <w:szCs w:val="28"/>
        </w:rPr>
        <w:t xml:space="preserve"> дія </w:t>
      </w:r>
      <w:proofErr w:type="spellStart"/>
      <w:r w:rsidRPr="00C83F64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C83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8"/>
        <w:tblW w:w="5000" w:type="pct"/>
        <w:tblLook w:val="0400" w:firstRow="0" w:lastRow="0" w:firstColumn="0" w:lastColumn="0" w:noHBand="0" w:noVBand="1"/>
      </w:tblPr>
      <w:tblGrid>
        <w:gridCol w:w="3948"/>
        <w:gridCol w:w="1136"/>
        <w:gridCol w:w="1279"/>
        <w:gridCol w:w="1136"/>
        <w:gridCol w:w="1136"/>
        <w:gridCol w:w="996"/>
      </w:tblGrid>
      <w:tr w:rsidR="00E60ED2" w:rsidRPr="00C83F64" w:rsidTr="008021B6">
        <w:trPr>
          <w:trHeight w:val="400"/>
        </w:trPr>
        <w:tc>
          <w:tcPr>
            <w:tcW w:w="2049" w:type="pct"/>
          </w:tcPr>
          <w:p w:rsidR="00E60ED2" w:rsidRPr="00C83F64" w:rsidRDefault="00E60ED2" w:rsidP="002E2F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Показник</w:t>
            </w:r>
          </w:p>
        </w:tc>
        <w:tc>
          <w:tcPr>
            <w:tcW w:w="590" w:type="pct"/>
          </w:tcPr>
          <w:p w:rsidR="00E60ED2" w:rsidRPr="00C83F64" w:rsidRDefault="00E60ED2" w:rsidP="002E2F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Великі</w:t>
            </w:r>
          </w:p>
          <w:p w:rsidR="0028674B" w:rsidRPr="00A709FE" w:rsidRDefault="0028674B" w:rsidP="002E2F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664" w:type="pct"/>
          </w:tcPr>
          <w:p w:rsidR="00E60ED2" w:rsidRPr="00C83F64" w:rsidRDefault="00E60ED2" w:rsidP="002E2F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Середні</w:t>
            </w:r>
          </w:p>
          <w:p w:rsidR="0028674B" w:rsidRPr="00C83F64" w:rsidRDefault="0028674B" w:rsidP="002E2F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90" w:type="pct"/>
          </w:tcPr>
          <w:p w:rsidR="00E60ED2" w:rsidRPr="00C83F64" w:rsidRDefault="00E60ED2" w:rsidP="002E2F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Малі</w:t>
            </w:r>
          </w:p>
          <w:p w:rsidR="0028674B" w:rsidRPr="00A709FE" w:rsidRDefault="0028674B" w:rsidP="002E2F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590" w:type="pct"/>
          </w:tcPr>
          <w:p w:rsidR="00E60ED2" w:rsidRPr="00C83F64" w:rsidRDefault="00E60ED2" w:rsidP="002E2F2F">
            <w:pPr>
              <w:ind w:left="-90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 т. ч. мікро</w:t>
            </w:r>
          </w:p>
        </w:tc>
        <w:tc>
          <w:tcPr>
            <w:tcW w:w="517" w:type="pct"/>
          </w:tcPr>
          <w:p w:rsidR="00E60ED2" w:rsidRPr="00C83F64" w:rsidRDefault="00E60ED2" w:rsidP="002E2F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Разом</w:t>
            </w:r>
          </w:p>
        </w:tc>
      </w:tr>
      <w:tr w:rsidR="00E60ED2" w:rsidRPr="00C83F64" w:rsidTr="008021B6">
        <w:trPr>
          <w:trHeight w:val="1100"/>
        </w:trPr>
        <w:tc>
          <w:tcPr>
            <w:tcW w:w="2049" w:type="pct"/>
          </w:tcPr>
          <w:p w:rsidR="00E60ED2" w:rsidRPr="00C83F64" w:rsidRDefault="00E60ED2" w:rsidP="002E2F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Кількість суб’єктів господарювання, що підпадають під дію регулювання</w:t>
            </w:r>
            <w:r w:rsidR="00716CF5" w:rsidRPr="00C83F6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*</w:t>
            </w: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, одиниць</w:t>
            </w:r>
          </w:p>
        </w:tc>
        <w:tc>
          <w:tcPr>
            <w:tcW w:w="590" w:type="pct"/>
          </w:tcPr>
          <w:p w:rsidR="00E60ED2" w:rsidRPr="00C83F64" w:rsidRDefault="00AD2F7F" w:rsidP="002E2F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664" w:type="pct"/>
          </w:tcPr>
          <w:p w:rsidR="00E60ED2" w:rsidRPr="00C83F64" w:rsidRDefault="00AD2F7F" w:rsidP="002E2F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39</w:t>
            </w:r>
          </w:p>
        </w:tc>
        <w:tc>
          <w:tcPr>
            <w:tcW w:w="590" w:type="pct"/>
          </w:tcPr>
          <w:p w:rsidR="00E60ED2" w:rsidRPr="00C83F64" w:rsidRDefault="000155DD" w:rsidP="002E2F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590" w:type="pct"/>
          </w:tcPr>
          <w:p w:rsidR="00E60ED2" w:rsidRPr="00C83F64" w:rsidRDefault="0028674B" w:rsidP="002E2F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517" w:type="pct"/>
          </w:tcPr>
          <w:p w:rsidR="00E60ED2" w:rsidRPr="00C83F64" w:rsidRDefault="00AD2F7F" w:rsidP="002E2F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43</w:t>
            </w:r>
            <w:r w:rsidR="00A5055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**</w:t>
            </w:r>
          </w:p>
        </w:tc>
      </w:tr>
      <w:tr w:rsidR="00E60ED2" w:rsidRPr="00C83F64" w:rsidTr="008021B6">
        <w:tc>
          <w:tcPr>
            <w:tcW w:w="2049" w:type="pct"/>
          </w:tcPr>
          <w:p w:rsidR="00E60ED2" w:rsidRPr="00C83F64" w:rsidRDefault="00E60ED2" w:rsidP="002E2F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Питома вага групи у загальній кількості, відсотків</w:t>
            </w:r>
          </w:p>
        </w:tc>
        <w:tc>
          <w:tcPr>
            <w:tcW w:w="590" w:type="pct"/>
          </w:tcPr>
          <w:p w:rsidR="00E60ED2" w:rsidRPr="00C83F64" w:rsidRDefault="0016179D" w:rsidP="002E2F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9,3</w:t>
            </w:r>
          </w:p>
        </w:tc>
        <w:tc>
          <w:tcPr>
            <w:tcW w:w="664" w:type="pct"/>
          </w:tcPr>
          <w:p w:rsidR="00E60ED2" w:rsidRPr="00C83F64" w:rsidRDefault="0016179D" w:rsidP="002E2F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90,7</w:t>
            </w:r>
          </w:p>
        </w:tc>
        <w:tc>
          <w:tcPr>
            <w:tcW w:w="590" w:type="pct"/>
          </w:tcPr>
          <w:p w:rsidR="00E60ED2" w:rsidRPr="00C83F64" w:rsidRDefault="000155DD" w:rsidP="002E2F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590" w:type="pct"/>
          </w:tcPr>
          <w:p w:rsidR="00E60ED2" w:rsidRPr="00C83F64" w:rsidRDefault="0028674B" w:rsidP="002E2F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517" w:type="pct"/>
          </w:tcPr>
          <w:p w:rsidR="00E60ED2" w:rsidRPr="00C83F64" w:rsidRDefault="004835BC" w:rsidP="002E2F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100</w:t>
            </w:r>
          </w:p>
        </w:tc>
      </w:tr>
    </w:tbl>
    <w:p w:rsidR="00716CF5" w:rsidRPr="00DD6CC7" w:rsidRDefault="00716CF5" w:rsidP="002E2F2F">
      <w:pPr>
        <w:pStyle w:val="af5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DD6CC7">
        <w:rPr>
          <w:rFonts w:eastAsia="Times New Roman"/>
          <w:sz w:val="16"/>
          <w:szCs w:val="16"/>
        </w:rPr>
        <w:t>*Інформація в</w:t>
      </w:r>
      <w:r w:rsidRPr="00DD6CC7">
        <w:rPr>
          <w:sz w:val="16"/>
          <w:szCs w:val="16"/>
        </w:rPr>
        <w:t xml:space="preserve">ідповідно до рішення </w:t>
      </w:r>
      <w:r w:rsidR="008021B6" w:rsidRPr="00DD6CC7">
        <w:rPr>
          <w:color w:val="000000"/>
          <w:sz w:val="16"/>
          <w:szCs w:val="16"/>
        </w:rPr>
        <w:t>Комітету з питань нагляду та регулювання діяльності банків, нагляду (</w:t>
      </w:r>
      <w:proofErr w:type="spellStart"/>
      <w:r w:rsidR="008021B6" w:rsidRPr="00DD6CC7">
        <w:rPr>
          <w:rStyle w:val="spelle"/>
          <w:color w:val="000000"/>
          <w:sz w:val="16"/>
          <w:szCs w:val="16"/>
        </w:rPr>
        <w:t>оверсайту</w:t>
      </w:r>
      <w:proofErr w:type="spellEnd"/>
      <w:r w:rsidR="008021B6" w:rsidRPr="00DD6CC7">
        <w:rPr>
          <w:color w:val="000000"/>
          <w:sz w:val="16"/>
          <w:szCs w:val="16"/>
        </w:rPr>
        <w:t xml:space="preserve">) платіжних систем Національного банку України </w:t>
      </w:r>
      <w:r w:rsidRPr="00DD6CC7">
        <w:rPr>
          <w:sz w:val="16"/>
          <w:szCs w:val="16"/>
        </w:rPr>
        <w:t xml:space="preserve"> від 28 лютого 2019 року №</w:t>
      </w:r>
      <w:r w:rsidR="008021B6" w:rsidRPr="00DD6CC7">
        <w:rPr>
          <w:sz w:val="16"/>
          <w:szCs w:val="16"/>
        </w:rPr>
        <w:t xml:space="preserve"> </w:t>
      </w:r>
      <w:r w:rsidRPr="00DD6CC7">
        <w:rPr>
          <w:sz w:val="16"/>
          <w:szCs w:val="16"/>
        </w:rPr>
        <w:t>70</w:t>
      </w:r>
      <w:r w:rsidR="008021B6" w:rsidRPr="00DD6CC7">
        <w:rPr>
          <w:sz w:val="16"/>
          <w:szCs w:val="16"/>
        </w:rPr>
        <w:t xml:space="preserve">, яким </w:t>
      </w:r>
      <w:r w:rsidRPr="00DD6CC7">
        <w:rPr>
          <w:sz w:val="16"/>
          <w:szCs w:val="16"/>
        </w:rPr>
        <w:t xml:space="preserve"> передбачені такі групи: банки з державною часткою </w:t>
      </w:r>
      <w:r w:rsidR="002A3AE0">
        <w:rPr>
          <w:sz w:val="16"/>
          <w:szCs w:val="16"/>
        </w:rPr>
        <w:t>˗˗</w:t>
      </w:r>
      <w:r w:rsidRPr="00DD6CC7">
        <w:rPr>
          <w:sz w:val="16"/>
          <w:szCs w:val="16"/>
        </w:rPr>
        <w:t xml:space="preserve"> банки, в яких держава прямо чи опосередковано володіє часткою понад 75</w:t>
      </w:r>
      <w:r w:rsidR="00932B9A">
        <w:rPr>
          <w:sz w:val="16"/>
          <w:szCs w:val="16"/>
        </w:rPr>
        <w:t xml:space="preserve"> від.</w:t>
      </w:r>
      <w:r w:rsidRPr="00DD6CC7">
        <w:rPr>
          <w:sz w:val="16"/>
          <w:szCs w:val="16"/>
        </w:rPr>
        <w:t xml:space="preserve"> статутного капіталу банку, банки іноземних банківських груп </w:t>
      </w:r>
      <w:r w:rsidR="002A3AE0">
        <w:rPr>
          <w:sz w:val="16"/>
          <w:szCs w:val="16"/>
        </w:rPr>
        <w:t>˗˗</w:t>
      </w:r>
      <w:r w:rsidRPr="00DD6CC7">
        <w:rPr>
          <w:sz w:val="16"/>
          <w:szCs w:val="16"/>
        </w:rPr>
        <w:t xml:space="preserve"> банки, контрольні пакети акцій яких належать іноземним банкам або іноземним фінансово-банківським групам, та банки з приватним капіталом, в яких серед кінцевих власників істотної участі є один чи кілька приватних інвесторів, що прямо та/або опосередковано володіють не менш як 50</w:t>
      </w:r>
      <w:r w:rsidR="00932B9A">
        <w:rPr>
          <w:sz w:val="16"/>
          <w:szCs w:val="16"/>
        </w:rPr>
        <w:t xml:space="preserve"> </w:t>
      </w:r>
      <w:proofErr w:type="spellStart"/>
      <w:r w:rsidR="00932B9A">
        <w:rPr>
          <w:sz w:val="16"/>
          <w:szCs w:val="16"/>
        </w:rPr>
        <w:t>відс</w:t>
      </w:r>
      <w:proofErr w:type="spellEnd"/>
      <w:r w:rsidR="00932B9A">
        <w:rPr>
          <w:sz w:val="16"/>
          <w:szCs w:val="16"/>
        </w:rPr>
        <w:t>.</w:t>
      </w:r>
      <w:r w:rsidRPr="00DD6CC7">
        <w:rPr>
          <w:sz w:val="16"/>
          <w:szCs w:val="16"/>
        </w:rPr>
        <w:t xml:space="preserve"> статутного капіталу банку.</w:t>
      </w:r>
    </w:p>
    <w:p w:rsidR="00E60ED2" w:rsidRPr="00DD6CC7" w:rsidRDefault="00A50554" w:rsidP="002E2F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6CC7">
        <w:rPr>
          <w:rFonts w:ascii="Times New Roman" w:eastAsia="Times New Roman" w:hAnsi="Times New Roman" w:cs="Times New Roman"/>
          <w:sz w:val="16"/>
          <w:szCs w:val="16"/>
        </w:rPr>
        <w:t xml:space="preserve">**Кількість банків, через які здійснюватиметься виплата пенсій, грошової допомоги та зарплати працівникам бюджетних установ, </w:t>
      </w:r>
      <w:r w:rsidR="00753275" w:rsidRPr="00DD6CC7">
        <w:rPr>
          <w:rFonts w:ascii="Times New Roman" w:eastAsia="Times New Roman" w:hAnsi="Times New Roman" w:cs="Times New Roman"/>
          <w:sz w:val="16"/>
          <w:szCs w:val="16"/>
        </w:rPr>
        <w:t xml:space="preserve">перелік </w:t>
      </w:r>
      <w:r w:rsidRPr="00DD6CC7">
        <w:rPr>
          <w:rFonts w:ascii="Times New Roman" w:eastAsia="Times New Roman" w:hAnsi="Times New Roman" w:cs="Times New Roman"/>
          <w:sz w:val="16"/>
          <w:szCs w:val="16"/>
        </w:rPr>
        <w:t>яки</w:t>
      </w:r>
      <w:r w:rsidR="00753275" w:rsidRPr="00DD6CC7">
        <w:rPr>
          <w:rFonts w:ascii="Times New Roman" w:eastAsia="Times New Roman" w:hAnsi="Times New Roman" w:cs="Times New Roman"/>
          <w:sz w:val="16"/>
          <w:szCs w:val="16"/>
        </w:rPr>
        <w:t>х</w:t>
      </w:r>
      <w:r w:rsidRPr="00DD6CC7">
        <w:rPr>
          <w:rFonts w:ascii="Times New Roman" w:eastAsia="Times New Roman" w:hAnsi="Times New Roman" w:cs="Times New Roman"/>
          <w:sz w:val="16"/>
          <w:szCs w:val="16"/>
        </w:rPr>
        <w:t xml:space="preserve"> оприлюднено </w:t>
      </w:r>
      <w:r w:rsidR="00AC0410" w:rsidRPr="00DD6CC7">
        <w:rPr>
          <w:rFonts w:ascii="Times New Roman" w:eastAsia="Times New Roman" w:hAnsi="Times New Roman" w:cs="Times New Roman"/>
          <w:sz w:val="16"/>
          <w:szCs w:val="16"/>
        </w:rPr>
        <w:t xml:space="preserve">03 квітня 2020 року Нацбанком </w:t>
      </w:r>
      <w:r w:rsidRPr="00DD6CC7">
        <w:rPr>
          <w:rFonts w:ascii="Times New Roman" w:eastAsia="Times New Roman" w:hAnsi="Times New Roman" w:cs="Times New Roman"/>
          <w:sz w:val="16"/>
          <w:szCs w:val="16"/>
        </w:rPr>
        <w:t xml:space="preserve">на офіційному </w:t>
      </w:r>
      <w:proofErr w:type="spellStart"/>
      <w:r w:rsidR="00AC0410" w:rsidRPr="00DD6CC7">
        <w:rPr>
          <w:rFonts w:ascii="Times New Roman" w:eastAsia="Times New Roman" w:hAnsi="Times New Roman" w:cs="Times New Roman"/>
          <w:sz w:val="16"/>
          <w:szCs w:val="16"/>
        </w:rPr>
        <w:t>вебсайті</w:t>
      </w:r>
      <w:proofErr w:type="spellEnd"/>
      <w:r w:rsidR="00AC0410" w:rsidRPr="00DD6CC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263345" w:rsidRPr="00C83F64" w:rsidRDefault="00263345" w:rsidP="002E2F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Style w:val="aa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799"/>
        <w:gridCol w:w="3538"/>
        <w:gridCol w:w="3294"/>
      </w:tblGrid>
      <w:tr w:rsidR="00E60ED2" w:rsidRPr="00C83F64" w:rsidTr="00BD7EE0">
        <w:trPr>
          <w:trHeight w:val="520"/>
        </w:trPr>
        <w:tc>
          <w:tcPr>
            <w:tcW w:w="145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0ED2" w:rsidRPr="00C83F64" w:rsidRDefault="00E60ED2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183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0ED2" w:rsidRPr="00C83F64" w:rsidRDefault="00E60ED2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Вигоди</w:t>
            </w:r>
          </w:p>
        </w:tc>
        <w:tc>
          <w:tcPr>
            <w:tcW w:w="171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0ED2" w:rsidRPr="00C83F64" w:rsidRDefault="00E60ED2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</w:t>
            </w:r>
          </w:p>
        </w:tc>
      </w:tr>
      <w:tr w:rsidR="00E60ED2" w:rsidRPr="00C83F64" w:rsidTr="0000697F">
        <w:trPr>
          <w:trHeight w:val="365"/>
        </w:trPr>
        <w:tc>
          <w:tcPr>
            <w:tcW w:w="145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ED2" w:rsidRPr="00C83F64" w:rsidRDefault="00E60ED2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1</w:t>
            </w:r>
          </w:p>
        </w:tc>
        <w:tc>
          <w:tcPr>
            <w:tcW w:w="183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D7" w:rsidRPr="00C83F64" w:rsidRDefault="0016154B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</w:p>
        </w:tc>
        <w:tc>
          <w:tcPr>
            <w:tcW w:w="171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ED2" w:rsidRPr="00C83F64" w:rsidRDefault="000C2FD7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</w:p>
        </w:tc>
      </w:tr>
      <w:tr w:rsidR="00E60ED2" w:rsidRPr="005B149D" w:rsidTr="00BD7EE0">
        <w:trPr>
          <w:trHeight w:val="466"/>
        </w:trPr>
        <w:tc>
          <w:tcPr>
            <w:tcW w:w="145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ED2" w:rsidRPr="00C83F64" w:rsidRDefault="00E60ED2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2</w:t>
            </w:r>
          </w:p>
        </w:tc>
        <w:tc>
          <w:tcPr>
            <w:tcW w:w="183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A37" w:rsidRDefault="0016154B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Можливість уповноваженим банкам долучитись до співпраці з державою (з розпорядниками валютних цінностей) у частині надання послуг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 зберігання валютних цінностей</w:t>
            </w:r>
            <w:r w:rsidR="0049006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A5D09" w:rsidRPr="003D22F6" w:rsidRDefault="005A5D09" w:rsidP="002E2F2F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</w:p>
          <w:p w:rsidR="005A5D09" w:rsidRPr="00C83F64" w:rsidRDefault="005A5D09" w:rsidP="008839E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D09">
              <w:rPr>
                <w:rFonts w:ascii="Times New Roman" w:hAnsi="Times New Roman" w:cs="Times New Roman"/>
                <w:sz w:val="28"/>
                <w:szCs w:val="28"/>
              </w:rPr>
              <w:t>Будь</w:t>
            </w:r>
            <w:r w:rsidR="004900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D09">
              <w:rPr>
                <w:rFonts w:ascii="Times New Roman" w:hAnsi="Times New Roman" w:cs="Times New Roman"/>
                <w:sz w:val="28"/>
                <w:szCs w:val="28"/>
              </w:rPr>
              <w:t xml:space="preserve">які відносини з </w:t>
            </w:r>
            <w:r w:rsidR="0011517C">
              <w:rPr>
                <w:rFonts w:ascii="Times New Roman" w:hAnsi="Times New Roman" w:cs="Times New Roman"/>
                <w:sz w:val="28"/>
                <w:szCs w:val="28"/>
              </w:rPr>
              <w:t xml:space="preserve">уповноваженим </w:t>
            </w:r>
            <w:r w:rsidRPr="005A5D09">
              <w:rPr>
                <w:rFonts w:ascii="Times New Roman" w:hAnsi="Times New Roman" w:cs="Times New Roman"/>
                <w:sz w:val="28"/>
                <w:szCs w:val="28"/>
              </w:rPr>
              <w:t>банком, у тому числі і щодо зберігання вилученої валюти, будуть регулюватися окремими договорами, якими можуть бути збалансовані всі ризики, вигоди та втрати банків як суб’єктів господарювання, тому такий спосіб регулювання, як про</w:t>
            </w:r>
            <w:r w:rsidR="008839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5D09">
              <w:rPr>
                <w:rFonts w:ascii="Times New Roman" w:hAnsi="Times New Roman" w:cs="Times New Roman"/>
                <w:sz w:val="28"/>
                <w:szCs w:val="28"/>
              </w:rPr>
              <w:t>кт наказу, не спричинить додаткових незручност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для суб’єктів цієї категорії</w:t>
            </w:r>
          </w:p>
        </w:tc>
        <w:tc>
          <w:tcPr>
            <w:tcW w:w="171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ED2" w:rsidRPr="005B149D" w:rsidRDefault="00694028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A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Прогнозуються витрати, пов’язані з необхідністю ознайомлення з новими регуляторними вимогами. Прогнозні витрати на одного суб’єк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господарювання  складатимуть </w:t>
            </w:r>
            <w:r w:rsidRPr="002453A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2453A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2453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грн (часу – 1 година)</w:t>
            </w:r>
          </w:p>
        </w:tc>
      </w:tr>
    </w:tbl>
    <w:p w:rsidR="00807BFD" w:rsidRDefault="00807BFD" w:rsidP="002E2F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C7A" w:rsidRDefault="00EE2C7A" w:rsidP="002E2F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09">
        <w:rPr>
          <w:rFonts w:ascii="Times New Roman" w:hAnsi="Times New Roman" w:cs="Times New Roman"/>
          <w:sz w:val="28"/>
          <w:szCs w:val="28"/>
        </w:rPr>
        <w:t>Будь</w:t>
      </w:r>
      <w:r w:rsidR="00F02715">
        <w:rPr>
          <w:rFonts w:ascii="Times New Roman" w:hAnsi="Times New Roman" w:cs="Times New Roman"/>
          <w:sz w:val="28"/>
          <w:szCs w:val="28"/>
        </w:rPr>
        <w:t>-</w:t>
      </w:r>
      <w:r w:rsidRPr="005A5D09">
        <w:rPr>
          <w:rFonts w:ascii="Times New Roman" w:hAnsi="Times New Roman" w:cs="Times New Roman"/>
          <w:sz w:val="28"/>
          <w:szCs w:val="28"/>
        </w:rPr>
        <w:t xml:space="preserve">які відносини з </w:t>
      </w:r>
      <w:r>
        <w:rPr>
          <w:rFonts w:ascii="Times New Roman" w:hAnsi="Times New Roman" w:cs="Times New Roman"/>
          <w:sz w:val="28"/>
          <w:szCs w:val="28"/>
        </w:rPr>
        <w:t xml:space="preserve">уповноваженим </w:t>
      </w:r>
      <w:r w:rsidRPr="005A5D09">
        <w:rPr>
          <w:rFonts w:ascii="Times New Roman" w:hAnsi="Times New Roman" w:cs="Times New Roman"/>
          <w:sz w:val="28"/>
          <w:szCs w:val="28"/>
        </w:rPr>
        <w:t xml:space="preserve">банком, у тому числі і щодо зберігання вилученої валюти, будуть регулюватися окремими договорами, якими можуть </w:t>
      </w:r>
      <w:r w:rsidRPr="005A5D09">
        <w:rPr>
          <w:rFonts w:ascii="Times New Roman" w:hAnsi="Times New Roman" w:cs="Times New Roman"/>
          <w:sz w:val="28"/>
          <w:szCs w:val="28"/>
        </w:rPr>
        <w:lastRenderedPageBreak/>
        <w:t>бути збалансовані всі ризики, вигоди та втрати банків як суб’єктів господарювання, тому такий спосіб регулювання, як про</w:t>
      </w:r>
      <w:r w:rsidR="008839EE">
        <w:rPr>
          <w:rFonts w:ascii="Times New Roman" w:hAnsi="Times New Roman" w:cs="Times New Roman"/>
          <w:sz w:val="28"/>
          <w:szCs w:val="28"/>
        </w:rPr>
        <w:t>е</w:t>
      </w:r>
      <w:r w:rsidRPr="005A5D09">
        <w:rPr>
          <w:rFonts w:ascii="Times New Roman" w:hAnsi="Times New Roman" w:cs="Times New Roman"/>
          <w:sz w:val="28"/>
          <w:szCs w:val="28"/>
        </w:rPr>
        <w:t>кт наказу, не спричинить додаткових незручност</w:t>
      </w:r>
      <w:r>
        <w:rPr>
          <w:rFonts w:ascii="Times New Roman" w:hAnsi="Times New Roman" w:cs="Times New Roman"/>
          <w:sz w:val="28"/>
          <w:szCs w:val="28"/>
        </w:rPr>
        <w:t>ей для суб’єктів цієї категорії.</w:t>
      </w:r>
    </w:p>
    <w:p w:rsidR="00EE2C7A" w:rsidRDefault="00EE2C7A" w:rsidP="002E2F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7BFD" w:rsidRPr="00807BFD" w:rsidRDefault="00F02715" w:rsidP="002E2F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07BFD" w:rsidRPr="00807BFD">
        <w:rPr>
          <w:rFonts w:ascii="Times New Roman" w:eastAsia="Times New Roman" w:hAnsi="Times New Roman" w:cs="Times New Roman"/>
          <w:sz w:val="28"/>
          <w:szCs w:val="28"/>
        </w:rPr>
        <w:t>. Оцінка впливу на сферу інтересів громадян</w:t>
      </w:r>
    </w:p>
    <w:p w:rsidR="00807BFD" w:rsidRPr="00C83F64" w:rsidRDefault="00807BFD" w:rsidP="002E2F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BFD">
        <w:rPr>
          <w:rFonts w:ascii="Times New Roman" w:hAnsi="Times New Roman" w:cs="Times New Roman"/>
          <w:sz w:val="28"/>
          <w:szCs w:val="28"/>
        </w:rPr>
        <w:t>Про</w:t>
      </w:r>
      <w:r w:rsidR="008839EE">
        <w:rPr>
          <w:rFonts w:ascii="Times New Roman" w:hAnsi="Times New Roman" w:cs="Times New Roman"/>
          <w:sz w:val="28"/>
          <w:szCs w:val="28"/>
        </w:rPr>
        <w:t>е</w:t>
      </w:r>
      <w:r w:rsidRPr="00807BFD">
        <w:rPr>
          <w:rFonts w:ascii="Times New Roman" w:hAnsi="Times New Roman" w:cs="Times New Roman"/>
          <w:sz w:val="28"/>
          <w:szCs w:val="28"/>
        </w:rPr>
        <w:t>кт наказу не впливає на сферу інтересів громадян.</w:t>
      </w:r>
    </w:p>
    <w:p w:rsidR="00E60ED2" w:rsidRPr="00C83F64" w:rsidRDefault="00E60ED2" w:rsidP="002E2F2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BDA" w:rsidRPr="00C83F64" w:rsidRDefault="00A76BDA" w:rsidP="002E2F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F64">
        <w:rPr>
          <w:rFonts w:ascii="Times New Roman" w:eastAsia="Times New Roman" w:hAnsi="Times New Roman" w:cs="Times New Roman"/>
          <w:b/>
          <w:sz w:val="28"/>
          <w:szCs w:val="28"/>
        </w:rPr>
        <w:t>ІV. Вибір найбільш оптимального альтернат</w:t>
      </w:r>
      <w:r w:rsidR="007177D7" w:rsidRPr="00C83F64">
        <w:rPr>
          <w:rFonts w:ascii="Times New Roman" w:eastAsia="Times New Roman" w:hAnsi="Times New Roman" w:cs="Times New Roman"/>
          <w:b/>
          <w:sz w:val="28"/>
          <w:szCs w:val="28"/>
        </w:rPr>
        <w:t>ивного способу досягнення цілей</w:t>
      </w:r>
    </w:p>
    <w:p w:rsidR="00FD1E08" w:rsidRPr="00C83F64" w:rsidRDefault="00FD1E08" w:rsidP="002E2F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F64">
        <w:rPr>
          <w:rFonts w:ascii="Times New Roman" w:eastAsia="Times New Roman" w:hAnsi="Times New Roman" w:cs="Times New Roman"/>
          <w:sz w:val="28"/>
          <w:szCs w:val="28"/>
        </w:rPr>
        <w:t>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цілей.</w:t>
      </w:r>
    </w:p>
    <w:p w:rsidR="00FD1E08" w:rsidRPr="00C83F64" w:rsidRDefault="00FD1E08" w:rsidP="002E2F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F64">
        <w:rPr>
          <w:rFonts w:ascii="Times New Roman" w:eastAsia="Times New Roman" w:hAnsi="Times New Roman" w:cs="Times New Roman"/>
          <w:sz w:val="28"/>
          <w:szCs w:val="28"/>
        </w:rPr>
        <w:t>Вартість балів визначається за чотирибальною системою оцінки ступеня досягнення визначених цілей.</w:t>
      </w:r>
    </w:p>
    <w:tbl>
      <w:tblPr>
        <w:tblStyle w:val="ab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3118"/>
        <w:gridCol w:w="2823"/>
        <w:gridCol w:w="3682"/>
      </w:tblGrid>
      <w:tr w:rsidR="00A76BDA" w:rsidRPr="00C83F64" w:rsidTr="00E85DBD">
        <w:trPr>
          <w:trHeight w:val="454"/>
        </w:trPr>
        <w:tc>
          <w:tcPr>
            <w:tcW w:w="16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DA" w:rsidRPr="00C83F64" w:rsidRDefault="00A76BDA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Рейтинг результативності (досягнення цілей під час вирішення</w:t>
            </w:r>
          </w:p>
        </w:tc>
        <w:tc>
          <w:tcPr>
            <w:tcW w:w="1467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DA" w:rsidRPr="00C83F64" w:rsidRDefault="00A76BDA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Бал результативності (за чотирибальною системою оцінки)</w:t>
            </w:r>
          </w:p>
        </w:tc>
        <w:tc>
          <w:tcPr>
            <w:tcW w:w="1913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DA" w:rsidRPr="00C83F64" w:rsidRDefault="00A76BDA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Коментарі щодо присвоєння відповідного </w:t>
            </w:r>
            <w:proofErr w:type="spellStart"/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бала</w:t>
            </w:r>
            <w:proofErr w:type="spellEnd"/>
          </w:p>
        </w:tc>
      </w:tr>
      <w:tr w:rsidR="00A76BDA" w:rsidRPr="00C83F64" w:rsidTr="004279A9">
        <w:trPr>
          <w:trHeight w:val="910"/>
        </w:trPr>
        <w:tc>
          <w:tcPr>
            <w:tcW w:w="1620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BDA" w:rsidRPr="00C83F64" w:rsidRDefault="00F85A20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1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BDA" w:rsidRPr="00C83F64" w:rsidRDefault="00AB4FA0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BDA" w:rsidRPr="00C83F64" w:rsidRDefault="00AB4FA0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дає змоги досягнути поставлених цілей державного регулювання</w:t>
            </w:r>
          </w:p>
        </w:tc>
      </w:tr>
      <w:tr w:rsidR="00A76BDA" w:rsidRPr="00C83F64" w:rsidTr="00FD7181">
        <w:trPr>
          <w:trHeight w:val="976"/>
        </w:trPr>
        <w:tc>
          <w:tcPr>
            <w:tcW w:w="1620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BDA" w:rsidRPr="00C83F64" w:rsidRDefault="00A76BDA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BDA" w:rsidRPr="00C83F64" w:rsidRDefault="00AB4FA0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BDA" w:rsidRPr="00C83F64" w:rsidRDefault="00AB4FA0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дає змогу досягнути поставлених цілей державного регулювання</w:t>
            </w:r>
          </w:p>
        </w:tc>
      </w:tr>
    </w:tbl>
    <w:p w:rsidR="00A76BDA" w:rsidRPr="00C83F64" w:rsidRDefault="00A76BDA" w:rsidP="002E2F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153"/>
        <w:gridCol w:w="2466"/>
        <w:gridCol w:w="2494"/>
        <w:gridCol w:w="2518"/>
      </w:tblGrid>
      <w:tr w:rsidR="003D095A" w:rsidRPr="00C83F64" w:rsidTr="00FD7181">
        <w:trPr>
          <w:trHeight w:val="1249"/>
        </w:trPr>
        <w:tc>
          <w:tcPr>
            <w:tcW w:w="111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DA" w:rsidRPr="00C83F64" w:rsidRDefault="00A76BDA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Рейтинг </w:t>
            </w:r>
            <w:proofErr w:type="spellStart"/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результатив-ності</w:t>
            </w:r>
            <w:proofErr w:type="spellEnd"/>
          </w:p>
        </w:tc>
        <w:tc>
          <w:tcPr>
            <w:tcW w:w="128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DA" w:rsidRPr="00C83F64" w:rsidRDefault="00A76BDA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Вигоди</w:t>
            </w:r>
          </w:p>
          <w:p w:rsidR="00A76BDA" w:rsidRPr="00C83F64" w:rsidRDefault="00A76BDA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(підсумок)</w:t>
            </w:r>
          </w:p>
        </w:tc>
        <w:tc>
          <w:tcPr>
            <w:tcW w:w="129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DA" w:rsidRPr="00C83F64" w:rsidRDefault="00A76BDA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(підсумок)</w:t>
            </w:r>
          </w:p>
        </w:tc>
        <w:tc>
          <w:tcPr>
            <w:tcW w:w="130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DA" w:rsidRPr="00C83F64" w:rsidRDefault="00A76BDA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Обґрунтування відповідного місця альтернативи у рейтингу</w:t>
            </w:r>
          </w:p>
        </w:tc>
      </w:tr>
      <w:tr w:rsidR="003D095A" w:rsidRPr="00C83F64" w:rsidTr="00BF770C">
        <w:trPr>
          <w:trHeight w:val="2525"/>
        </w:trPr>
        <w:tc>
          <w:tcPr>
            <w:tcW w:w="111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BDA" w:rsidRPr="00C83F64" w:rsidRDefault="00A76BDA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1</w:t>
            </w:r>
          </w:p>
        </w:tc>
        <w:tc>
          <w:tcPr>
            <w:tcW w:w="128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BDA" w:rsidRDefault="00FF1C4F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держави: в</w:t>
            </w:r>
            <w:r w:rsidR="00495B7B"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ідсутні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F1C4F" w:rsidRPr="00E073A5" w:rsidRDefault="00FF1C4F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1C4F" w:rsidRDefault="00FF1C4F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суб’єктів господарювання:</w:t>
            </w:r>
          </w:p>
          <w:p w:rsidR="00FF1C4F" w:rsidRDefault="00E44D9D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F1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ідсутні </w:t>
            </w:r>
          </w:p>
          <w:p w:rsidR="00FF1C4F" w:rsidRPr="00C83F64" w:rsidRDefault="00FF1C4F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BDA" w:rsidRDefault="00712F1A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держави:</w:t>
            </w:r>
          </w:p>
          <w:p w:rsidR="0011517C" w:rsidRDefault="008F033E" w:rsidP="002E2F2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83F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ідсутність </w:t>
            </w:r>
            <w:r w:rsidR="0011517C" w:rsidRPr="00C83F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змоги відібрати </w:t>
            </w:r>
            <w:r w:rsidR="001151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найкращі банки </w:t>
            </w:r>
            <w:r w:rsidR="0011517C" w:rsidRPr="00C83F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надання послуг зі зберігання валютних цінностей </w:t>
            </w:r>
            <w:r w:rsidR="001151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серед </w:t>
            </w:r>
            <w:r w:rsidR="001151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уповноважених банків, обраних відповідно до Порядку № 1231, та підвищити їх імідж за рахунок співпраці з державою та </w:t>
            </w:r>
          </w:p>
          <w:p w:rsidR="008F033E" w:rsidRDefault="0011517C" w:rsidP="002E2F2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якісного надання відповідних послуг</w:t>
            </w:r>
            <w:r w:rsidR="00EE2C7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1517C" w:rsidRDefault="0011517C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D9D" w:rsidRDefault="008F033E" w:rsidP="002E2F2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неможливість </w:t>
            </w:r>
            <w:r w:rsidR="00533B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отримання </w:t>
            </w:r>
            <w:r w:rsidR="00533B3D">
              <w:rPr>
                <w:rFonts w:ascii="Times New Roman" w:eastAsia="Calibri" w:hAnsi="Times New Roman" w:cs="Times New Roman"/>
                <w:sz w:val="28"/>
                <w:szCs w:val="28"/>
              </w:rPr>
              <w:t>у повному обсязі</w:t>
            </w:r>
            <w:r w:rsidR="00533B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митними органами послуг банку, </w:t>
            </w:r>
            <w:r w:rsidR="00533B3D">
              <w:rPr>
                <w:rFonts w:ascii="Times New Roman" w:eastAsia="Calibri" w:hAnsi="Times New Roman" w:cs="Times New Roman"/>
                <w:sz w:val="28"/>
                <w:szCs w:val="28"/>
              </w:rPr>
              <w:t>обраного відповідно до Порядку № 984</w:t>
            </w:r>
            <w:r w:rsidR="00EE2C7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F033E" w:rsidRDefault="008F033E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033E" w:rsidRDefault="008F033E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ненадходження до державного бюджету коштів від реалізації готівкової валюти за окремими видами валют, що перейшла у власність держави</w:t>
            </w:r>
            <w:r w:rsidR="00EE2C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F033E" w:rsidRDefault="008F033E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D9D" w:rsidRDefault="00E44D9D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суб’єктів господарювання:</w:t>
            </w:r>
          </w:p>
          <w:p w:rsidR="00E44D9D" w:rsidRPr="00C83F64" w:rsidRDefault="008F033E" w:rsidP="00EE2C7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E44D9D">
              <w:rPr>
                <w:rFonts w:ascii="Times New Roman" w:eastAsia="Times New Roman" w:hAnsi="Times New Roman" w:cs="Times New Roman"/>
                <w:sz w:val="28"/>
                <w:szCs w:val="28"/>
              </w:rPr>
              <w:t>ідсутні</w:t>
            </w:r>
          </w:p>
        </w:tc>
        <w:tc>
          <w:tcPr>
            <w:tcW w:w="130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00D" w:rsidRPr="00C3500D" w:rsidRDefault="00495B7B" w:rsidP="002E2F2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Є найгіршою, оскільки не дає змоги досягнути поставлених цілей державного регулювання</w:t>
            </w:r>
          </w:p>
        </w:tc>
      </w:tr>
      <w:tr w:rsidR="003D095A" w:rsidRPr="00C83F64" w:rsidTr="00BF770C">
        <w:trPr>
          <w:trHeight w:val="316"/>
        </w:trPr>
        <w:tc>
          <w:tcPr>
            <w:tcW w:w="111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BDA" w:rsidRPr="00C83F64" w:rsidRDefault="00A76BDA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2</w:t>
            </w:r>
          </w:p>
        </w:tc>
        <w:tc>
          <w:tcPr>
            <w:tcW w:w="128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33E" w:rsidRDefault="008F033E" w:rsidP="002E2F2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417A">
              <w:rPr>
                <w:rFonts w:ascii="Times New Roman" w:eastAsia="Calibri" w:hAnsi="Times New Roman" w:cs="Times New Roman"/>
                <w:sz w:val="28"/>
                <w:szCs w:val="28"/>
              </w:rPr>
              <w:t>Для держави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804B20" w:rsidRDefault="00804B20" w:rsidP="002E2F2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C83F64">
              <w:rPr>
                <w:rFonts w:ascii="Times New Roman" w:eastAsia="Calibri" w:hAnsi="Times New Roman" w:cs="Times New Roman"/>
                <w:sz w:val="28"/>
                <w:szCs w:val="28"/>
              </w:rPr>
              <w:t>дасть</w:t>
            </w:r>
            <w:proofErr w:type="spellEnd"/>
            <w:r w:rsidRPr="00C83F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змогу</w:t>
            </w:r>
            <w:r w:rsidRPr="00C83F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відібрати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найкращі банки </w:t>
            </w:r>
            <w:r w:rsidRPr="00C83F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надання послуг зі зберігання валютних цінностей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серед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уповноважених банків, обраних відповідно до Порядку № 1231, та підвищити їх імідж за рахунок співпраці з державою та </w:t>
            </w:r>
          </w:p>
          <w:p w:rsidR="00804B20" w:rsidRDefault="00804B20" w:rsidP="002E2F2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якіс</w:t>
            </w:r>
            <w:r w:rsidR="00EE2C7A">
              <w:rPr>
                <w:rFonts w:ascii="Times New Roman" w:eastAsia="Calibri" w:hAnsi="Times New Roman" w:cs="Times New Roman"/>
                <w:sz w:val="28"/>
                <w:szCs w:val="28"/>
              </w:rPr>
              <w:t>ного надання відповідних послуг;</w:t>
            </w:r>
          </w:p>
          <w:p w:rsidR="00804B20" w:rsidRPr="00E073A5" w:rsidRDefault="00804B20" w:rsidP="002E2F2F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71285" w:rsidRDefault="00804B20" w:rsidP="002E2F2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отримання у повному обсязі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митними органами послуг банку,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обран</w:t>
            </w:r>
            <w:r w:rsidR="00EE2C7A">
              <w:rPr>
                <w:rFonts w:ascii="Times New Roman" w:eastAsia="Calibri" w:hAnsi="Times New Roman" w:cs="Times New Roman"/>
                <w:sz w:val="28"/>
                <w:szCs w:val="28"/>
              </w:rPr>
              <w:t>ого відповідно до Порядку № 984;</w:t>
            </w:r>
          </w:p>
          <w:p w:rsidR="00171285" w:rsidRPr="00E073A5" w:rsidRDefault="00171285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71285" w:rsidRDefault="00171285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ненадходження до державного бюджету коштів від реалізації готівкової валюти за окремими видами валют, що перейшла у власність держави</w:t>
            </w:r>
            <w:r w:rsidR="00EE2C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76BDA" w:rsidRPr="00E073A5" w:rsidRDefault="00A76BDA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522E" w:rsidRDefault="0095522E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2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Для суб’єктів господарювання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5522E" w:rsidRPr="00C83F64" w:rsidRDefault="0095522E" w:rsidP="00EE2C7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Можливість уповноваженим банкам долучитись до співпраці з державою (з розпорядниками валютних цінностей) у частині надання послуг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зберігання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валютних цінностей</w:t>
            </w:r>
          </w:p>
        </w:tc>
        <w:tc>
          <w:tcPr>
            <w:tcW w:w="129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4F6" w:rsidRDefault="001674F6" w:rsidP="002E2F2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41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Для держави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1674F6" w:rsidRDefault="001674F6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Відсутні.</w:t>
            </w:r>
          </w:p>
          <w:p w:rsidR="001674F6" w:rsidRDefault="001674F6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74F6" w:rsidRDefault="001674F6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17A">
              <w:rPr>
                <w:rFonts w:ascii="Times New Roman" w:eastAsia="Times New Roman" w:hAnsi="Times New Roman" w:cs="Times New Roman"/>
                <w:sz w:val="28"/>
                <w:szCs w:val="28"/>
              </w:rPr>
              <w:t>Для суб’єктів господарюванн</w:t>
            </w:r>
            <w:r w:rsidRPr="009552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76BDA" w:rsidRPr="00C83F64" w:rsidRDefault="001674F6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06E77" w:rsidRPr="002453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рогнозуються витрати, пов’язані з необхідністю ознайомлення з </w:t>
            </w:r>
            <w:r w:rsidR="00806E77" w:rsidRPr="002453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новими регуляторними вимогами. Прогнозні витрати на одного суб’єк</w:t>
            </w:r>
            <w:r w:rsidR="00806E77">
              <w:rPr>
                <w:rFonts w:ascii="Times New Roman" w:eastAsia="Times New Roman" w:hAnsi="Times New Roman" w:cs="Times New Roman"/>
                <w:sz w:val="28"/>
                <w:szCs w:val="28"/>
              </w:rPr>
              <w:t>та господарювання  складатимуть</w:t>
            </w:r>
            <w:r w:rsidR="000741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806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6E77" w:rsidRPr="002453A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06E7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806E77" w:rsidRPr="002453A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06E77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806E77" w:rsidRPr="002453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грн (часу – </w:t>
            </w:r>
            <w:r w:rsidR="000741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806E77" w:rsidRPr="002453A2">
              <w:rPr>
                <w:rFonts w:ascii="Times New Roman" w:eastAsia="Times New Roman" w:hAnsi="Times New Roman" w:cs="Times New Roman"/>
                <w:sz w:val="28"/>
                <w:szCs w:val="28"/>
              </w:rPr>
              <w:t>1 година)</w:t>
            </w:r>
          </w:p>
        </w:tc>
        <w:tc>
          <w:tcPr>
            <w:tcW w:w="130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B7B" w:rsidRPr="00C83F64" w:rsidRDefault="00495B7B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Ця альтернатива є найбільш оптимальним способом досягнення цілей державного регулювання</w:t>
            </w:r>
          </w:p>
          <w:p w:rsidR="00495B7B" w:rsidRPr="00C83F64" w:rsidRDefault="00495B7B" w:rsidP="002E2F2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BDA" w:rsidRPr="00C83F64" w:rsidRDefault="00495B7B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Призведе до встановлення єдиних правил обліку, зберігання та розпорядження валютними цінностями (крім банківських металів), платіжними документами та врегулює проблемн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 питання у зазначеному напрямі</w:t>
            </w:r>
          </w:p>
        </w:tc>
      </w:tr>
    </w:tbl>
    <w:p w:rsidR="00A76BDA" w:rsidRPr="00C83F64" w:rsidRDefault="00A76BDA" w:rsidP="002E2F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130"/>
        <w:gridCol w:w="4099"/>
        <w:gridCol w:w="3402"/>
      </w:tblGrid>
      <w:tr w:rsidR="00A76BDA" w:rsidRPr="00C83F64" w:rsidTr="0011145C">
        <w:trPr>
          <w:trHeight w:val="1030"/>
        </w:trPr>
        <w:tc>
          <w:tcPr>
            <w:tcW w:w="110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DA" w:rsidRPr="00C83F64" w:rsidRDefault="00A76BDA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Рейтинг</w:t>
            </w:r>
          </w:p>
        </w:tc>
        <w:tc>
          <w:tcPr>
            <w:tcW w:w="212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DA" w:rsidRPr="00C83F64" w:rsidRDefault="00A76BDA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Аргумент щодо переваг обраної альтернативи/причини відмови від альтернативи</w:t>
            </w:r>
          </w:p>
        </w:tc>
        <w:tc>
          <w:tcPr>
            <w:tcW w:w="176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BDA" w:rsidRPr="00C83F64" w:rsidRDefault="00A76BDA" w:rsidP="002E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proofErr w:type="spellEnd"/>
          </w:p>
        </w:tc>
      </w:tr>
      <w:tr w:rsidR="00A76BDA" w:rsidRPr="00C83F64" w:rsidTr="00E073A5">
        <w:trPr>
          <w:trHeight w:val="5057"/>
        </w:trPr>
        <w:tc>
          <w:tcPr>
            <w:tcW w:w="11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BDA" w:rsidRPr="00C83F64" w:rsidRDefault="00A76BDA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1</w:t>
            </w:r>
          </w:p>
          <w:p w:rsidR="00A76BDA" w:rsidRPr="00C83F64" w:rsidRDefault="00A76BDA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BDA" w:rsidRPr="00C83F64" w:rsidRDefault="00495B7B" w:rsidP="009D0F8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Цей альтернативний спосіб досягнення цілей не може бути застосований, оскільки </w:t>
            </w:r>
            <w:r w:rsidR="00E47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r w:rsidR="00E473B3" w:rsidRPr="00C83F64">
              <w:rPr>
                <w:rFonts w:ascii="Times New Roman" w:hAnsi="Times New Roman" w:cs="Times New Roman"/>
                <w:sz w:val="28"/>
                <w:szCs w:val="28"/>
              </w:rPr>
              <w:t>забезпеч</w:t>
            </w:r>
            <w:r w:rsidR="00E473B3">
              <w:rPr>
                <w:rFonts w:ascii="Times New Roman" w:hAnsi="Times New Roman" w:cs="Times New Roman"/>
                <w:sz w:val="28"/>
                <w:szCs w:val="28"/>
              </w:rPr>
              <w:t>ення митних органів</w:t>
            </w:r>
            <w:r w:rsidR="00E473B3" w:rsidRPr="00C83F64">
              <w:rPr>
                <w:rFonts w:ascii="Times New Roman" w:hAnsi="Times New Roman" w:cs="Times New Roman"/>
                <w:sz w:val="28"/>
                <w:szCs w:val="28"/>
              </w:rPr>
              <w:t xml:space="preserve"> повним спектром банківських послуг відповідно до вимог Порядку № 984</w:t>
            </w:r>
            <w:r w:rsidR="006325EC" w:rsidRPr="00C83F64">
              <w:rPr>
                <w:rFonts w:ascii="Times New Roman" w:hAnsi="Times New Roman" w:cs="Times New Roman"/>
                <w:sz w:val="28"/>
                <w:szCs w:val="28"/>
              </w:rPr>
              <w:t xml:space="preserve"> уповноважен</w:t>
            </w:r>
            <w:r w:rsidR="00E473B3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6325EC" w:rsidRPr="00C83F64">
              <w:rPr>
                <w:rFonts w:ascii="Times New Roman" w:hAnsi="Times New Roman" w:cs="Times New Roman"/>
                <w:sz w:val="28"/>
                <w:szCs w:val="28"/>
              </w:rPr>
              <w:t xml:space="preserve"> банк </w:t>
            </w:r>
            <w:r w:rsidR="004421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потрібно </w:t>
            </w:r>
            <w:r w:rsidR="00C712A3" w:rsidRPr="00C83F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9D0F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дати</w:t>
            </w:r>
            <w:r w:rsidR="00C712A3" w:rsidRPr="00C83F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5425" w:rsidRPr="00C83F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рішенням Кабінету Міністрів України та Національного банку України</w:t>
            </w:r>
            <w:r w:rsidR="00875425" w:rsidRPr="00C83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2A3" w:rsidRPr="00C83F64">
              <w:rPr>
                <w:rFonts w:ascii="Times New Roman" w:hAnsi="Times New Roman" w:cs="Times New Roman"/>
                <w:sz w:val="28"/>
                <w:szCs w:val="28"/>
              </w:rPr>
              <w:t>до переліку уповноважених банків</w:t>
            </w:r>
            <w:r w:rsidR="006325EC" w:rsidRPr="00C83F64">
              <w:rPr>
                <w:rFonts w:ascii="Times New Roman" w:hAnsi="Times New Roman" w:cs="Times New Roman"/>
                <w:sz w:val="28"/>
                <w:szCs w:val="28"/>
              </w:rPr>
              <w:t>, визначеного Порядк</w:t>
            </w:r>
            <w:r w:rsidR="00E473B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6325EC" w:rsidRPr="00C83F64"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  <w:r w:rsidR="006325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Так</w:t>
            </w:r>
            <w:r w:rsidR="00FD1F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="006325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взаємовідно</w:t>
            </w:r>
            <w:r w:rsidR="004421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</w:t>
            </w:r>
            <w:r w:rsidR="006325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 не можуть існувати в чинному правовому полі</w:t>
            </w:r>
          </w:p>
        </w:tc>
        <w:tc>
          <w:tcPr>
            <w:tcW w:w="176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BDA" w:rsidRPr="00C83F64" w:rsidRDefault="00B007C5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Ризик зовнішніх чинників відсутній</w:t>
            </w:r>
          </w:p>
        </w:tc>
      </w:tr>
      <w:tr w:rsidR="00A76BDA" w:rsidRPr="00C83F64" w:rsidTr="0011145C">
        <w:trPr>
          <w:trHeight w:val="1132"/>
        </w:trPr>
        <w:tc>
          <w:tcPr>
            <w:tcW w:w="11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BDA" w:rsidRPr="00C83F64" w:rsidRDefault="00A76BDA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2</w:t>
            </w:r>
          </w:p>
          <w:p w:rsidR="00A76BDA" w:rsidRPr="00C83F64" w:rsidRDefault="00A76BDA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BDA" w:rsidRPr="00C83F64" w:rsidRDefault="00495B7B" w:rsidP="008839E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Розробка про</w:t>
            </w:r>
            <w:r w:rsidR="008839E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кту наказу є єдиним оптимальним способом у досягненні зазначених цілей, такий спосіб дасть змогу надання уповноваженими банками якісних послуг</w:t>
            </w:r>
          </w:p>
        </w:tc>
        <w:tc>
          <w:tcPr>
            <w:tcW w:w="176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BDA" w:rsidRPr="00495B7B" w:rsidRDefault="00495B7B" w:rsidP="002E2F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64">
              <w:rPr>
                <w:rFonts w:ascii="Times New Roman" w:eastAsia="Times New Roman" w:hAnsi="Times New Roman" w:cs="Times New Roman"/>
                <w:sz w:val="28"/>
                <w:szCs w:val="28"/>
              </w:rPr>
              <w:t>Ризик зовнішніх чинників відсутній</w:t>
            </w:r>
          </w:p>
        </w:tc>
      </w:tr>
    </w:tbl>
    <w:p w:rsidR="00E60ED2" w:rsidRPr="00C83F64" w:rsidRDefault="00E60ED2" w:rsidP="002E2F2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786" w:rsidRPr="00C83F64" w:rsidRDefault="005F3786" w:rsidP="002E2F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F64">
        <w:rPr>
          <w:rFonts w:ascii="Times New Roman" w:eastAsia="Times New Roman" w:hAnsi="Times New Roman" w:cs="Times New Roman"/>
          <w:b/>
          <w:sz w:val="28"/>
          <w:szCs w:val="28"/>
        </w:rPr>
        <w:t>V. Механізм та заходи, які забезпечать розв’язання визначеної проблеми</w:t>
      </w:r>
    </w:p>
    <w:p w:rsidR="005729D5" w:rsidRDefault="005729D5" w:rsidP="002E2F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F3C74" w:rsidRPr="00FD1F5F" w:rsidRDefault="00291C9A" w:rsidP="002E2F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F5F">
        <w:rPr>
          <w:rFonts w:ascii="Times New Roman" w:eastAsia="Times New Roman" w:hAnsi="Times New Roman" w:cs="Times New Roman"/>
          <w:sz w:val="28"/>
          <w:szCs w:val="28"/>
        </w:rPr>
        <w:t xml:space="preserve">Механізм дії регуляторного </w:t>
      </w:r>
      <w:proofErr w:type="spellStart"/>
      <w:r w:rsidRPr="00FD1F5F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</w:p>
    <w:p w:rsidR="005F3786" w:rsidRPr="00C83F64" w:rsidRDefault="0062013E" w:rsidP="002E2F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F64">
        <w:rPr>
          <w:rFonts w:ascii="Times New Roman" w:eastAsia="Times New Roman" w:hAnsi="Times New Roman" w:cs="Times New Roman"/>
          <w:sz w:val="28"/>
          <w:szCs w:val="28"/>
        </w:rPr>
        <w:t>Основним м</w:t>
      </w:r>
      <w:r w:rsidR="005F3786" w:rsidRPr="00C83F64">
        <w:rPr>
          <w:rFonts w:ascii="Times New Roman" w:eastAsia="Times New Roman" w:hAnsi="Times New Roman" w:cs="Times New Roman"/>
          <w:sz w:val="28"/>
          <w:szCs w:val="28"/>
        </w:rPr>
        <w:t>еханізмом</w:t>
      </w:r>
      <w:r w:rsidRPr="00C83F64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5F3786" w:rsidRPr="00C83F64">
        <w:rPr>
          <w:rFonts w:ascii="Times New Roman" w:eastAsia="Times New Roman" w:hAnsi="Times New Roman" w:cs="Times New Roman"/>
          <w:sz w:val="28"/>
          <w:szCs w:val="28"/>
        </w:rPr>
        <w:t xml:space="preserve">розв’язання </w:t>
      </w:r>
      <w:r w:rsidRPr="00C83F64">
        <w:rPr>
          <w:rFonts w:ascii="Times New Roman" w:eastAsia="Times New Roman" w:hAnsi="Times New Roman" w:cs="Times New Roman"/>
          <w:sz w:val="28"/>
          <w:szCs w:val="28"/>
        </w:rPr>
        <w:t xml:space="preserve">визначеної </w:t>
      </w:r>
      <w:r w:rsidR="005F3786" w:rsidRPr="00C83F64">
        <w:rPr>
          <w:rFonts w:ascii="Times New Roman" w:eastAsia="Times New Roman" w:hAnsi="Times New Roman" w:cs="Times New Roman"/>
          <w:sz w:val="28"/>
          <w:szCs w:val="28"/>
        </w:rPr>
        <w:t xml:space="preserve">проблеми є прийняття </w:t>
      </w:r>
      <w:r w:rsidRPr="00C83F6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8839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83F64">
        <w:rPr>
          <w:rFonts w:ascii="Times New Roman" w:eastAsia="Times New Roman" w:hAnsi="Times New Roman" w:cs="Times New Roman"/>
          <w:sz w:val="28"/>
          <w:szCs w:val="28"/>
        </w:rPr>
        <w:t xml:space="preserve">кту </w:t>
      </w:r>
      <w:r w:rsidR="005F3786" w:rsidRPr="00C83F64">
        <w:rPr>
          <w:rFonts w:ascii="Times New Roman" w:eastAsia="Times New Roman" w:hAnsi="Times New Roman" w:cs="Times New Roman"/>
          <w:sz w:val="28"/>
          <w:szCs w:val="28"/>
        </w:rPr>
        <w:t xml:space="preserve">регуляторного </w:t>
      </w:r>
      <w:proofErr w:type="spellStart"/>
      <w:r w:rsidR="005F3786" w:rsidRPr="00C83F64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672C99" w:rsidRPr="00C83F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5B2B" w:rsidRPr="00C83F64" w:rsidRDefault="005F3786" w:rsidP="002E2F2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6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8839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83F64">
        <w:rPr>
          <w:rFonts w:ascii="Times New Roman" w:eastAsia="Times New Roman" w:hAnsi="Times New Roman" w:cs="Times New Roman"/>
          <w:sz w:val="28"/>
          <w:szCs w:val="28"/>
        </w:rPr>
        <w:t xml:space="preserve">ктом </w:t>
      </w:r>
      <w:r w:rsidR="00766D0D" w:rsidRPr="00C83F64">
        <w:rPr>
          <w:rFonts w:ascii="Times New Roman" w:eastAsia="Times New Roman" w:hAnsi="Times New Roman" w:cs="Times New Roman"/>
          <w:sz w:val="28"/>
          <w:szCs w:val="28"/>
        </w:rPr>
        <w:t>наказу</w:t>
      </w:r>
      <w:r w:rsidRPr="00C83F64">
        <w:rPr>
          <w:rFonts w:ascii="Times New Roman" w:eastAsia="Times New Roman" w:hAnsi="Times New Roman" w:cs="Times New Roman"/>
          <w:sz w:val="28"/>
          <w:szCs w:val="28"/>
        </w:rPr>
        <w:t xml:space="preserve"> передбачається затвердження </w:t>
      </w:r>
      <w:r w:rsidR="006A5B2B" w:rsidRPr="00C83F64">
        <w:rPr>
          <w:rFonts w:ascii="Times New Roman" w:hAnsi="Times New Roman" w:cs="Times New Roman"/>
          <w:sz w:val="28"/>
          <w:szCs w:val="28"/>
        </w:rPr>
        <w:t>Порядку розпорядження валютними цінностями (крім банківських металів),</w:t>
      </w:r>
      <w:r w:rsidR="006961DA" w:rsidRPr="00C83F64">
        <w:rPr>
          <w:rFonts w:ascii="Times New Roman" w:hAnsi="Times New Roman" w:cs="Times New Roman"/>
          <w:sz w:val="28"/>
          <w:szCs w:val="28"/>
        </w:rPr>
        <w:t xml:space="preserve"> платіжними документами,</w:t>
      </w:r>
      <w:r w:rsidR="006A5B2B" w:rsidRPr="00C83F64">
        <w:rPr>
          <w:rFonts w:ascii="Times New Roman" w:hAnsi="Times New Roman" w:cs="Times New Roman"/>
          <w:sz w:val="28"/>
          <w:szCs w:val="28"/>
        </w:rPr>
        <w:t xml:space="preserve"> що переходять у власність держави</w:t>
      </w:r>
      <w:r w:rsidR="004744A8" w:rsidRPr="00C83F64">
        <w:rPr>
          <w:rFonts w:ascii="Times New Roman" w:hAnsi="Times New Roman" w:cs="Times New Roman"/>
          <w:sz w:val="28"/>
          <w:szCs w:val="28"/>
        </w:rPr>
        <w:t xml:space="preserve">, що </w:t>
      </w:r>
      <w:r w:rsidR="004744A8" w:rsidRPr="00C83F64">
        <w:rPr>
          <w:rFonts w:ascii="Times New Roman" w:eastAsia="Calibri" w:hAnsi="Times New Roman" w:cs="Times New Roman"/>
          <w:sz w:val="28"/>
          <w:szCs w:val="28"/>
        </w:rPr>
        <w:t xml:space="preserve">призведе до встановлення єдиних правил обліку, зберігання та розпорядження валютними цінностями (крім </w:t>
      </w:r>
      <w:r w:rsidR="004744A8" w:rsidRPr="00C83F64">
        <w:rPr>
          <w:rFonts w:ascii="Times New Roman" w:hAnsi="Times New Roman" w:cs="Times New Roman"/>
          <w:sz w:val="28"/>
          <w:szCs w:val="28"/>
        </w:rPr>
        <w:t>банківських металів</w:t>
      </w:r>
      <w:r w:rsidR="004744A8" w:rsidRPr="00C83F64">
        <w:rPr>
          <w:rFonts w:ascii="Times New Roman" w:eastAsia="Calibri" w:hAnsi="Times New Roman" w:cs="Times New Roman"/>
          <w:sz w:val="28"/>
          <w:szCs w:val="28"/>
        </w:rPr>
        <w:t>)</w:t>
      </w:r>
      <w:r w:rsidR="006961DA" w:rsidRPr="00C83F64">
        <w:rPr>
          <w:rFonts w:ascii="Times New Roman" w:eastAsia="Calibri" w:hAnsi="Times New Roman" w:cs="Times New Roman"/>
          <w:sz w:val="28"/>
          <w:szCs w:val="28"/>
        </w:rPr>
        <w:t>, платіжними документами</w:t>
      </w:r>
      <w:r w:rsidR="00766D0D" w:rsidRPr="00C83F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0D84" w:rsidRPr="00C83F64" w:rsidRDefault="000E086D" w:rsidP="002E2F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F6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00D84" w:rsidRPr="00C83F64">
        <w:rPr>
          <w:rFonts w:ascii="Times New Roman" w:hAnsi="Times New Roman" w:cs="Times New Roman"/>
          <w:sz w:val="28"/>
          <w:szCs w:val="28"/>
        </w:rPr>
        <w:t xml:space="preserve">изначення розпорядниками валютних цінностей </w:t>
      </w:r>
      <w:r w:rsidRPr="00C83F64">
        <w:rPr>
          <w:rFonts w:ascii="Times New Roman" w:hAnsi="Times New Roman" w:cs="Times New Roman"/>
          <w:sz w:val="28"/>
          <w:szCs w:val="28"/>
        </w:rPr>
        <w:t xml:space="preserve">уповноваженого банку здійснюється серед </w:t>
      </w:r>
      <w:r w:rsidR="00700D84" w:rsidRPr="00C83F64">
        <w:rPr>
          <w:rFonts w:ascii="Times New Roman" w:hAnsi="Times New Roman" w:cs="Times New Roman"/>
          <w:sz w:val="28"/>
          <w:szCs w:val="28"/>
        </w:rPr>
        <w:t>банк</w:t>
      </w:r>
      <w:r w:rsidRPr="00C83F64">
        <w:rPr>
          <w:rFonts w:ascii="Times New Roman" w:hAnsi="Times New Roman" w:cs="Times New Roman"/>
          <w:sz w:val="28"/>
          <w:szCs w:val="28"/>
        </w:rPr>
        <w:t>ів</w:t>
      </w:r>
      <w:r w:rsidR="00700D84" w:rsidRPr="00C83F64">
        <w:rPr>
          <w:rFonts w:ascii="Times New Roman" w:hAnsi="Times New Roman" w:cs="Times New Roman"/>
          <w:sz w:val="28"/>
          <w:szCs w:val="28"/>
        </w:rPr>
        <w:t xml:space="preserve">, </w:t>
      </w:r>
      <w:r w:rsidR="0062764F">
        <w:rPr>
          <w:rFonts w:ascii="Times New Roman" w:hAnsi="Times New Roman" w:cs="Times New Roman"/>
          <w:sz w:val="28"/>
          <w:szCs w:val="28"/>
        </w:rPr>
        <w:t>які</w:t>
      </w:r>
      <w:r w:rsidR="00700D84" w:rsidRPr="00C83F64">
        <w:rPr>
          <w:rFonts w:ascii="Times New Roman" w:hAnsi="Times New Roman" w:cs="Times New Roman"/>
          <w:sz w:val="28"/>
          <w:szCs w:val="28"/>
        </w:rPr>
        <w:t xml:space="preserve"> відповідають вимогам Порядку № 1231</w:t>
      </w:r>
      <w:r w:rsidR="0062764F">
        <w:rPr>
          <w:rFonts w:ascii="Times New Roman" w:hAnsi="Times New Roman" w:cs="Times New Roman"/>
          <w:sz w:val="28"/>
          <w:szCs w:val="28"/>
        </w:rPr>
        <w:t>,</w:t>
      </w:r>
      <w:r w:rsidR="00700D84" w:rsidRPr="00C83F64">
        <w:rPr>
          <w:rFonts w:ascii="Times New Roman" w:hAnsi="Times New Roman" w:cs="Times New Roman"/>
          <w:sz w:val="28"/>
          <w:szCs w:val="28"/>
        </w:rPr>
        <w:t xml:space="preserve"> що </w:t>
      </w:r>
      <w:proofErr w:type="spellStart"/>
      <w:r w:rsidR="00700D84" w:rsidRPr="00C83F64">
        <w:rPr>
          <w:rFonts w:ascii="Times New Roman" w:hAnsi="Times New Roman" w:cs="Times New Roman"/>
          <w:sz w:val="28"/>
          <w:szCs w:val="28"/>
        </w:rPr>
        <w:t>надасть</w:t>
      </w:r>
      <w:proofErr w:type="spellEnd"/>
      <w:r w:rsidR="00700D84" w:rsidRPr="00C83F64">
        <w:rPr>
          <w:rFonts w:ascii="Times New Roman" w:hAnsi="Times New Roman" w:cs="Times New Roman"/>
          <w:sz w:val="28"/>
          <w:szCs w:val="28"/>
        </w:rPr>
        <w:t xml:space="preserve"> змогу відібрати найкращі банки для якісного надання відповідних послуг.</w:t>
      </w:r>
      <w:r w:rsidR="0062764F">
        <w:rPr>
          <w:rFonts w:ascii="Times New Roman" w:hAnsi="Times New Roman" w:cs="Times New Roman"/>
          <w:sz w:val="28"/>
          <w:szCs w:val="28"/>
        </w:rPr>
        <w:t xml:space="preserve"> Для митних органів уповноваженим банком є банк, який вибраний відповідно Порядку № </w:t>
      </w:r>
      <w:r w:rsidR="0062764F" w:rsidRPr="00C83F64">
        <w:rPr>
          <w:rFonts w:ascii="Times New Roman" w:hAnsi="Times New Roman" w:cs="Times New Roman"/>
          <w:sz w:val="28"/>
          <w:szCs w:val="28"/>
        </w:rPr>
        <w:t>984,</w:t>
      </w:r>
      <w:r w:rsidR="0062764F">
        <w:rPr>
          <w:rFonts w:ascii="Times New Roman" w:hAnsi="Times New Roman" w:cs="Times New Roman"/>
          <w:sz w:val="28"/>
          <w:szCs w:val="28"/>
        </w:rPr>
        <w:t xml:space="preserve"> що </w:t>
      </w:r>
      <w:proofErr w:type="spellStart"/>
      <w:r w:rsidR="0062764F">
        <w:rPr>
          <w:rFonts w:ascii="Times New Roman" w:hAnsi="Times New Roman" w:cs="Times New Roman"/>
          <w:sz w:val="28"/>
          <w:szCs w:val="28"/>
        </w:rPr>
        <w:t>надасть</w:t>
      </w:r>
      <w:proofErr w:type="spellEnd"/>
      <w:r w:rsidR="0062764F">
        <w:rPr>
          <w:rFonts w:ascii="Times New Roman" w:hAnsi="Times New Roman" w:cs="Times New Roman"/>
          <w:sz w:val="28"/>
          <w:szCs w:val="28"/>
        </w:rPr>
        <w:t xml:space="preserve"> </w:t>
      </w:r>
      <w:r w:rsidR="0062764F" w:rsidRPr="00C83F64">
        <w:rPr>
          <w:rFonts w:ascii="Times New Roman" w:hAnsi="Times New Roman" w:cs="Times New Roman"/>
          <w:sz w:val="28"/>
          <w:szCs w:val="28"/>
        </w:rPr>
        <w:t>можлив</w:t>
      </w:r>
      <w:r w:rsidR="004138B1">
        <w:rPr>
          <w:rFonts w:ascii="Times New Roman" w:hAnsi="Times New Roman" w:cs="Times New Roman"/>
          <w:sz w:val="28"/>
          <w:szCs w:val="28"/>
        </w:rPr>
        <w:t>і</w:t>
      </w:r>
      <w:r w:rsidR="0062764F" w:rsidRPr="00C83F64">
        <w:rPr>
          <w:rFonts w:ascii="Times New Roman" w:hAnsi="Times New Roman" w:cs="Times New Roman"/>
          <w:sz w:val="28"/>
          <w:szCs w:val="28"/>
        </w:rPr>
        <w:t>ст</w:t>
      </w:r>
      <w:r w:rsidR="004138B1">
        <w:rPr>
          <w:rFonts w:ascii="Times New Roman" w:hAnsi="Times New Roman" w:cs="Times New Roman"/>
          <w:sz w:val="28"/>
          <w:szCs w:val="28"/>
        </w:rPr>
        <w:t>ь</w:t>
      </w:r>
      <w:r w:rsidR="0062764F" w:rsidRPr="00C83F64">
        <w:rPr>
          <w:rFonts w:ascii="Times New Roman" w:hAnsi="Times New Roman" w:cs="Times New Roman"/>
          <w:sz w:val="28"/>
          <w:szCs w:val="28"/>
        </w:rPr>
        <w:t xml:space="preserve"> забезпечити </w:t>
      </w:r>
      <w:r w:rsidR="0062764F">
        <w:rPr>
          <w:rFonts w:ascii="Times New Roman" w:hAnsi="Times New Roman" w:cs="Times New Roman"/>
          <w:sz w:val="28"/>
          <w:szCs w:val="28"/>
        </w:rPr>
        <w:t>митні органи</w:t>
      </w:r>
      <w:r w:rsidR="0062764F" w:rsidRPr="00C83F64">
        <w:rPr>
          <w:rFonts w:ascii="Times New Roman" w:hAnsi="Times New Roman" w:cs="Times New Roman"/>
          <w:sz w:val="28"/>
          <w:szCs w:val="28"/>
        </w:rPr>
        <w:t xml:space="preserve"> повним спектром банківських послуг</w:t>
      </w:r>
      <w:r w:rsidR="0062764F">
        <w:rPr>
          <w:rFonts w:ascii="Times New Roman" w:hAnsi="Times New Roman" w:cs="Times New Roman"/>
          <w:sz w:val="28"/>
          <w:szCs w:val="28"/>
        </w:rPr>
        <w:t>.</w:t>
      </w:r>
    </w:p>
    <w:p w:rsidR="004138B1" w:rsidRDefault="00700D84" w:rsidP="002E2F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ED2" w:rsidRPr="004138B1" w:rsidRDefault="003C6A81" w:rsidP="002E2F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8B1">
        <w:rPr>
          <w:rFonts w:ascii="Times New Roman" w:hAnsi="Times New Roman" w:cs="Times New Roman"/>
          <w:sz w:val="28"/>
          <w:szCs w:val="28"/>
        </w:rPr>
        <w:t>Організаційні заходи впровадження регу</w:t>
      </w:r>
      <w:r w:rsidR="005729D5" w:rsidRPr="004138B1">
        <w:rPr>
          <w:rFonts w:ascii="Times New Roman" w:hAnsi="Times New Roman" w:cs="Times New Roman"/>
          <w:sz w:val="28"/>
          <w:szCs w:val="28"/>
        </w:rPr>
        <w:t>л</w:t>
      </w:r>
      <w:r w:rsidRPr="004138B1">
        <w:rPr>
          <w:rFonts w:ascii="Times New Roman" w:hAnsi="Times New Roman" w:cs="Times New Roman"/>
          <w:sz w:val="28"/>
          <w:szCs w:val="28"/>
        </w:rPr>
        <w:t xml:space="preserve">яторного </w:t>
      </w:r>
      <w:proofErr w:type="spellStart"/>
      <w:r w:rsidRPr="004138B1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138B1">
        <w:rPr>
          <w:rFonts w:ascii="Times New Roman" w:hAnsi="Times New Roman" w:cs="Times New Roman"/>
          <w:sz w:val="28"/>
          <w:szCs w:val="28"/>
        </w:rPr>
        <w:t xml:space="preserve"> в дію</w:t>
      </w:r>
    </w:p>
    <w:p w:rsidR="007A663F" w:rsidRPr="00C83F64" w:rsidRDefault="00F81563" w:rsidP="002E2F2F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3F64">
        <w:rPr>
          <w:sz w:val="28"/>
          <w:szCs w:val="28"/>
        </w:rPr>
        <w:t xml:space="preserve">Для впровадження цього регуляторного </w:t>
      </w:r>
      <w:proofErr w:type="spellStart"/>
      <w:r w:rsidRPr="00C83F64">
        <w:rPr>
          <w:sz w:val="28"/>
          <w:szCs w:val="28"/>
        </w:rPr>
        <w:t>акта</w:t>
      </w:r>
      <w:proofErr w:type="spellEnd"/>
      <w:r w:rsidRPr="00C83F64">
        <w:rPr>
          <w:sz w:val="28"/>
          <w:szCs w:val="28"/>
        </w:rPr>
        <w:t xml:space="preserve"> необхідно забезпечити інформування громадськості про вимоги регуляторного </w:t>
      </w:r>
      <w:proofErr w:type="spellStart"/>
      <w:r w:rsidRPr="00C83F64">
        <w:rPr>
          <w:sz w:val="28"/>
          <w:szCs w:val="28"/>
        </w:rPr>
        <w:t>акта</w:t>
      </w:r>
      <w:proofErr w:type="spellEnd"/>
      <w:r w:rsidRPr="00C83F64">
        <w:rPr>
          <w:sz w:val="28"/>
          <w:szCs w:val="28"/>
        </w:rPr>
        <w:t xml:space="preserve"> шляхом його оприлюднення в засобах масової інформації та на офіційному </w:t>
      </w:r>
      <w:proofErr w:type="spellStart"/>
      <w:r w:rsidR="00F80B51" w:rsidRPr="00C83F64">
        <w:rPr>
          <w:sz w:val="28"/>
          <w:szCs w:val="28"/>
        </w:rPr>
        <w:t>вебс</w:t>
      </w:r>
      <w:r w:rsidRPr="00C83F64">
        <w:rPr>
          <w:sz w:val="28"/>
          <w:szCs w:val="28"/>
        </w:rPr>
        <w:t>айті</w:t>
      </w:r>
      <w:proofErr w:type="spellEnd"/>
      <w:r w:rsidRPr="00C83F64">
        <w:rPr>
          <w:sz w:val="28"/>
          <w:szCs w:val="28"/>
        </w:rPr>
        <w:t xml:space="preserve"> </w:t>
      </w:r>
      <w:r w:rsidR="00F80B51" w:rsidRPr="00C83F64">
        <w:rPr>
          <w:sz w:val="28"/>
          <w:szCs w:val="28"/>
        </w:rPr>
        <w:t>Міністерства фінансів України</w:t>
      </w:r>
      <w:r w:rsidRPr="00C83F64">
        <w:rPr>
          <w:sz w:val="28"/>
          <w:szCs w:val="28"/>
        </w:rPr>
        <w:t xml:space="preserve">. </w:t>
      </w:r>
    </w:p>
    <w:p w:rsidR="00F81563" w:rsidRPr="00C83F64" w:rsidRDefault="00F81563" w:rsidP="002E2F2F">
      <w:pPr>
        <w:pStyle w:val="af5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3F64">
        <w:rPr>
          <w:sz w:val="28"/>
          <w:szCs w:val="28"/>
        </w:rPr>
        <w:t xml:space="preserve">Ризику впливу зовнішніх факторів на дію регуляторного </w:t>
      </w:r>
      <w:proofErr w:type="spellStart"/>
      <w:r w:rsidRPr="00C83F64">
        <w:rPr>
          <w:sz w:val="28"/>
          <w:szCs w:val="28"/>
        </w:rPr>
        <w:t>акта</w:t>
      </w:r>
      <w:proofErr w:type="spellEnd"/>
      <w:r w:rsidRPr="00C83F64">
        <w:rPr>
          <w:sz w:val="28"/>
          <w:szCs w:val="28"/>
        </w:rPr>
        <w:t xml:space="preserve"> немає.</w:t>
      </w:r>
    </w:p>
    <w:p w:rsidR="00F81563" w:rsidRPr="00C83F64" w:rsidRDefault="00F81563" w:rsidP="002E2F2F">
      <w:pPr>
        <w:pStyle w:val="af5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3F64">
        <w:rPr>
          <w:sz w:val="28"/>
          <w:szCs w:val="28"/>
        </w:rPr>
        <w:t>Досягнення цілей не передбачає додаткових організаційних заходів.</w:t>
      </w:r>
    </w:p>
    <w:p w:rsidR="00F81563" w:rsidRPr="00C83F64" w:rsidRDefault="00F81563" w:rsidP="002E2F2F">
      <w:pPr>
        <w:pStyle w:val="af5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3F64">
        <w:rPr>
          <w:sz w:val="28"/>
          <w:szCs w:val="28"/>
        </w:rPr>
        <w:t>Прийняття про</w:t>
      </w:r>
      <w:r w:rsidR="008839EE">
        <w:rPr>
          <w:sz w:val="28"/>
          <w:szCs w:val="28"/>
        </w:rPr>
        <w:t>е</w:t>
      </w:r>
      <w:r w:rsidRPr="00C83F64">
        <w:rPr>
          <w:sz w:val="28"/>
          <w:szCs w:val="28"/>
        </w:rPr>
        <w:t>кту наказу не призведе до неочікуваних результатів і не потребує додаткових витрат з державного бюджету.</w:t>
      </w:r>
    </w:p>
    <w:p w:rsidR="00F81563" w:rsidRPr="00C83F64" w:rsidRDefault="00F81563" w:rsidP="002E2F2F">
      <w:pPr>
        <w:pStyle w:val="af5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3F64">
        <w:rPr>
          <w:sz w:val="28"/>
          <w:szCs w:val="28"/>
        </w:rPr>
        <w:t xml:space="preserve">Можлива шкода у разі очікуваних наслідків дії </w:t>
      </w:r>
      <w:proofErr w:type="spellStart"/>
      <w:r w:rsidRPr="00C83F64">
        <w:rPr>
          <w:sz w:val="28"/>
          <w:szCs w:val="28"/>
        </w:rPr>
        <w:t>акта</w:t>
      </w:r>
      <w:proofErr w:type="spellEnd"/>
      <w:r w:rsidRPr="00C83F64">
        <w:rPr>
          <w:sz w:val="28"/>
          <w:szCs w:val="28"/>
        </w:rPr>
        <w:t xml:space="preserve"> не прогнозується.</w:t>
      </w:r>
    </w:p>
    <w:p w:rsidR="00F81563" w:rsidRPr="00C83F64" w:rsidRDefault="00F81563" w:rsidP="002E2F2F">
      <w:pPr>
        <w:pStyle w:val="af5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3F64">
        <w:rPr>
          <w:sz w:val="28"/>
          <w:szCs w:val="28"/>
        </w:rPr>
        <w:t xml:space="preserve">З боку </w:t>
      </w:r>
      <w:r w:rsidR="00027517" w:rsidRPr="00C83F64">
        <w:rPr>
          <w:sz w:val="28"/>
          <w:szCs w:val="28"/>
        </w:rPr>
        <w:t>банків</w:t>
      </w:r>
      <w:r w:rsidRPr="00C83F64">
        <w:rPr>
          <w:sz w:val="28"/>
          <w:szCs w:val="28"/>
        </w:rPr>
        <w:t xml:space="preserve"> відсутня необхідність вчинення додаткових дій, оскільки про</w:t>
      </w:r>
      <w:r w:rsidR="008839EE">
        <w:rPr>
          <w:sz w:val="28"/>
          <w:szCs w:val="28"/>
        </w:rPr>
        <w:t>е</w:t>
      </w:r>
      <w:r w:rsidRPr="00C83F64">
        <w:rPr>
          <w:sz w:val="28"/>
          <w:szCs w:val="28"/>
        </w:rPr>
        <w:t xml:space="preserve">кт </w:t>
      </w:r>
      <w:proofErr w:type="spellStart"/>
      <w:r w:rsidRPr="00C83F64">
        <w:rPr>
          <w:sz w:val="28"/>
          <w:szCs w:val="28"/>
        </w:rPr>
        <w:t>акта</w:t>
      </w:r>
      <w:proofErr w:type="spellEnd"/>
      <w:r w:rsidRPr="00C83F64">
        <w:rPr>
          <w:sz w:val="28"/>
          <w:szCs w:val="28"/>
        </w:rPr>
        <w:t xml:space="preserve"> не сприяє встановленню додаткових регуляторних бар’єрів щодо здійснення </w:t>
      </w:r>
      <w:r w:rsidR="00027517" w:rsidRPr="00C83F64">
        <w:rPr>
          <w:sz w:val="28"/>
          <w:szCs w:val="28"/>
        </w:rPr>
        <w:t>банківської</w:t>
      </w:r>
      <w:r w:rsidRPr="00C83F64">
        <w:rPr>
          <w:sz w:val="28"/>
          <w:szCs w:val="28"/>
        </w:rPr>
        <w:t xml:space="preserve"> діяльності.</w:t>
      </w:r>
    </w:p>
    <w:p w:rsidR="00F81563" w:rsidRPr="00C83F64" w:rsidRDefault="00F81563" w:rsidP="002E2F2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563" w:rsidRPr="00C83F64" w:rsidRDefault="00F81563" w:rsidP="002E2F2F">
      <w:pPr>
        <w:pStyle w:val="rvps12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rvts15"/>
          <w:sz w:val="28"/>
          <w:szCs w:val="28"/>
        </w:rPr>
      </w:pPr>
      <w:r w:rsidRPr="00C83F64">
        <w:rPr>
          <w:rStyle w:val="rvts15"/>
          <w:b/>
          <w:sz w:val="28"/>
          <w:szCs w:val="28"/>
        </w:rPr>
        <w:t xml:space="preserve">VI. Оцінка виконання вимог регуляторного </w:t>
      </w:r>
      <w:proofErr w:type="spellStart"/>
      <w:r w:rsidRPr="00C83F64">
        <w:rPr>
          <w:rStyle w:val="rvts15"/>
          <w:b/>
          <w:sz w:val="28"/>
          <w:szCs w:val="28"/>
        </w:rPr>
        <w:t>акта</w:t>
      </w:r>
      <w:proofErr w:type="spellEnd"/>
      <w:r w:rsidRPr="00C83F64">
        <w:rPr>
          <w:rStyle w:val="rvts15"/>
          <w:b/>
          <w:sz w:val="28"/>
          <w:szCs w:val="28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F81563" w:rsidRPr="00C83F64" w:rsidRDefault="00F81563" w:rsidP="002E2F2F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F64">
        <w:rPr>
          <w:rFonts w:ascii="Times New Roman" w:hAnsi="Times New Roman" w:cs="Times New Roman"/>
          <w:sz w:val="28"/>
          <w:szCs w:val="28"/>
        </w:rPr>
        <w:t>Реалізація про</w:t>
      </w:r>
      <w:r w:rsidR="008839EE">
        <w:rPr>
          <w:rFonts w:ascii="Times New Roman" w:hAnsi="Times New Roman" w:cs="Times New Roman"/>
          <w:sz w:val="28"/>
          <w:szCs w:val="28"/>
        </w:rPr>
        <w:t>е</w:t>
      </w:r>
      <w:r w:rsidRPr="00C83F64">
        <w:rPr>
          <w:rFonts w:ascii="Times New Roman" w:hAnsi="Times New Roman" w:cs="Times New Roman"/>
          <w:sz w:val="28"/>
          <w:szCs w:val="28"/>
        </w:rPr>
        <w:t>кту наказу не передбачає фінансових ви</w:t>
      </w:r>
      <w:r w:rsidR="00184386" w:rsidRPr="00C83F64">
        <w:rPr>
          <w:rFonts w:ascii="Times New Roman" w:hAnsi="Times New Roman" w:cs="Times New Roman"/>
          <w:sz w:val="28"/>
          <w:szCs w:val="28"/>
        </w:rPr>
        <w:t>трат з боку державних органів та</w:t>
      </w:r>
      <w:r w:rsidRPr="00C83F64">
        <w:rPr>
          <w:rFonts w:ascii="Times New Roman" w:hAnsi="Times New Roman" w:cs="Times New Roman"/>
          <w:sz w:val="28"/>
          <w:szCs w:val="28"/>
        </w:rPr>
        <w:t xml:space="preserve"> відповідно додаткових видатків бюджету.</w:t>
      </w:r>
    </w:p>
    <w:p w:rsidR="00A00304" w:rsidRDefault="00A00304" w:rsidP="002E2F2F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F81563" w:rsidRPr="00C83F64" w:rsidRDefault="00F81563" w:rsidP="002E2F2F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F64">
        <w:rPr>
          <w:rFonts w:ascii="Times New Roman" w:hAnsi="Times New Roman" w:cs="Times New Roman"/>
          <w:sz w:val="28"/>
          <w:szCs w:val="28"/>
        </w:rPr>
        <w:t>М-Тест не проводився у зв’язку з тим, що дія про</w:t>
      </w:r>
      <w:r w:rsidR="008839EE">
        <w:rPr>
          <w:rFonts w:ascii="Times New Roman" w:hAnsi="Times New Roman" w:cs="Times New Roman"/>
          <w:sz w:val="28"/>
          <w:szCs w:val="28"/>
        </w:rPr>
        <w:t>е</w:t>
      </w:r>
      <w:r w:rsidRPr="00C83F64">
        <w:rPr>
          <w:rFonts w:ascii="Times New Roman" w:hAnsi="Times New Roman" w:cs="Times New Roman"/>
          <w:sz w:val="28"/>
          <w:szCs w:val="28"/>
        </w:rPr>
        <w:t>кту</w:t>
      </w:r>
      <w:r w:rsidR="00497478" w:rsidRPr="00C83F64">
        <w:rPr>
          <w:rFonts w:ascii="Times New Roman" w:hAnsi="Times New Roman" w:cs="Times New Roman"/>
          <w:sz w:val="28"/>
          <w:szCs w:val="28"/>
        </w:rPr>
        <w:t xml:space="preserve"> наказу однаково впливає на всі</w:t>
      </w:r>
      <w:r w:rsidRPr="00C83F64">
        <w:rPr>
          <w:rFonts w:ascii="Times New Roman" w:hAnsi="Times New Roman" w:cs="Times New Roman"/>
          <w:sz w:val="28"/>
          <w:szCs w:val="28"/>
        </w:rPr>
        <w:t xml:space="preserve"> </w:t>
      </w:r>
      <w:r w:rsidR="00497478" w:rsidRPr="00C83F64">
        <w:rPr>
          <w:rFonts w:ascii="Times New Roman" w:hAnsi="Times New Roman" w:cs="Times New Roman"/>
          <w:sz w:val="28"/>
          <w:szCs w:val="28"/>
        </w:rPr>
        <w:t>банки</w:t>
      </w:r>
      <w:r w:rsidRPr="00C83F64">
        <w:rPr>
          <w:rFonts w:ascii="Times New Roman" w:hAnsi="Times New Roman" w:cs="Times New Roman"/>
          <w:sz w:val="28"/>
          <w:szCs w:val="28"/>
        </w:rPr>
        <w:t xml:space="preserve"> незалежно від форми власності.</w:t>
      </w:r>
    </w:p>
    <w:p w:rsidR="00F81563" w:rsidRPr="00C83F64" w:rsidRDefault="00F81563" w:rsidP="002E2F2F">
      <w:pPr>
        <w:shd w:val="clear" w:color="auto" w:fill="FFFFFF" w:themeFill="background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81563" w:rsidRPr="00C83F64" w:rsidRDefault="00F81563" w:rsidP="002E2F2F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F64">
        <w:rPr>
          <w:rFonts w:ascii="Times New Roman" w:hAnsi="Times New Roman" w:cs="Times New Roman"/>
          <w:b/>
          <w:sz w:val="28"/>
          <w:szCs w:val="28"/>
        </w:rPr>
        <w:t xml:space="preserve">VII. Обґрунтування запропонованого строку дії регуляторного </w:t>
      </w:r>
      <w:proofErr w:type="spellStart"/>
      <w:r w:rsidRPr="00C83F64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F81563" w:rsidRPr="00C83F64" w:rsidRDefault="00F81563" w:rsidP="002E2F2F">
      <w:pPr>
        <w:pStyle w:val="rvps12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bookmarkStart w:id="0" w:name="n167"/>
      <w:bookmarkStart w:id="1" w:name="n168"/>
      <w:bookmarkEnd w:id="0"/>
      <w:bookmarkEnd w:id="1"/>
      <w:r w:rsidRPr="00C83F64">
        <w:rPr>
          <w:sz w:val="28"/>
          <w:szCs w:val="28"/>
          <w:lang w:eastAsia="ru-RU"/>
        </w:rPr>
        <w:t xml:space="preserve">Термін дії є необмеженим, оскільки </w:t>
      </w:r>
      <w:r w:rsidR="006D3054" w:rsidRPr="00C83F64">
        <w:rPr>
          <w:sz w:val="28"/>
          <w:szCs w:val="28"/>
        </w:rPr>
        <w:t>постанови Кабінету Міністрів України від 25 серпня 1998 року № 1340 «Про Порядок обліку, зберігання, оцінки конфіскованого та іншого майна, що переходить у власність держави, і розпорядження ним» та від 26 грудня 2001 року № 1724 «Про порядок обліку, зберігання, оцінки вилученого митни</w:t>
      </w:r>
      <w:r w:rsidR="00807AF3">
        <w:rPr>
          <w:sz w:val="28"/>
          <w:szCs w:val="28"/>
        </w:rPr>
        <w:t xml:space="preserve">цями </w:t>
      </w:r>
      <w:r w:rsidR="006D3054" w:rsidRPr="00C83F64">
        <w:rPr>
          <w:sz w:val="28"/>
          <w:szCs w:val="28"/>
        </w:rPr>
        <w:t>майна, щодо якого винесено рішення суду про конфіскацію, передачі його органам державної виконавчої служби і розпорядження ним»</w:t>
      </w:r>
      <w:r w:rsidRPr="00C83F64">
        <w:rPr>
          <w:sz w:val="28"/>
          <w:szCs w:val="28"/>
          <w:lang w:eastAsia="ru-RU"/>
        </w:rPr>
        <w:t>, на виконання вимог як</w:t>
      </w:r>
      <w:r w:rsidR="0054044D">
        <w:rPr>
          <w:sz w:val="28"/>
          <w:szCs w:val="28"/>
          <w:lang w:eastAsia="ru-RU"/>
        </w:rPr>
        <w:t>их</w:t>
      </w:r>
      <w:r w:rsidRPr="00C83F64">
        <w:rPr>
          <w:sz w:val="28"/>
          <w:szCs w:val="28"/>
          <w:lang w:eastAsia="ru-RU"/>
        </w:rPr>
        <w:t xml:space="preserve"> розроблено про</w:t>
      </w:r>
      <w:r w:rsidR="002C53B5">
        <w:rPr>
          <w:sz w:val="28"/>
          <w:szCs w:val="28"/>
          <w:lang w:eastAsia="ru-RU"/>
        </w:rPr>
        <w:t>е</w:t>
      </w:r>
      <w:r w:rsidRPr="00C83F64">
        <w:rPr>
          <w:sz w:val="28"/>
          <w:szCs w:val="28"/>
          <w:lang w:eastAsia="ru-RU"/>
        </w:rPr>
        <w:t>кт наказу,</w:t>
      </w:r>
      <w:r w:rsidR="002F1DAF">
        <w:rPr>
          <w:sz w:val="28"/>
          <w:szCs w:val="28"/>
          <w:lang w:eastAsia="ru-RU"/>
        </w:rPr>
        <w:t xml:space="preserve"> мають</w:t>
      </w:r>
      <w:r w:rsidRPr="00C83F64">
        <w:rPr>
          <w:sz w:val="28"/>
          <w:szCs w:val="28"/>
          <w:lang w:eastAsia="ru-RU"/>
        </w:rPr>
        <w:t xml:space="preserve"> необмежен</w:t>
      </w:r>
      <w:bookmarkStart w:id="2" w:name="_GoBack"/>
      <w:bookmarkEnd w:id="2"/>
      <w:r w:rsidRPr="00C83F64">
        <w:rPr>
          <w:sz w:val="28"/>
          <w:szCs w:val="28"/>
          <w:lang w:eastAsia="ru-RU"/>
        </w:rPr>
        <w:t>ий термін дії.</w:t>
      </w:r>
    </w:p>
    <w:p w:rsidR="00F81563" w:rsidRPr="00C83F64" w:rsidRDefault="005271AA" w:rsidP="002E2F2F">
      <w:pPr>
        <w:pStyle w:val="rvps12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C83F64">
        <w:rPr>
          <w:sz w:val="28"/>
          <w:szCs w:val="28"/>
          <w:lang w:eastAsia="ru-RU"/>
        </w:rPr>
        <w:t>Приведення у відповідність та з</w:t>
      </w:r>
      <w:r w:rsidR="00F81563" w:rsidRPr="00C83F64">
        <w:rPr>
          <w:sz w:val="28"/>
          <w:szCs w:val="28"/>
          <w:lang w:eastAsia="ru-RU"/>
        </w:rPr>
        <w:t xml:space="preserve">міна терміну дії </w:t>
      </w:r>
      <w:proofErr w:type="spellStart"/>
      <w:r w:rsidR="00F81563" w:rsidRPr="00C83F64">
        <w:rPr>
          <w:sz w:val="28"/>
          <w:szCs w:val="28"/>
          <w:lang w:eastAsia="ru-RU"/>
        </w:rPr>
        <w:t>акт</w:t>
      </w:r>
      <w:r w:rsidR="0054044D">
        <w:rPr>
          <w:sz w:val="28"/>
          <w:szCs w:val="28"/>
          <w:lang w:eastAsia="ru-RU"/>
        </w:rPr>
        <w:t>а</w:t>
      </w:r>
      <w:proofErr w:type="spellEnd"/>
      <w:r w:rsidR="00F81563" w:rsidRPr="00C83F64">
        <w:rPr>
          <w:sz w:val="28"/>
          <w:szCs w:val="28"/>
          <w:lang w:eastAsia="ru-RU"/>
        </w:rPr>
        <w:t xml:space="preserve"> можлив</w:t>
      </w:r>
      <w:r w:rsidR="0054044D">
        <w:rPr>
          <w:sz w:val="28"/>
          <w:szCs w:val="28"/>
          <w:lang w:eastAsia="ru-RU"/>
        </w:rPr>
        <w:t>і</w:t>
      </w:r>
      <w:r w:rsidR="00F81563" w:rsidRPr="00C83F64">
        <w:rPr>
          <w:sz w:val="28"/>
          <w:szCs w:val="28"/>
          <w:lang w:eastAsia="ru-RU"/>
        </w:rPr>
        <w:t xml:space="preserve"> </w:t>
      </w:r>
      <w:r w:rsidR="002F1DAF">
        <w:rPr>
          <w:sz w:val="28"/>
          <w:szCs w:val="28"/>
          <w:lang w:eastAsia="ru-RU"/>
        </w:rPr>
        <w:t>у</w:t>
      </w:r>
      <w:r w:rsidR="00F81563" w:rsidRPr="00C83F64">
        <w:rPr>
          <w:sz w:val="28"/>
          <w:szCs w:val="28"/>
          <w:lang w:eastAsia="ru-RU"/>
        </w:rPr>
        <w:t xml:space="preserve"> разі зміни правових актів, на виконання вимог яких базується про</w:t>
      </w:r>
      <w:r w:rsidR="008839EE">
        <w:rPr>
          <w:sz w:val="28"/>
          <w:szCs w:val="28"/>
          <w:lang w:eastAsia="ru-RU"/>
        </w:rPr>
        <w:t>е</w:t>
      </w:r>
      <w:r w:rsidR="00F81563" w:rsidRPr="00C83F64">
        <w:rPr>
          <w:sz w:val="28"/>
          <w:szCs w:val="28"/>
          <w:lang w:eastAsia="ru-RU"/>
        </w:rPr>
        <w:t>кт.</w:t>
      </w:r>
    </w:p>
    <w:p w:rsidR="00D05249" w:rsidRPr="00C83F64" w:rsidRDefault="00F81563" w:rsidP="002E2F2F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3F64">
        <w:rPr>
          <w:sz w:val="28"/>
          <w:szCs w:val="28"/>
          <w:lang w:eastAsia="ru-RU"/>
        </w:rPr>
        <w:t>Термін набрання чинності регуляторним актом –</w:t>
      </w:r>
      <w:r w:rsidR="007177D7" w:rsidRPr="00C83F64">
        <w:rPr>
          <w:sz w:val="28"/>
          <w:szCs w:val="28"/>
          <w:lang w:eastAsia="ru-RU"/>
        </w:rPr>
        <w:t xml:space="preserve"> </w:t>
      </w:r>
      <w:r w:rsidR="00D05249" w:rsidRPr="00C83F64">
        <w:rPr>
          <w:sz w:val="28"/>
          <w:szCs w:val="28"/>
        </w:rPr>
        <w:t>через десять днів з дня його офіційного опублікування.</w:t>
      </w:r>
    </w:p>
    <w:p w:rsidR="005271AA" w:rsidRPr="00C83F64" w:rsidRDefault="005271AA" w:rsidP="002E2F2F">
      <w:pPr>
        <w:pStyle w:val="rvps12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rvts15"/>
          <w:b/>
          <w:sz w:val="28"/>
          <w:szCs w:val="28"/>
        </w:rPr>
      </w:pPr>
    </w:p>
    <w:p w:rsidR="00F81563" w:rsidRPr="00C83F64" w:rsidRDefault="00F81563" w:rsidP="002E2F2F">
      <w:pPr>
        <w:pStyle w:val="rvps12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rStyle w:val="rvts15"/>
          <w:b/>
          <w:sz w:val="28"/>
          <w:szCs w:val="28"/>
        </w:rPr>
      </w:pPr>
      <w:r w:rsidRPr="00C83F64">
        <w:rPr>
          <w:rStyle w:val="rvts15"/>
          <w:b/>
          <w:sz w:val="28"/>
          <w:szCs w:val="28"/>
        </w:rPr>
        <w:t xml:space="preserve">VIII. Визначення показників результативності дії регуляторного </w:t>
      </w:r>
      <w:proofErr w:type="spellStart"/>
      <w:r w:rsidRPr="00C83F64">
        <w:rPr>
          <w:rStyle w:val="rvts15"/>
          <w:b/>
          <w:sz w:val="28"/>
          <w:szCs w:val="28"/>
        </w:rPr>
        <w:t>акта</w:t>
      </w:r>
      <w:proofErr w:type="spellEnd"/>
    </w:p>
    <w:p w:rsidR="00F81563" w:rsidRPr="00C83F64" w:rsidRDefault="00D95FDC" w:rsidP="002E2F2F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Прогнозними значеннями показників результативності запровадження регуляторного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огляду на його цілі слугуватимуть:</w:t>
      </w:r>
    </w:p>
    <w:p w:rsidR="00D95FDC" w:rsidRPr="00D95FDC" w:rsidRDefault="00D95FDC" w:rsidP="002E2F2F">
      <w:pPr>
        <w:pStyle w:val="rvps12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5FDC">
        <w:rPr>
          <w:sz w:val="28"/>
          <w:szCs w:val="28"/>
        </w:rPr>
        <w:t xml:space="preserve">розмір надходжень до державного та місцевих бюджетів і державних цільових фондів, </w:t>
      </w:r>
      <w:r w:rsidR="00557380" w:rsidRPr="00D95FDC">
        <w:rPr>
          <w:sz w:val="28"/>
          <w:szCs w:val="28"/>
        </w:rPr>
        <w:t>пов</w:t>
      </w:r>
      <w:r w:rsidR="00557380">
        <w:rPr>
          <w:sz w:val="28"/>
          <w:szCs w:val="28"/>
        </w:rPr>
        <w:t>’</w:t>
      </w:r>
      <w:r w:rsidR="00557380" w:rsidRPr="00D95FDC">
        <w:rPr>
          <w:sz w:val="28"/>
          <w:szCs w:val="28"/>
        </w:rPr>
        <w:t>язаних</w:t>
      </w:r>
      <w:r w:rsidRPr="00D95FDC">
        <w:rPr>
          <w:sz w:val="28"/>
          <w:szCs w:val="28"/>
        </w:rPr>
        <w:t xml:space="preserve"> з дією </w:t>
      </w:r>
      <w:proofErr w:type="spellStart"/>
      <w:r w:rsidRPr="00D95FDC">
        <w:rPr>
          <w:sz w:val="28"/>
          <w:szCs w:val="28"/>
        </w:rPr>
        <w:t>акта</w:t>
      </w:r>
      <w:proofErr w:type="spellEnd"/>
      <w:r w:rsidRPr="00D95FDC">
        <w:rPr>
          <w:sz w:val="28"/>
          <w:szCs w:val="28"/>
        </w:rPr>
        <w:t>;</w:t>
      </w:r>
    </w:p>
    <w:p w:rsidR="00D95FDC" w:rsidRPr="00E073A5" w:rsidRDefault="00D95FDC" w:rsidP="002E2F2F">
      <w:pPr>
        <w:pStyle w:val="rvps12"/>
        <w:shd w:val="clear" w:color="auto" w:fill="FFFFFF" w:themeFill="background1"/>
        <w:spacing w:before="0" w:beforeAutospacing="0" w:after="0" w:afterAutospacing="0"/>
        <w:ind w:firstLine="567"/>
        <w:jc w:val="both"/>
        <w:rPr>
          <w:spacing w:val="-4"/>
          <w:sz w:val="28"/>
          <w:szCs w:val="28"/>
        </w:rPr>
      </w:pPr>
      <w:r w:rsidRPr="00E073A5">
        <w:rPr>
          <w:spacing w:val="-4"/>
          <w:sz w:val="28"/>
          <w:szCs w:val="28"/>
        </w:rPr>
        <w:t xml:space="preserve">кількість </w:t>
      </w:r>
      <w:r w:rsidR="00557380" w:rsidRPr="00E073A5">
        <w:rPr>
          <w:spacing w:val="-4"/>
          <w:sz w:val="28"/>
          <w:szCs w:val="28"/>
        </w:rPr>
        <w:t>суб’єктів</w:t>
      </w:r>
      <w:r w:rsidRPr="00E073A5">
        <w:rPr>
          <w:spacing w:val="-4"/>
          <w:sz w:val="28"/>
          <w:szCs w:val="28"/>
        </w:rPr>
        <w:t xml:space="preserve"> господарювання, на яких поширюватиметься дія регуляторного </w:t>
      </w:r>
      <w:proofErr w:type="spellStart"/>
      <w:r w:rsidRPr="00E073A5">
        <w:rPr>
          <w:spacing w:val="-4"/>
          <w:sz w:val="28"/>
          <w:szCs w:val="28"/>
        </w:rPr>
        <w:t>акта</w:t>
      </w:r>
      <w:proofErr w:type="spellEnd"/>
      <w:r w:rsidRPr="00E073A5">
        <w:rPr>
          <w:spacing w:val="-4"/>
          <w:sz w:val="28"/>
          <w:szCs w:val="28"/>
        </w:rPr>
        <w:t xml:space="preserve">; </w:t>
      </w:r>
    </w:p>
    <w:p w:rsidR="00D95FDC" w:rsidRPr="00D95FDC" w:rsidRDefault="00D95FDC" w:rsidP="002E2F2F">
      <w:pPr>
        <w:pStyle w:val="rvps12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5FDC">
        <w:rPr>
          <w:sz w:val="28"/>
          <w:szCs w:val="28"/>
        </w:rPr>
        <w:t>час, що витрачатим</w:t>
      </w:r>
      <w:r>
        <w:rPr>
          <w:sz w:val="28"/>
          <w:szCs w:val="28"/>
        </w:rPr>
        <w:t>е</w:t>
      </w:r>
      <w:r w:rsidRPr="00D95FDC">
        <w:rPr>
          <w:sz w:val="28"/>
          <w:szCs w:val="28"/>
        </w:rPr>
        <w:t xml:space="preserve">ться </w:t>
      </w:r>
      <w:r w:rsidR="00557380" w:rsidRPr="00D95FDC">
        <w:rPr>
          <w:sz w:val="28"/>
          <w:szCs w:val="28"/>
        </w:rPr>
        <w:t>суб’єктами</w:t>
      </w:r>
      <w:r w:rsidRPr="00D95FDC">
        <w:rPr>
          <w:sz w:val="28"/>
          <w:szCs w:val="28"/>
        </w:rPr>
        <w:t xml:space="preserve"> господарювання, </w:t>
      </w:r>
      <w:r w:rsidR="00557380" w:rsidRPr="00D95FDC">
        <w:rPr>
          <w:sz w:val="28"/>
          <w:szCs w:val="28"/>
        </w:rPr>
        <w:t>пов’яза</w:t>
      </w:r>
      <w:r w:rsidR="00557380">
        <w:rPr>
          <w:sz w:val="28"/>
          <w:szCs w:val="28"/>
        </w:rPr>
        <w:t>ний</w:t>
      </w:r>
      <w:r w:rsidRPr="00D95FDC">
        <w:rPr>
          <w:sz w:val="28"/>
          <w:szCs w:val="28"/>
        </w:rPr>
        <w:t xml:space="preserve"> з виконанням вимог </w:t>
      </w:r>
      <w:proofErr w:type="spellStart"/>
      <w:r w:rsidRPr="00D95FDC">
        <w:rPr>
          <w:sz w:val="28"/>
          <w:szCs w:val="28"/>
        </w:rPr>
        <w:t>акта</w:t>
      </w:r>
      <w:proofErr w:type="spellEnd"/>
      <w:r w:rsidRPr="00D95FDC">
        <w:rPr>
          <w:sz w:val="28"/>
          <w:szCs w:val="28"/>
        </w:rPr>
        <w:t xml:space="preserve">; </w:t>
      </w:r>
    </w:p>
    <w:p w:rsidR="00942A9D" w:rsidRDefault="001D4C8F" w:rsidP="002E2F2F">
      <w:pPr>
        <w:pStyle w:val="rvps12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розмір надходжень до державного бюджету</w:t>
      </w:r>
      <w:r w:rsidR="00B26449">
        <w:rPr>
          <w:sz w:val="28"/>
          <w:szCs w:val="28"/>
        </w:rPr>
        <w:t xml:space="preserve"> з реалізації </w:t>
      </w:r>
      <w:r w:rsidR="00BE2251" w:rsidRPr="006605E6">
        <w:rPr>
          <w:color w:val="000000" w:themeColor="text1"/>
          <w:sz w:val="28"/>
          <w:szCs w:val="28"/>
        </w:rPr>
        <w:t>валют</w:t>
      </w:r>
      <w:r w:rsidR="00BE2251">
        <w:rPr>
          <w:color w:val="000000" w:themeColor="text1"/>
          <w:sz w:val="28"/>
          <w:szCs w:val="28"/>
        </w:rPr>
        <w:t>и</w:t>
      </w:r>
      <w:r w:rsidR="00BE2251" w:rsidRPr="006605E6">
        <w:rPr>
          <w:color w:val="000000" w:themeColor="text1"/>
          <w:sz w:val="28"/>
          <w:szCs w:val="28"/>
        </w:rPr>
        <w:t xml:space="preserve"> другої та третьої груп</w:t>
      </w:r>
      <w:r w:rsidR="00BE2251" w:rsidRPr="00BE2251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BE2251" w:rsidRPr="001627FF">
        <w:rPr>
          <w:color w:val="000000" w:themeColor="text1"/>
          <w:sz w:val="28"/>
          <w:szCs w:val="28"/>
          <w:shd w:val="clear" w:color="auto" w:fill="FFFFFF" w:themeFill="background1"/>
        </w:rPr>
        <w:t>за Класифікатором іноземних валют та банківських металів, затвердженим постановою Правління Національного банку України від</w:t>
      </w:r>
      <w:r w:rsidR="002604D8">
        <w:rPr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BE2251" w:rsidRPr="001627FF">
        <w:rPr>
          <w:color w:val="000000" w:themeColor="text1"/>
          <w:sz w:val="28"/>
          <w:szCs w:val="28"/>
          <w:shd w:val="clear" w:color="auto" w:fill="FFFFFF" w:themeFill="background1"/>
        </w:rPr>
        <w:t>04</w:t>
      </w:r>
      <w:r w:rsidR="002604D8">
        <w:rPr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BE2251" w:rsidRPr="001627FF">
        <w:rPr>
          <w:color w:val="000000" w:themeColor="text1"/>
          <w:sz w:val="28"/>
          <w:szCs w:val="28"/>
          <w:shd w:val="clear" w:color="auto" w:fill="FFFFFF" w:themeFill="background1"/>
        </w:rPr>
        <w:t>лютого 1998 року №</w:t>
      </w:r>
      <w:r w:rsidR="00BE2251" w:rsidRPr="001A31B4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BE2251" w:rsidRPr="001627FF">
        <w:rPr>
          <w:color w:val="000000" w:themeColor="text1"/>
          <w:sz w:val="28"/>
          <w:szCs w:val="28"/>
          <w:shd w:val="clear" w:color="auto" w:fill="FFFFFF" w:themeFill="background1"/>
        </w:rPr>
        <w:t>34</w:t>
      </w:r>
      <w:r w:rsidR="00BE2251" w:rsidRPr="001A31B4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BE2251" w:rsidRPr="001627FF">
        <w:rPr>
          <w:color w:val="000000" w:themeColor="text1"/>
          <w:sz w:val="28"/>
          <w:szCs w:val="28"/>
          <w:shd w:val="clear" w:color="auto" w:fill="FFFFFF" w:themeFill="background1"/>
        </w:rPr>
        <w:t>(зі змінами)</w:t>
      </w:r>
      <w:r w:rsidR="00C83B03">
        <w:rPr>
          <w:color w:val="000000" w:themeColor="text1"/>
          <w:sz w:val="28"/>
          <w:szCs w:val="28"/>
          <w:shd w:val="clear" w:color="auto" w:fill="FFFFFF" w:themeFill="background1"/>
        </w:rPr>
        <w:t xml:space="preserve"> (далі – Класифікатор)</w:t>
      </w:r>
      <w:r>
        <w:rPr>
          <w:sz w:val="28"/>
          <w:szCs w:val="28"/>
        </w:rPr>
        <w:t>;</w:t>
      </w:r>
    </w:p>
    <w:p w:rsidR="001D4C8F" w:rsidRDefault="001D4C8F" w:rsidP="002E2F2F">
      <w:pPr>
        <w:pStyle w:val="rvps12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кількість </w:t>
      </w:r>
      <w:r w:rsidR="001A31B4" w:rsidRPr="00C83F64">
        <w:rPr>
          <w:sz w:val="28"/>
          <w:szCs w:val="28"/>
        </w:rPr>
        <w:t>вилучен</w:t>
      </w:r>
      <w:r w:rsidR="001A31B4">
        <w:rPr>
          <w:sz w:val="28"/>
          <w:szCs w:val="28"/>
        </w:rPr>
        <w:t>их</w:t>
      </w:r>
      <w:r w:rsidR="001A31B4" w:rsidRPr="00C83F64">
        <w:rPr>
          <w:sz w:val="28"/>
          <w:szCs w:val="28"/>
        </w:rPr>
        <w:t xml:space="preserve"> з обігу іноземни</w:t>
      </w:r>
      <w:r w:rsidR="001A31B4">
        <w:rPr>
          <w:sz w:val="28"/>
          <w:szCs w:val="28"/>
        </w:rPr>
        <w:t>х</w:t>
      </w:r>
      <w:r w:rsidR="001A31B4" w:rsidRPr="00C83F64">
        <w:rPr>
          <w:sz w:val="28"/>
          <w:szCs w:val="28"/>
        </w:rPr>
        <w:t xml:space="preserve"> банкнот та монет першої, другої, третьої груп за Класифікатором, що не підлягають обміну в країні-емітенті, платіжни</w:t>
      </w:r>
      <w:r w:rsidR="001A31B4">
        <w:rPr>
          <w:sz w:val="28"/>
          <w:szCs w:val="28"/>
        </w:rPr>
        <w:t xml:space="preserve">х карток, </w:t>
      </w:r>
      <w:proofErr w:type="spellStart"/>
      <w:r w:rsidR="001A31B4">
        <w:rPr>
          <w:sz w:val="28"/>
          <w:szCs w:val="28"/>
        </w:rPr>
        <w:t>чеків</w:t>
      </w:r>
      <w:proofErr w:type="spellEnd"/>
      <w:r w:rsidR="001A31B4" w:rsidRPr="00C83F64">
        <w:rPr>
          <w:sz w:val="28"/>
          <w:szCs w:val="28"/>
        </w:rPr>
        <w:t>, які виражені як в іноземній валюті, так і в гривнях, що не можуть бути пред’явлені уповноваженими банками до сплати на інкасо</w:t>
      </w:r>
      <w:r w:rsidR="001A31B4">
        <w:rPr>
          <w:sz w:val="28"/>
          <w:szCs w:val="28"/>
        </w:rPr>
        <w:t>, якими здійсн</w:t>
      </w:r>
      <w:r w:rsidR="00105357">
        <w:rPr>
          <w:sz w:val="28"/>
          <w:szCs w:val="28"/>
        </w:rPr>
        <w:t>ено</w:t>
      </w:r>
      <w:r w:rsidR="001A31B4">
        <w:rPr>
          <w:sz w:val="28"/>
          <w:szCs w:val="28"/>
        </w:rPr>
        <w:t xml:space="preserve"> </w:t>
      </w:r>
      <w:r w:rsidR="00C83B03">
        <w:rPr>
          <w:sz w:val="28"/>
          <w:szCs w:val="28"/>
        </w:rPr>
        <w:t>розпорядження</w:t>
      </w:r>
      <w:r w:rsidR="001A31B4">
        <w:rPr>
          <w:sz w:val="28"/>
          <w:szCs w:val="28"/>
        </w:rPr>
        <w:t xml:space="preserve"> розпорядник</w:t>
      </w:r>
      <w:r w:rsidR="00105357">
        <w:rPr>
          <w:sz w:val="28"/>
          <w:szCs w:val="28"/>
        </w:rPr>
        <w:t>ами</w:t>
      </w:r>
      <w:r w:rsidR="001A31B4">
        <w:rPr>
          <w:sz w:val="28"/>
          <w:szCs w:val="28"/>
        </w:rPr>
        <w:t xml:space="preserve"> валютних цінностей;</w:t>
      </w:r>
    </w:p>
    <w:p w:rsidR="00D95FDC" w:rsidRDefault="00D95FDC" w:rsidP="002E2F2F">
      <w:pPr>
        <w:pStyle w:val="rvps12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5FDC">
        <w:rPr>
          <w:sz w:val="28"/>
          <w:szCs w:val="28"/>
        </w:rPr>
        <w:t xml:space="preserve">рівень поінформованості </w:t>
      </w:r>
      <w:r w:rsidR="00557380" w:rsidRPr="00D95FDC">
        <w:rPr>
          <w:sz w:val="28"/>
          <w:szCs w:val="28"/>
        </w:rPr>
        <w:t>суб’єктів</w:t>
      </w:r>
      <w:r w:rsidRPr="00D95FDC">
        <w:rPr>
          <w:sz w:val="28"/>
          <w:szCs w:val="28"/>
        </w:rPr>
        <w:t xml:space="preserve"> господарювання з основних положень </w:t>
      </w:r>
      <w:r w:rsidR="00942A9D">
        <w:rPr>
          <w:sz w:val="28"/>
          <w:szCs w:val="28"/>
        </w:rPr>
        <w:t xml:space="preserve">регуляторного </w:t>
      </w:r>
      <w:proofErr w:type="spellStart"/>
      <w:r w:rsidRPr="00D95FDC">
        <w:rPr>
          <w:sz w:val="28"/>
          <w:szCs w:val="28"/>
        </w:rPr>
        <w:t>акта</w:t>
      </w:r>
      <w:proofErr w:type="spellEnd"/>
      <w:r w:rsidR="00D028E4">
        <w:rPr>
          <w:sz w:val="28"/>
          <w:szCs w:val="28"/>
        </w:rPr>
        <w:t xml:space="preserve"> </w:t>
      </w:r>
      <w:r w:rsidR="00D028E4" w:rsidRPr="00C83F64">
        <w:rPr>
          <w:sz w:val="28"/>
          <w:szCs w:val="28"/>
          <w:lang w:eastAsia="ru-RU"/>
        </w:rPr>
        <w:t>–</w:t>
      </w:r>
      <w:r w:rsidR="00D028E4">
        <w:rPr>
          <w:sz w:val="28"/>
          <w:szCs w:val="28"/>
        </w:rPr>
        <w:t xml:space="preserve"> високий</w:t>
      </w:r>
      <w:r w:rsidRPr="00D95FDC">
        <w:rPr>
          <w:sz w:val="28"/>
          <w:szCs w:val="28"/>
        </w:rPr>
        <w:t>.</w:t>
      </w:r>
      <w:r w:rsidR="00463B15">
        <w:rPr>
          <w:sz w:val="28"/>
          <w:szCs w:val="28"/>
        </w:rPr>
        <w:t xml:space="preserve"> Про</w:t>
      </w:r>
      <w:r w:rsidR="002C53B5">
        <w:rPr>
          <w:sz w:val="28"/>
          <w:szCs w:val="28"/>
        </w:rPr>
        <w:t>е</w:t>
      </w:r>
      <w:r w:rsidR="00463B15">
        <w:rPr>
          <w:sz w:val="28"/>
          <w:szCs w:val="28"/>
        </w:rPr>
        <w:t xml:space="preserve">кт </w:t>
      </w:r>
      <w:proofErr w:type="spellStart"/>
      <w:r w:rsidR="00463B15">
        <w:rPr>
          <w:sz w:val="28"/>
          <w:szCs w:val="28"/>
        </w:rPr>
        <w:t>акта</w:t>
      </w:r>
      <w:proofErr w:type="spellEnd"/>
      <w:r w:rsidR="00463B15">
        <w:rPr>
          <w:sz w:val="28"/>
          <w:szCs w:val="28"/>
        </w:rPr>
        <w:t xml:space="preserve"> буд</w:t>
      </w:r>
      <w:r w:rsidR="00EB60E2">
        <w:rPr>
          <w:sz w:val="28"/>
          <w:szCs w:val="28"/>
        </w:rPr>
        <w:t xml:space="preserve">е оприлюднено на офіційному </w:t>
      </w:r>
      <w:proofErr w:type="spellStart"/>
      <w:r w:rsidR="00EB60E2">
        <w:rPr>
          <w:sz w:val="28"/>
          <w:szCs w:val="28"/>
        </w:rPr>
        <w:t>вебсайті</w:t>
      </w:r>
      <w:proofErr w:type="spellEnd"/>
      <w:r w:rsidR="00463B15">
        <w:rPr>
          <w:sz w:val="28"/>
          <w:szCs w:val="28"/>
        </w:rPr>
        <w:t xml:space="preserve"> Міністерства фінансів України.</w:t>
      </w:r>
    </w:p>
    <w:p w:rsidR="00D95FDC" w:rsidRDefault="00D95FDC" w:rsidP="002E2F2F">
      <w:pPr>
        <w:pStyle w:val="rvps12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674F2" w:rsidRPr="00C83F64" w:rsidRDefault="00F674F2" w:rsidP="002E2F2F">
      <w:pPr>
        <w:pStyle w:val="rvps12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rvts15"/>
          <w:b/>
          <w:sz w:val="28"/>
          <w:szCs w:val="28"/>
        </w:rPr>
      </w:pPr>
      <w:r w:rsidRPr="00C83F64">
        <w:rPr>
          <w:rStyle w:val="rvts15"/>
          <w:b/>
          <w:sz w:val="28"/>
          <w:szCs w:val="28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C83F64">
        <w:rPr>
          <w:rStyle w:val="rvts15"/>
          <w:b/>
          <w:sz w:val="28"/>
          <w:szCs w:val="28"/>
        </w:rPr>
        <w:t>акта</w:t>
      </w:r>
      <w:proofErr w:type="spellEnd"/>
    </w:p>
    <w:p w:rsidR="00441EA5" w:rsidRPr="00C83F64" w:rsidRDefault="00441EA5" w:rsidP="002E2F2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F64">
        <w:rPr>
          <w:rFonts w:ascii="Times New Roman" w:hAnsi="Times New Roman" w:cs="Times New Roman"/>
          <w:bCs/>
          <w:iCs/>
          <w:sz w:val="28"/>
          <w:szCs w:val="28"/>
        </w:rPr>
        <w:t xml:space="preserve">Відстеження результативності дії регуляторного </w:t>
      </w:r>
      <w:proofErr w:type="spellStart"/>
      <w:r w:rsidRPr="00C83F64">
        <w:rPr>
          <w:rFonts w:ascii="Times New Roman" w:hAnsi="Times New Roman" w:cs="Times New Roman"/>
          <w:bCs/>
          <w:iCs/>
          <w:sz w:val="28"/>
          <w:szCs w:val="28"/>
        </w:rPr>
        <w:t>акта</w:t>
      </w:r>
      <w:proofErr w:type="spellEnd"/>
      <w:r w:rsidRPr="00C83F64">
        <w:rPr>
          <w:rFonts w:ascii="Times New Roman" w:hAnsi="Times New Roman" w:cs="Times New Roman"/>
          <w:bCs/>
          <w:iCs/>
          <w:sz w:val="28"/>
          <w:szCs w:val="28"/>
        </w:rPr>
        <w:t xml:space="preserve"> буде проводитись статистичним методом шляхом аналізу </w:t>
      </w:r>
      <w:r w:rsidRPr="00C83F64">
        <w:rPr>
          <w:rFonts w:ascii="Times New Roman" w:hAnsi="Times New Roman" w:cs="Times New Roman"/>
          <w:sz w:val="28"/>
          <w:szCs w:val="28"/>
        </w:rPr>
        <w:t xml:space="preserve">інформації </w:t>
      </w:r>
      <w:r w:rsidR="00222342" w:rsidRPr="00C83F64">
        <w:rPr>
          <w:rFonts w:ascii="Times New Roman" w:hAnsi="Times New Roman" w:cs="Times New Roman"/>
          <w:sz w:val="28"/>
          <w:szCs w:val="28"/>
        </w:rPr>
        <w:t>митних органів</w:t>
      </w:r>
      <w:r w:rsidRPr="00C83F64">
        <w:rPr>
          <w:rFonts w:ascii="Times New Roman" w:hAnsi="Times New Roman" w:cs="Times New Roman"/>
          <w:sz w:val="28"/>
          <w:szCs w:val="28"/>
        </w:rPr>
        <w:t xml:space="preserve"> з порушеного питання.</w:t>
      </w:r>
    </w:p>
    <w:p w:rsidR="00441EA5" w:rsidRPr="00C83F64" w:rsidRDefault="00441EA5" w:rsidP="002E2F2F">
      <w:pPr>
        <w:spacing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83F64">
        <w:rPr>
          <w:rFonts w:ascii="Times New Roman" w:hAnsi="Times New Roman" w:cs="Times New Roman"/>
          <w:spacing w:val="-2"/>
          <w:sz w:val="28"/>
          <w:szCs w:val="28"/>
        </w:rPr>
        <w:t xml:space="preserve">Базове відстеження результативності регуляторного </w:t>
      </w:r>
      <w:proofErr w:type="spellStart"/>
      <w:r w:rsidRPr="00C83F64">
        <w:rPr>
          <w:rFonts w:ascii="Times New Roman" w:hAnsi="Times New Roman" w:cs="Times New Roman"/>
          <w:spacing w:val="-2"/>
          <w:sz w:val="28"/>
          <w:szCs w:val="28"/>
        </w:rPr>
        <w:t>акта</w:t>
      </w:r>
      <w:proofErr w:type="spellEnd"/>
      <w:r w:rsidRPr="00C83F64">
        <w:rPr>
          <w:rFonts w:ascii="Times New Roman" w:hAnsi="Times New Roman" w:cs="Times New Roman"/>
          <w:spacing w:val="-2"/>
          <w:sz w:val="28"/>
          <w:szCs w:val="28"/>
        </w:rPr>
        <w:t xml:space="preserve"> здійснюватиметься протягом року з дня його оприлюднення.</w:t>
      </w:r>
    </w:p>
    <w:p w:rsidR="00441EA5" w:rsidRPr="003D22F6" w:rsidRDefault="00441EA5" w:rsidP="002E2F2F">
      <w:pPr>
        <w:spacing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D22F6">
        <w:rPr>
          <w:rFonts w:ascii="Times New Roman" w:hAnsi="Times New Roman" w:cs="Times New Roman"/>
          <w:spacing w:val="-10"/>
          <w:sz w:val="28"/>
          <w:szCs w:val="28"/>
        </w:rPr>
        <w:t xml:space="preserve">Повторне відстеження результативності буде здійснено </w:t>
      </w:r>
      <w:r w:rsidRPr="003D22F6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не пізніше ніж через два роки </w:t>
      </w:r>
      <w:r w:rsidRPr="003D22F6">
        <w:rPr>
          <w:rFonts w:ascii="Times New Roman" w:hAnsi="Times New Roman" w:cs="Times New Roman"/>
          <w:spacing w:val="-10"/>
          <w:sz w:val="28"/>
          <w:szCs w:val="28"/>
        </w:rPr>
        <w:t>після набрання чинності регуляторним актом. За результатами повторного відстеження відбудеться порівняння показників базового та повторного відстеження.</w:t>
      </w:r>
    </w:p>
    <w:p w:rsidR="00441EA5" w:rsidRDefault="00441EA5" w:rsidP="002E2F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F64">
        <w:rPr>
          <w:rFonts w:ascii="Times New Roman" w:hAnsi="Times New Roman" w:cs="Times New Roman"/>
          <w:sz w:val="28"/>
          <w:szCs w:val="28"/>
        </w:rPr>
        <w:t xml:space="preserve">Періодичне відстеження результативності регуляторного </w:t>
      </w:r>
      <w:proofErr w:type="spellStart"/>
      <w:r w:rsidRPr="00C83F64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C83F64">
        <w:rPr>
          <w:rFonts w:ascii="Times New Roman" w:hAnsi="Times New Roman" w:cs="Times New Roman"/>
          <w:sz w:val="28"/>
          <w:szCs w:val="28"/>
        </w:rPr>
        <w:t xml:space="preserve"> буде проводитися кожні три роки після проведення повторного відстеження.</w:t>
      </w:r>
    </w:p>
    <w:p w:rsidR="00DE66E3" w:rsidRPr="00C83F64" w:rsidRDefault="00856298" w:rsidP="002E2F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заходів з відстеження </w:t>
      </w:r>
      <w:r w:rsidR="00DE66E3">
        <w:rPr>
          <w:rFonts w:ascii="Times New Roman" w:hAnsi="Times New Roman" w:cs="Times New Roman"/>
          <w:sz w:val="28"/>
          <w:szCs w:val="28"/>
        </w:rPr>
        <w:t xml:space="preserve"> результативності регуляторного </w:t>
      </w:r>
      <w:proofErr w:type="spellStart"/>
      <w:r w:rsidR="00DE66E3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DE6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є </w:t>
      </w:r>
      <w:r w:rsidR="00DE66E3">
        <w:rPr>
          <w:rFonts w:ascii="Times New Roman" w:hAnsi="Times New Roman" w:cs="Times New Roman"/>
          <w:sz w:val="28"/>
          <w:szCs w:val="28"/>
        </w:rPr>
        <w:t xml:space="preserve"> Міністерство фінансів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181" w:rsidRDefault="00FD7181" w:rsidP="002E2F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06AB" w:rsidRPr="00C83F64" w:rsidRDefault="000F06AB" w:rsidP="002E2F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6583" w:rsidRPr="00C83F64" w:rsidRDefault="002C53B5" w:rsidP="002C53B5">
      <w:pPr>
        <w:shd w:val="clear" w:color="auto" w:fill="FFFFFF" w:themeFill="background1"/>
        <w:tabs>
          <w:tab w:val="right" w:pos="9639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Міністр</w:t>
      </w:r>
      <w:r>
        <w:rPr>
          <w:rFonts w:ascii="Times New Roman" w:hAnsi="Times New Roman" w:cs="Times New Roman"/>
          <w:b/>
          <w:sz w:val="28"/>
          <w:szCs w:val="28"/>
        </w:rPr>
        <w:tab/>
        <w:t>Сергій МАРЧЕНКО</w:t>
      </w:r>
    </w:p>
    <w:sectPr w:rsidR="004F6583" w:rsidRPr="00C83F64" w:rsidSect="00CC62F7">
      <w:headerReference w:type="default" r:id="rId8"/>
      <w:headerReference w:type="first" r:id="rId9"/>
      <w:pgSz w:w="11909" w:h="16834"/>
      <w:pgMar w:top="1134" w:right="567" w:bottom="1134" w:left="1701" w:header="255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93D" w:rsidRDefault="004E593D" w:rsidP="0005782A">
      <w:pPr>
        <w:spacing w:line="240" w:lineRule="auto"/>
      </w:pPr>
      <w:r>
        <w:separator/>
      </w:r>
    </w:p>
  </w:endnote>
  <w:endnote w:type="continuationSeparator" w:id="0">
    <w:p w:rsidR="004E593D" w:rsidRDefault="004E593D" w:rsidP="00057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93D" w:rsidRDefault="004E593D" w:rsidP="0005782A">
      <w:pPr>
        <w:spacing w:line="240" w:lineRule="auto"/>
      </w:pPr>
      <w:r>
        <w:separator/>
      </w:r>
    </w:p>
  </w:footnote>
  <w:footnote w:type="continuationSeparator" w:id="0">
    <w:p w:rsidR="004E593D" w:rsidRDefault="004E593D" w:rsidP="000578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31914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4"/>
      </w:rPr>
    </w:sdtEndPr>
    <w:sdtContent>
      <w:p w:rsidR="00222342" w:rsidRDefault="00222342">
        <w:pPr>
          <w:pStyle w:val="af"/>
          <w:jc w:val="center"/>
        </w:pPr>
      </w:p>
      <w:p w:rsidR="00222342" w:rsidRPr="00893768" w:rsidRDefault="005A5506">
        <w:pPr>
          <w:pStyle w:val="af"/>
          <w:jc w:val="center"/>
          <w:rPr>
            <w:rFonts w:ascii="Times New Roman" w:hAnsi="Times New Roman" w:cs="Times New Roman"/>
            <w:sz w:val="20"/>
            <w:szCs w:val="24"/>
          </w:rPr>
        </w:pPr>
        <w:r w:rsidRPr="00893768">
          <w:rPr>
            <w:rFonts w:ascii="Times New Roman" w:hAnsi="Times New Roman" w:cs="Times New Roman"/>
            <w:sz w:val="20"/>
            <w:szCs w:val="24"/>
          </w:rPr>
          <w:fldChar w:fldCharType="begin"/>
        </w:r>
        <w:r w:rsidR="00222342" w:rsidRPr="00893768">
          <w:rPr>
            <w:rFonts w:ascii="Times New Roman" w:hAnsi="Times New Roman" w:cs="Times New Roman"/>
            <w:sz w:val="20"/>
            <w:szCs w:val="24"/>
          </w:rPr>
          <w:instrText>PAGE   \* MERGEFORMAT</w:instrText>
        </w:r>
        <w:r w:rsidRPr="00893768">
          <w:rPr>
            <w:rFonts w:ascii="Times New Roman" w:hAnsi="Times New Roman" w:cs="Times New Roman"/>
            <w:sz w:val="20"/>
            <w:szCs w:val="24"/>
          </w:rPr>
          <w:fldChar w:fldCharType="separate"/>
        </w:r>
        <w:r w:rsidR="009E1BBC">
          <w:rPr>
            <w:rFonts w:ascii="Times New Roman" w:hAnsi="Times New Roman" w:cs="Times New Roman"/>
            <w:noProof/>
            <w:sz w:val="20"/>
            <w:szCs w:val="24"/>
          </w:rPr>
          <w:t>10</w:t>
        </w:r>
        <w:r w:rsidRPr="00893768">
          <w:rPr>
            <w:rFonts w:ascii="Times New Roman" w:hAnsi="Times New Roman" w:cs="Times New Roman"/>
            <w:sz w:val="20"/>
            <w:szCs w:val="24"/>
          </w:rPr>
          <w:fldChar w:fldCharType="end"/>
        </w:r>
      </w:p>
    </w:sdtContent>
  </w:sdt>
  <w:p w:rsidR="00222342" w:rsidRDefault="0022234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342" w:rsidRDefault="00222342">
    <w:pPr>
      <w:pStyle w:val="af"/>
      <w:jc w:val="center"/>
    </w:pPr>
  </w:p>
  <w:p w:rsidR="00222342" w:rsidRDefault="0022234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C6FF1"/>
    <w:multiLevelType w:val="hybridMultilevel"/>
    <w:tmpl w:val="F95611A2"/>
    <w:lvl w:ilvl="0" w:tplc="0E88D2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E8E6E77"/>
    <w:multiLevelType w:val="multilevel"/>
    <w:tmpl w:val="4218FEB0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59"/>
    <w:rsid w:val="000015FC"/>
    <w:rsid w:val="0000697F"/>
    <w:rsid w:val="00010266"/>
    <w:rsid w:val="000131F9"/>
    <w:rsid w:val="000155DD"/>
    <w:rsid w:val="00020C0B"/>
    <w:rsid w:val="00022C6D"/>
    <w:rsid w:val="00024B2B"/>
    <w:rsid w:val="00026AA1"/>
    <w:rsid w:val="00026EF2"/>
    <w:rsid w:val="00027517"/>
    <w:rsid w:val="000302EA"/>
    <w:rsid w:val="000367D9"/>
    <w:rsid w:val="000448A6"/>
    <w:rsid w:val="00045099"/>
    <w:rsid w:val="00046735"/>
    <w:rsid w:val="00046C04"/>
    <w:rsid w:val="00051AE6"/>
    <w:rsid w:val="00052350"/>
    <w:rsid w:val="000535B5"/>
    <w:rsid w:val="0005782A"/>
    <w:rsid w:val="00072759"/>
    <w:rsid w:val="000727FF"/>
    <w:rsid w:val="0007417A"/>
    <w:rsid w:val="00076A3A"/>
    <w:rsid w:val="00077561"/>
    <w:rsid w:val="00077C0A"/>
    <w:rsid w:val="00080D36"/>
    <w:rsid w:val="00085A7E"/>
    <w:rsid w:val="00086500"/>
    <w:rsid w:val="00094A27"/>
    <w:rsid w:val="000A1C59"/>
    <w:rsid w:val="000A7ECA"/>
    <w:rsid w:val="000B0560"/>
    <w:rsid w:val="000B43CF"/>
    <w:rsid w:val="000C132D"/>
    <w:rsid w:val="000C2FD7"/>
    <w:rsid w:val="000C36CC"/>
    <w:rsid w:val="000D5902"/>
    <w:rsid w:val="000E086D"/>
    <w:rsid w:val="000E3572"/>
    <w:rsid w:val="000F06AB"/>
    <w:rsid w:val="000F3C8B"/>
    <w:rsid w:val="000F6252"/>
    <w:rsid w:val="000F7835"/>
    <w:rsid w:val="001015AA"/>
    <w:rsid w:val="00102383"/>
    <w:rsid w:val="00103572"/>
    <w:rsid w:val="00105357"/>
    <w:rsid w:val="001057C8"/>
    <w:rsid w:val="0010606E"/>
    <w:rsid w:val="0011145C"/>
    <w:rsid w:val="0011517C"/>
    <w:rsid w:val="0011624E"/>
    <w:rsid w:val="0011641D"/>
    <w:rsid w:val="00120863"/>
    <w:rsid w:val="001230A0"/>
    <w:rsid w:val="00123200"/>
    <w:rsid w:val="00124620"/>
    <w:rsid w:val="00125488"/>
    <w:rsid w:val="00125ACC"/>
    <w:rsid w:val="00126481"/>
    <w:rsid w:val="00131E9E"/>
    <w:rsid w:val="001331F6"/>
    <w:rsid w:val="00134316"/>
    <w:rsid w:val="00140CFF"/>
    <w:rsid w:val="00141A5B"/>
    <w:rsid w:val="00151BBF"/>
    <w:rsid w:val="00153AFC"/>
    <w:rsid w:val="00154FB2"/>
    <w:rsid w:val="00161005"/>
    <w:rsid w:val="00161529"/>
    <w:rsid w:val="0016154B"/>
    <w:rsid w:val="0016179D"/>
    <w:rsid w:val="00163327"/>
    <w:rsid w:val="0016709C"/>
    <w:rsid w:val="001674F6"/>
    <w:rsid w:val="00171285"/>
    <w:rsid w:val="0017395D"/>
    <w:rsid w:val="00184386"/>
    <w:rsid w:val="001A0305"/>
    <w:rsid w:val="001A086E"/>
    <w:rsid w:val="001A1AFC"/>
    <w:rsid w:val="001A2503"/>
    <w:rsid w:val="001A31B4"/>
    <w:rsid w:val="001B0BE1"/>
    <w:rsid w:val="001B1BAE"/>
    <w:rsid w:val="001B4FDF"/>
    <w:rsid w:val="001B609F"/>
    <w:rsid w:val="001B7FFE"/>
    <w:rsid w:val="001C5BB2"/>
    <w:rsid w:val="001C6CBE"/>
    <w:rsid w:val="001D018F"/>
    <w:rsid w:val="001D214A"/>
    <w:rsid w:val="001D4C8F"/>
    <w:rsid w:val="001D54EC"/>
    <w:rsid w:val="001D5BC5"/>
    <w:rsid w:val="001E1F3C"/>
    <w:rsid w:val="001E546B"/>
    <w:rsid w:val="001E5C91"/>
    <w:rsid w:val="001E6969"/>
    <w:rsid w:val="001F441B"/>
    <w:rsid w:val="001F713B"/>
    <w:rsid w:val="00201ECA"/>
    <w:rsid w:val="002034BA"/>
    <w:rsid w:val="00210ECF"/>
    <w:rsid w:val="002119FF"/>
    <w:rsid w:val="00213C84"/>
    <w:rsid w:val="0021474E"/>
    <w:rsid w:val="00216FFC"/>
    <w:rsid w:val="00220A4E"/>
    <w:rsid w:val="00222342"/>
    <w:rsid w:val="00223A98"/>
    <w:rsid w:val="00225472"/>
    <w:rsid w:val="002268C1"/>
    <w:rsid w:val="00234ABD"/>
    <w:rsid w:val="0023584C"/>
    <w:rsid w:val="0024196C"/>
    <w:rsid w:val="002452FA"/>
    <w:rsid w:val="002453A2"/>
    <w:rsid w:val="002471AE"/>
    <w:rsid w:val="00247FAB"/>
    <w:rsid w:val="002600A2"/>
    <w:rsid w:val="002604D8"/>
    <w:rsid w:val="00263345"/>
    <w:rsid w:val="002643D7"/>
    <w:rsid w:val="00264C30"/>
    <w:rsid w:val="00265A25"/>
    <w:rsid w:val="002675FE"/>
    <w:rsid w:val="002717D6"/>
    <w:rsid w:val="002719D4"/>
    <w:rsid w:val="00275C76"/>
    <w:rsid w:val="00281B22"/>
    <w:rsid w:val="00282B88"/>
    <w:rsid w:val="00282F9B"/>
    <w:rsid w:val="0028362D"/>
    <w:rsid w:val="0028674B"/>
    <w:rsid w:val="0029147E"/>
    <w:rsid w:val="00291C9A"/>
    <w:rsid w:val="002960B5"/>
    <w:rsid w:val="0029686F"/>
    <w:rsid w:val="002A11D4"/>
    <w:rsid w:val="002A1210"/>
    <w:rsid w:val="002A14A0"/>
    <w:rsid w:val="002A31CB"/>
    <w:rsid w:val="002A3252"/>
    <w:rsid w:val="002A3AE0"/>
    <w:rsid w:val="002B0538"/>
    <w:rsid w:val="002C0E11"/>
    <w:rsid w:val="002C1485"/>
    <w:rsid w:val="002C159B"/>
    <w:rsid w:val="002C2D96"/>
    <w:rsid w:val="002C42C3"/>
    <w:rsid w:val="002C53B5"/>
    <w:rsid w:val="002D03C0"/>
    <w:rsid w:val="002D0935"/>
    <w:rsid w:val="002D2286"/>
    <w:rsid w:val="002D5C88"/>
    <w:rsid w:val="002D7733"/>
    <w:rsid w:val="002E2AA9"/>
    <w:rsid w:val="002E2F2F"/>
    <w:rsid w:val="002E44C3"/>
    <w:rsid w:val="002E702B"/>
    <w:rsid w:val="002E7968"/>
    <w:rsid w:val="002F16D9"/>
    <w:rsid w:val="002F1DAF"/>
    <w:rsid w:val="0030036B"/>
    <w:rsid w:val="00300D7E"/>
    <w:rsid w:val="003019D9"/>
    <w:rsid w:val="00304C3C"/>
    <w:rsid w:val="00305C2A"/>
    <w:rsid w:val="00310107"/>
    <w:rsid w:val="003119C1"/>
    <w:rsid w:val="0031257E"/>
    <w:rsid w:val="00316CDA"/>
    <w:rsid w:val="00320873"/>
    <w:rsid w:val="00320B27"/>
    <w:rsid w:val="003214B2"/>
    <w:rsid w:val="003228D2"/>
    <w:rsid w:val="003255B1"/>
    <w:rsid w:val="0033021C"/>
    <w:rsid w:val="003306F4"/>
    <w:rsid w:val="0033292F"/>
    <w:rsid w:val="00332BB3"/>
    <w:rsid w:val="003338A7"/>
    <w:rsid w:val="0033682B"/>
    <w:rsid w:val="003425E6"/>
    <w:rsid w:val="00343431"/>
    <w:rsid w:val="0034386B"/>
    <w:rsid w:val="00356586"/>
    <w:rsid w:val="00356C45"/>
    <w:rsid w:val="003572A5"/>
    <w:rsid w:val="0036071C"/>
    <w:rsid w:val="00367740"/>
    <w:rsid w:val="00380FF5"/>
    <w:rsid w:val="00387068"/>
    <w:rsid w:val="0039203D"/>
    <w:rsid w:val="00395DAE"/>
    <w:rsid w:val="003A3E97"/>
    <w:rsid w:val="003A3F68"/>
    <w:rsid w:val="003A7D3E"/>
    <w:rsid w:val="003B14B4"/>
    <w:rsid w:val="003B2F60"/>
    <w:rsid w:val="003B3A58"/>
    <w:rsid w:val="003B4BF7"/>
    <w:rsid w:val="003B51D2"/>
    <w:rsid w:val="003B5EC2"/>
    <w:rsid w:val="003B753C"/>
    <w:rsid w:val="003B7688"/>
    <w:rsid w:val="003C0FF7"/>
    <w:rsid w:val="003C1E0B"/>
    <w:rsid w:val="003C5953"/>
    <w:rsid w:val="003C6A81"/>
    <w:rsid w:val="003D095A"/>
    <w:rsid w:val="003D22F6"/>
    <w:rsid w:val="003D74FE"/>
    <w:rsid w:val="003E0D39"/>
    <w:rsid w:val="003E3960"/>
    <w:rsid w:val="003F3ACA"/>
    <w:rsid w:val="003F3CF9"/>
    <w:rsid w:val="00401607"/>
    <w:rsid w:val="0040407D"/>
    <w:rsid w:val="00410559"/>
    <w:rsid w:val="00413558"/>
    <w:rsid w:val="004138B1"/>
    <w:rsid w:val="004149A7"/>
    <w:rsid w:val="00417CB3"/>
    <w:rsid w:val="00423FFE"/>
    <w:rsid w:val="0042417D"/>
    <w:rsid w:val="004279A9"/>
    <w:rsid w:val="00432B4C"/>
    <w:rsid w:val="004361A7"/>
    <w:rsid w:val="004365C5"/>
    <w:rsid w:val="00436C81"/>
    <w:rsid w:val="004402AE"/>
    <w:rsid w:val="00441EA5"/>
    <w:rsid w:val="004421F0"/>
    <w:rsid w:val="00443FFB"/>
    <w:rsid w:val="0045028B"/>
    <w:rsid w:val="004527EB"/>
    <w:rsid w:val="00453028"/>
    <w:rsid w:val="00456AF5"/>
    <w:rsid w:val="004577C3"/>
    <w:rsid w:val="004617F3"/>
    <w:rsid w:val="00461EAD"/>
    <w:rsid w:val="00463322"/>
    <w:rsid w:val="00463B15"/>
    <w:rsid w:val="004650F0"/>
    <w:rsid w:val="004744A8"/>
    <w:rsid w:val="004745F6"/>
    <w:rsid w:val="00474A51"/>
    <w:rsid w:val="00476C4A"/>
    <w:rsid w:val="004779CF"/>
    <w:rsid w:val="00477F59"/>
    <w:rsid w:val="0048342E"/>
    <w:rsid w:val="004835BC"/>
    <w:rsid w:val="00490069"/>
    <w:rsid w:val="00490F57"/>
    <w:rsid w:val="00492FA0"/>
    <w:rsid w:val="00495077"/>
    <w:rsid w:val="004958FB"/>
    <w:rsid w:val="00495B7B"/>
    <w:rsid w:val="004965F4"/>
    <w:rsid w:val="0049734E"/>
    <w:rsid w:val="00497478"/>
    <w:rsid w:val="004A1940"/>
    <w:rsid w:val="004A3B30"/>
    <w:rsid w:val="004A4FAF"/>
    <w:rsid w:val="004A67C1"/>
    <w:rsid w:val="004A717C"/>
    <w:rsid w:val="004C148F"/>
    <w:rsid w:val="004C2732"/>
    <w:rsid w:val="004C518B"/>
    <w:rsid w:val="004C644C"/>
    <w:rsid w:val="004C7359"/>
    <w:rsid w:val="004D5514"/>
    <w:rsid w:val="004E0F3B"/>
    <w:rsid w:val="004E4243"/>
    <w:rsid w:val="004E4490"/>
    <w:rsid w:val="004E538D"/>
    <w:rsid w:val="004E593D"/>
    <w:rsid w:val="004E7ECE"/>
    <w:rsid w:val="004F070E"/>
    <w:rsid w:val="004F08FC"/>
    <w:rsid w:val="004F6583"/>
    <w:rsid w:val="004F6B19"/>
    <w:rsid w:val="005064DD"/>
    <w:rsid w:val="00507759"/>
    <w:rsid w:val="00511192"/>
    <w:rsid w:val="00512469"/>
    <w:rsid w:val="005174A7"/>
    <w:rsid w:val="0052313A"/>
    <w:rsid w:val="0052698B"/>
    <w:rsid w:val="00526BD2"/>
    <w:rsid w:val="005271AA"/>
    <w:rsid w:val="00527651"/>
    <w:rsid w:val="00531D94"/>
    <w:rsid w:val="00533B3D"/>
    <w:rsid w:val="005346B9"/>
    <w:rsid w:val="00535FB0"/>
    <w:rsid w:val="0054044D"/>
    <w:rsid w:val="0054100B"/>
    <w:rsid w:val="005412BC"/>
    <w:rsid w:val="0054242C"/>
    <w:rsid w:val="00555DA1"/>
    <w:rsid w:val="00557380"/>
    <w:rsid w:val="00560150"/>
    <w:rsid w:val="00561FF4"/>
    <w:rsid w:val="005665B1"/>
    <w:rsid w:val="00567026"/>
    <w:rsid w:val="0056796D"/>
    <w:rsid w:val="005727F9"/>
    <w:rsid w:val="005729D5"/>
    <w:rsid w:val="00576006"/>
    <w:rsid w:val="0058102E"/>
    <w:rsid w:val="0058282A"/>
    <w:rsid w:val="0058528A"/>
    <w:rsid w:val="005A2B47"/>
    <w:rsid w:val="005A42A5"/>
    <w:rsid w:val="005A5506"/>
    <w:rsid w:val="005A5D09"/>
    <w:rsid w:val="005B149D"/>
    <w:rsid w:val="005B15D6"/>
    <w:rsid w:val="005B1A37"/>
    <w:rsid w:val="005B2C96"/>
    <w:rsid w:val="005B54C0"/>
    <w:rsid w:val="005B59D7"/>
    <w:rsid w:val="005B61D8"/>
    <w:rsid w:val="005C573B"/>
    <w:rsid w:val="005D186B"/>
    <w:rsid w:val="005D4392"/>
    <w:rsid w:val="005D4720"/>
    <w:rsid w:val="005D6D5E"/>
    <w:rsid w:val="005E5925"/>
    <w:rsid w:val="005F10E3"/>
    <w:rsid w:val="005F3786"/>
    <w:rsid w:val="005F58AB"/>
    <w:rsid w:val="0060237A"/>
    <w:rsid w:val="00603172"/>
    <w:rsid w:val="00604728"/>
    <w:rsid w:val="006057B7"/>
    <w:rsid w:val="00606F69"/>
    <w:rsid w:val="006106DA"/>
    <w:rsid w:val="00615284"/>
    <w:rsid w:val="006160C3"/>
    <w:rsid w:val="0062013E"/>
    <w:rsid w:val="00625C8A"/>
    <w:rsid w:val="00626192"/>
    <w:rsid w:val="0062764F"/>
    <w:rsid w:val="0063035D"/>
    <w:rsid w:val="006325EC"/>
    <w:rsid w:val="00632BF6"/>
    <w:rsid w:val="00641590"/>
    <w:rsid w:val="00644289"/>
    <w:rsid w:val="00644CB8"/>
    <w:rsid w:val="00646902"/>
    <w:rsid w:val="0064773D"/>
    <w:rsid w:val="006507D8"/>
    <w:rsid w:val="00655387"/>
    <w:rsid w:val="0065684F"/>
    <w:rsid w:val="00663DF8"/>
    <w:rsid w:val="006666AA"/>
    <w:rsid w:val="00671BBD"/>
    <w:rsid w:val="00671FBF"/>
    <w:rsid w:val="00672900"/>
    <w:rsid w:val="00672C99"/>
    <w:rsid w:val="0067397D"/>
    <w:rsid w:val="00674C8F"/>
    <w:rsid w:val="00675DCB"/>
    <w:rsid w:val="00677443"/>
    <w:rsid w:val="006853A0"/>
    <w:rsid w:val="00694028"/>
    <w:rsid w:val="00694923"/>
    <w:rsid w:val="00694974"/>
    <w:rsid w:val="006961DA"/>
    <w:rsid w:val="00697897"/>
    <w:rsid w:val="006A2517"/>
    <w:rsid w:val="006A2A23"/>
    <w:rsid w:val="006A2AD8"/>
    <w:rsid w:val="006A3053"/>
    <w:rsid w:val="006A3309"/>
    <w:rsid w:val="006A5826"/>
    <w:rsid w:val="006A5B2B"/>
    <w:rsid w:val="006B0016"/>
    <w:rsid w:val="006B14D3"/>
    <w:rsid w:val="006B6E71"/>
    <w:rsid w:val="006B7BD9"/>
    <w:rsid w:val="006B7DDC"/>
    <w:rsid w:val="006C7D11"/>
    <w:rsid w:val="006D3054"/>
    <w:rsid w:val="006E1B26"/>
    <w:rsid w:val="006E3544"/>
    <w:rsid w:val="006F5DED"/>
    <w:rsid w:val="007003EF"/>
    <w:rsid w:val="00700D84"/>
    <w:rsid w:val="00701782"/>
    <w:rsid w:val="007042E3"/>
    <w:rsid w:val="0070562D"/>
    <w:rsid w:val="007064BA"/>
    <w:rsid w:val="00712203"/>
    <w:rsid w:val="00712F1A"/>
    <w:rsid w:val="00715559"/>
    <w:rsid w:val="00716CF5"/>
    <w:rsid w:val="007177D7"/>
    <w:rsid w:val="007244EA"/>
    <w:rsid w:val="007263B6"/>
    <w:rsid w:val="00730337"/>
    <w:rsid w:val="00730BEA"/>
    <w:rsid w:val="00734F9C"/>
    <w:rsid w:val="007357BE"/>
    <w:rsid w:val="00743808"/>
    <w:rsid w:val="00752979"/>
    <w:rsid w:val="00752B42"/>
    <w:rsid w:val="00753275"/>
    <w:rsid w:val="00754F7E"/>
    <w:rsid w:val="00756390"/>
    <w:rsid w:val="00766D0D"/>
    <w:rsid w:val="007705FC"/>
    <w:rsid w:val="00773DF4"/>
    <w:rsid w:val="00776634"/>
    <w:rsid w:val="00777242"/>
    <w:rsid w:val="00780501"/>
    <w:rsid w:val="00782C85"/>
    <w:rsid w:val="00787E56"/>
    <w:rsid w:val="00790416"/>
    <w:rsid w:val="00790766"/>
    <w:rsid w:val="007976F3"/>
    <w:rsid w:val="007978B7"/>
    <w:rsid w:val="007A1D79"/>
    <w:rsid w:val="007A663F"/>
    <w:rsid w:val="007A78DC"/>
    <w:rsid w:val="007B08B9"/>
    <w:rsid w:val="007B260F"/>
    <w:rsid w:val="007B26F0"/>
    <w:rsid w:val="007C3EE2"/>
    <w:rsid w:val="007C71A5"/>
    <w:rsid w:val="007C72C4"/>
    <w:rsid w:val="007C75FF"/>
    <w:rsid w:val="007C7616"/>
    <w:rsid w:val="007D2728"/>
    <w:rsid w:val="007D3549"/>
    <w:rsid w:val="007E0C5F"/>
    <w:rsid w:val="007E72D7"/>
    <w:rsid w:val="007F2871"/>
    <w:rsid w:val="007F34F4"/>
    <w:rsid w:val="007F4178"/>
    <w:rsid w:val="007F7BEB"/>
    <w:rsid w:val="0080157A"/>
    <w:rsid w:val="00802119"/>
    <w:rsid w:val="008021B6"/>
    <w:rsid w:val="00803A7D"/>
    <w:rsid w:val="00804B20"/>
    <w:rsid w:val="00806E77"/>
    <w:rsid w:val="00807AF3"/>
    <w:rsid w:val="00807BFD"/>
    <w:rsid w:val="00810011"/>
    <w:rsid w:val="008143DF"/>
    <w:rsid w:val="00822E27"/>
    <w:rsid w:val="00825893"/>
    <w:rsid w:val="008277CE"/>
    <w:rsid w:val="00831760"/>
    <w:rsid w:val="00834B96"/>
    <w:rsid w:val="00834E27"/>
    <w:rsid w:val="00836E8A"/>
    <w:rsid w:val="0083737B"/>
    <w:rsid w:val="0083747E"/>
    <w:rsid w:val="00844B56"/>
    <w:rsid w:val="00845CE8"/>
    <w:rsid w:val="00847C48"/>
    <w:rsid w:val="008513D2"/>
    <w:rsid w:val="00856298"/>
    <w:rsid w:val="00861BCE"/>
    <w:rsid w:val="00861F16"/>
    <w:rsid w:val="00862F65"/>
    <w:rsid w:val="00864E85"/>
    <w:rsid w:val="00867F7C"/>
    <w:rsid w:val="00871F27"/>
    <w:rsid w:val="00875425"/>
    <w:rsid w:val="00875AB8"/>
    <w:rsid w:val="00881370"/>
    <w:rsid w:val="008839EE"/>
    <w:rsid w:val="00883C45"/>
    <w:rsid w:val="008872B8"/>
    <w:rsid w:val="008919BC"/>
    <w:rsid w:val="00893768"/>
    <w:rsid w:val="00896761"/>
    <w:rsid w:val="00896D3F"/>
    <w:rsid w:val="008A4463"/>
    <w:rsid w:val="008B430B"/>
    <w:rsid w:val="008B4971"/>
    <w:rsid w:val="008B4CB0"/>
    <w:rsid w:val="008B5284"/>
    <w:rsid w:val="008B7A4E"/>
    <w:rsid w:val="008C0853"/>
    <w:rsid w:val="008C0899"/>
    <w:rsid w:val="008D222F"/>
    <w:rsid w:val="008D24E6"/>
    <w:rsid w:val="008D292D"/>
    <w:rsid w:val="008D3F94"/>
    <w:rsid w:val="008D7400"/>
    <w:rsid w:val="008E0F06"/>
    <w:rsid w:val="008E5ED0"/>
    <w:rsid w:val="008F033E"/>
    <w:rsid w:val="008F03AB"/>
    <w:rsid w:val="008F0A19"/>
    <w:rsid w:val="008F0B19"/>
    <w:rsid w:val="008F1626"/>
    <w:rsid w:val="008F2F41"/>
    <w:rsid w:val="008F3731"/>
    <w:rsid w:val="008F524E"/>
    <w:rsid w:val="008F5282"/>
    <w:rsid w:val="00900371"/>
    <w:rsid w:val="00900CA3"/>
    <w:rsid w:val="00904B89"/>
    <w:rsid w:val="0090632C"/>
    <w:rsid w:val="00910193"/>
    <w:rsid w:val="0091025C"/>
    <w:rsid w:val="00913BFC"/>
    <w:rsid w:val="00916583"/>
    <w:rsid w:val="00917BA0"/>
    <w:rsid w:val="00923904"/>
    <w:rsid w:val="00926FA5"/>
    <w:rsid w:val="0092702F"/>
    <w:rsid w:val="00930D76"/>
    <w:rsid w:val="00931FA2"/>
    <w:rsid w:val="00932B9A"/>
    <w:rsid w:val="00933BEF"/>
    <w:rsid w:val="009359A0"/>
    <w:rsid w:val="00942A9D"/>
    <w:rsid w:val="009430BC"/>
    <w:rsid w:val="00945C8E"/>
    <w:rsid w:val="009466FD"/>
    <w:rsid w:val="00950238"/>
    <w:rsid w:val="00951317"/>
    <w:rsid w:val="0095522E"/>
    <w:rsid w:val="009553A0"/>
    <w:rsid w:val="0096084C"/>
    <w:rsid w:val="00966890"/>
    <w:rsid w:val="00970F0F"/>
    <w:rsid w:val="00971E65"/>
    <w:rsid w:val="0097404D"/>
    <w:rsid w:val="00975BB3"/>
    <w:rsid w:val="00981C41"/>
    <w:rsid w:val="00985174"/>
    <w:rsid w:val="00985D47"/>
    <w:rsid w:val="009869C4"/>
    <w:rsid w:val="009871AE"/>
    <w:rsid w:val="00993DF6"/>
    <w:rsid w:val="00994C8F"/>
    <w:rsid w:val="009A1C28"/>
    <w:rsid w:val="009A1FE3"/>
    <w:rsid w:val="009A5E5E"/>
    <w:rsid w:val="009C4AEC"/>
    <w:rsid w:val="009C4E0E"/>
    <w:rsid w:val="009D0F8D"/>
    <w:rsid w:val="009D283F"/>
    <w:rsid w:val="009D2A07"/>
    <w:rsid w:val="009D6238"/>
    <w:rsid w:val="009E0769"/>
    <w:rsid w:val="009E1BBC"/>
    <w:rsid w:val="009E5949"/>
    <w:rsid w:val="009E5D43"/>
    <w:rsid w:val="009E683E"/>
    <w:rsid w:val="009F6A55"/>
    <w:rsid w:val="00A00304"/>
    <w:rsid w:val="00A03BEA"/>
    <w:rsid w:val="00A05EF3"/>
    <w:rsid w:val="00A1442C"/>
    <w:rsid w:val="00A1558F"/>
    <w:rsid w:val="00A50554"/>
    <w:rsid w:val="00A526D3"/>
    <w:rsid w:val="00A5537B"/>
    <w:rsid w:val="00A608DF"/>
    <w:rsid w:val="00A65609"/>
    <w:rsid w:val="00A66A15"/>
    <w:rsid w:val="00A709FE"/>
    <w:rsid w:val="00A71354"/>
    <w:rsid w:val="00A76BDA"/>
    <w:rsid w:val="00A823D0"/>
    <w:rsid w:val="00A8384D"/>
    <w:rsid w:val="00A841BE"/>
    <w:rsid w:val="00A9079D"/>
    <w:rsid w:val="00A911FA"/>
    <w:rsid w:val="00A91D64"/>
    <w:rsid w:val="00A9372B"/>
    <w:rsid w:val="00A954DC"/>
    <w:rsid w:val="00AA0418"/>
    <w:rsid w:val="00AA2E7F"/>
    <w:rsid w:val="00AA3298"/>
    <w:rsid w:val="00AA6623"/>
    <w:rsid w:val="00AB04B7"/>
    <w:rsid w:val="00AB1597"/>
    <w:rsid w:val="00AB4FA0"/>
    <w:rsid w:val="00AB602A"/>
    <w:rsid w:val="00AB6EAB"/>
    <w:rsid w:val="00AB7E15"/>
    <w:rsid w:val="00AB7E31"/>
    <w:rsid w:val="00AC0410"/>
    <w:rsid w:val="00AC1B7D"/>
    <w:rsid w:val="00AC348A"/>
    <w:rsid w:val="00AC3C55"/>
    <w:rsid w:val="00AC5891"/>
    <w:rsid w:val="00AD2F7F"/>
    <w:rsid w:val="00AD4934"/>
    <w:rsid w:val="00AE2F2F"/>
    <w:rsid w:val="00AE4AE1"/>
    <w:rsid w:val="00AE4DE5"/>
    <w:rsid w:val="00AE588D"/>
    <w:rsid w:val="00AE7C63"/>
    <w:rsid w:val="00AF15ED"/>
    <w:rsid w:val="00AF18BD"/>
    <w:rsid w:val="00AF455D"/>
    <w:rsid w:val="00AF712F"/>
    <w:rsid w:val="00AF799A"/>
    <w:rsid w:val="00B007C5"/>
    <w:rsid w:val="00B02C37"/>
    <w:rsid w:val="00B05371"/>
    <w:rsid w:val="00B13370"/>
    <w:rsid w:val="00B13B85"/>
    <w:rsid w:val="00B14D0C"/>
    <w:rsid w:val="00B151F2"/>
    <w:rsid w:val="00B16DAE"/>
    <w:rsid w:val="00B2191C"/>
    <w:rsid w:val="00B25C39"/>
    <w:rsid w:val="00B2630A"/>
    <w:rsid w:val="00B26449"/>
    <w:rsid w:val="00B345F8"/>
    <w:rsid w:val="00B349D2"/>
    <w:rsid w:val="00B37313"/>
    <w:rsid w:val="00B44FAC"/>
    <w:rsid w:val="00B46337"/>
    <w:rsid w:val="00B526FC"/>
    <w:rsid w:val="00B53720"/>
    <w:rsid w:val="00B556B2"/>
    <w:rsid w:val="00B60043"/>
    <w:rsid w:val="00B60B7F"/>
    <w:rsid w:val="00B6620A"/>
    <w:rsid w:val="00B71689"/>
    <w:rsid w:val="00B72C9E"/>
    <w:rsid w:val="00B77FE2"/>
    <w:rsid w:val="00B813AF"/>
    <w:rsid w:val="00B81BDC"/>
    <w:rsid w:val="00B83436"/>
    <w:rsid w:val="00B91EAC"/>
    <w:rsid w:val="00B9766E"/>
    <w:rsid w:val="00BA4DB0"/>
    <w:rsid w:val="00BA7BE0"/>
    <w:rsid w:val="00BB26F1"/>
    <w:rsid w:val="00BB4DAC"/>
    <w:rsid w:val="00BB5CE5"/>
    <w:rsid w:val="00BC2A7F"/>
    <w:rsid w:val="00BC7480"/>
    <w:rsid w:val="00BC7FB8"/>
    <w:rsid w:val="00BD00C3"/>
    <w:rsid w:val="00BD43D9"/>
    <w:rsid w:val="00BD61E1"/>
    <w:rsid w:val="00BD6711"/>
    <w:rsid w:val="00BD7EE0"/>
    <w:rsid w:val="00BE2251"/>
    <w:rsid w:val="00BE68B3"/>
    <w:rsid w:val="00BF3E4B"/>
    <w:rsid w:val="00BF770C"/>
    <w:rsid w:val="00C02642"/>
    <w:rsid w:val="00C04526"/>
    <w:rsid w:val="00C063BC"/>
    <w:rsid w:val="00C10E60"/>
    <w:rsid w:val="00C10EA9"/>
    <w:rsid w:val="00C11F0B"/>
    <w:rsid w:val="00C134CE"/>
    <w:rsid w:val="00C14377"/>
    <w:rsid w:val="00C16A4A"/>
    <w:rsid w:val="00C17AA9"/>
    <w:rsid w:val="00C21EC9"/>
    <w:rsid w:val="00C227BB"/>
    <w:rsid w:val="00C23121"/>
    <w:rsid w:val="00C27EE8"/>
    <w:rsid w:val="00C32842"/>
    <w:rsid w:val="00C338F8"/>
    <w:rsid w:val="00C3500D"/>
    <w:rsid w:val="00C5168E"/>
    <w:rsid w:val="00C56650"/>
    <w:rsid w:val="00C65282"/>
    <w:rsid w:val="00C66277"/>
    <w:rsid w:val="00C70023"/>
    <w:rsid w:val="00C712A3"/>
    <w:rsid w:val="00C723D7"/>
    <w:rsid w:val="00C727BE"/>
    <w:rsid w:val="00C74020"/>
    <w:rsid w:val="00C75629"/>
    <w:rsid w:val="00C76A52"/>
    <w:rsid w:val="00C8052F"/>
    <w:rsid w:val="00C83B03"/>
    <w:rsid w:val="00C83F64"/>
    <w:rsid w:val="00C84481"/>
    <w:rsid w:val="00C92B13"/>
    <w:rsid w:val="00CB656A"/>
    <w:rsid w:val="00CB757B"/>
    <w:rsid w:val="00CC62F7"/>
    <w:rsid w:val="00CD0682"/>
    <w:rsid w:val="00CD22D2"/>
    <w:rsid w:val="00CD4EE6"/>
    <w:rsid w:val="00CE415A"/>
    <w:rsid w:val="00CE4E74"/>
    <w:rsid w:val="00CE5243"/>
    <w:rsid w:val="00CE69BC"/>
    <w:rsid w:val="00CF256B"/>
    <w:rsid w:val="00CF31A7"/>
    <w:rsid w:val="00CF749E"/>
    <w:rsid w:val="00D024EC"/>
    <w:rsid w:val="00D028E4"/>
    <w:rsid w:val="00D05249"/>
    <w:rsid w:val="00D1785F"/>
    <w:rsid w:val="00D21A8A"/>
    <w:rsid w:val="00D2215B"/>
    <w:rsid w:val="00D23D31"/>
    <w:rsid w:val="00D242D2"/>
    <w:rsid w:val="00D2483B"/>
    <w:rsid w:val="00D253D4"/>
    <w:rsid w:val="00D26185"/>
    <w:rsid w:val="00D40963"/>
    <w:rsid w:val="00D438BA"/>
    <w:rsid w:val="00D460C0"/>
    <w:rsid w:val="00D50CD8"/>
    <w:rsid w:val="00D511A8"/>
    <w:rsid w:val="00D55CBF"/>
    <w:rsid w:val="00D6034F"/>
    <w:rsid w:val="00D61B65"/>
    <w:rsid w:val="00D664E8"/>
    <w:rsid w:val="00D7248A"/>
    <w:rsid w:val="00D8358A"/>
    <w:rsid w:val="00D8380B"/>
    <w:rsid w:val="00D851B8"/>
    <w:rsid w:val="00D87AE7"/>
    <w:rsid w:val="00D95838"/>
    <w:rsid w:val="00D95932"/>
    <w:rsid w:val="00D95FDC"/>
    <w:rsid w:val="00D974B7"/>
    <w:rsid w:val="00DA3E0D"/>
    <w:rsid w:val="00DA71E5"/>
    <w:rsid w:val="00DA785E"/>
    <w:rsid w:val="00DB00A8"/>
    <w:rsid w:val="00DB1728"/>
    <w:rsid w:val="00DB3829"/>
    <w:rsid w:val="00DB5413"/>
    <w:rsid w:val="00DC6A46"/>
    <w:rsid w:val="00DC7656"/>
    <w:rsid w:val="00DD138C"/>
    <w:rsid w:val="00DD39FD"/>
    <w:rsid w:val="00DD3B07"/>
    <w:rsid w:val="00DD6CC7"/>
    <w:rsid w:val="00DE60E7"/>
    <w:rsid w:val="00DE66E3"/>
    <w:rsid w:val="00DE7C72"/>
    <w:rsid w:val="00DF0E0B"/>
    <w:rsid w:val="00DF20E7"/>
    <w:rsid w:val="00DF2B52"/>
    <w:rsid w:val="00DF3C74"/>
    <w:rsid w:val="00DF4F84"/>
    <w:rsid w:val="00DF53D3"/>
    <w:rsid w:val="00DF5BE2"/>
    <w:rsid w:val="00E010F5"/>
    <w:rsid w:val="00E01486"/>
    <w:rsid w:val="00E02AAB"/>
    <w:rsid w:val="00E04A57"/>
    <w:rsid w:val="00E04CF8"/>
    <w:rsid w:val="00E073A5"/>
    <w:rsid w:val="00E11D1D"/>
    <w:rsid w:val="00E22F8D"/>
    <w:rsid w:val="00E24702"/>
    <w:rsid w:val="00E25B73"/>
    <w:rsid w:val="00E27EDB"/>
    <w:rsid w:val="00E303F0"/>
    <w:rsid w:val="00E326C7"/>
    <w:rsid w:val="00E359C4"/>
    <w:rsid w:val="00E35DDB"/>
    <w:rsid w:val="00E37B0B"/>
    <w:rsid w:val="00E4127F"/>
    <w:rsid w:val="00E4240A"/>
    <w:rsid w:val="00E44D9D"/>
    <w:rsid w:val="00E466B0"/>
    <w:rsid w:val="00E473B3"/>
    <w:rsid w:val="00E51EF7"/>
    <w:rsid w:val="00E52E07"/>
    <w:rsid w:val="00E54A09"/>
    <w:rsid w:val="00E5570F"/>
    <w:rsid w:val="00E57298"/>
    <w:rsid w:val="00E60ED2"/>
    <w:rsid w:val="00E61490"/>
    <w:rsid w:val="00E66C84"/>
    <w:rsid w:val="00E709BD"/>
    <w:rsid w:val="00E7325E"/>
    <w:rsid w:val="00E7610D"/>
    <w:rsid w:val="00E76577"/>
    <w:rsid w:val="00E85DBD"/>
    <w:rsid w:val="00E909E7"/>
    <w:rsid w:val="00E90D67"/>
    <w:rsid w:val="00E916E7"/>
    <w:rsid w:val="00E9457B"/>
    <w:rsid w:val="00EA29F3"/>
    <w:rsid w:val="00EA3DE1"/>
    <w:rsid w:val="00EB16D6"/>
    <w:rsid w:val="00EB17DB"/>
    <w:rsid w:val="00EB5643"/>
    <w:rsid w:val="00EB60E2"/>
    <w:rsid w:val="00EB6264"/>
    <w:rsid w:val="00EB79C2"/>
    <w:rsid w:val="00EC0B52"/>
    <w:rsid w:val="00EC5795"/>
    <w:rsid w:val="00EC7E4E"/>
    <w:rsid w:val="00EC7FC2"/>
    <w:rsid w:val="00ED079F"/>
    <w:rsid w:val="00EE2C7A"/>
    <w:rsid w:val="00EE7156"/>
    <w:rsid w:val="00EE76AF"/>
    <w:rsid w:val="00EE7704"/>
    <w:rsid w:val="00EE7DB4"/>
    <w:rsid w:val="00EF631B"/>
    <w:rsid w:val="00EF7E90"/>
    <w:rsid w:val="00F02373"/>
    <w:rsid w:val="00F02715"/>
    <w:rsid w:val="00F210C6"/>
    <w:rsid w:val="00F219B6"/>
    <w:rsid w:val="00F234A4"/>
    <w:rsid w:val="00F25E32"/>
    <w:rsid w:val="00F26191"/>
    <w:rsid w:val="00F26C37"/>
    <w:rsid w:val="00F338C3"/>
    <w:rsid w:val="00F348C8"/>
    <w:rsid w:val="00F4000F"/>
    <w:rsid w:val="00F40562"/>
    <w:rsid w:val="00F40CC4"/>
    <w:rsid w:val="00F4466F"/>
    <w:rsid w:val="00F57C5C"/>
    <w:rsid w:val="00F6279F"/>
    <w:rsid w:val="00F64119"/>
    <w:rsid w:val="00F6567F"/>
    <w:rsid w:val="00F65845"/>
    <w:rsid w:val="00F674F2"/>
    <w:rsid w:val="00F7250E"/>
    <w:rsid w:val="00F72773"/>
    <w:rsid w:val="00F74573"/>
    <w:rsid w:val="00F74B38"/>
    <w:rsid w:val="00F74E23"/>
    <w:rsid w:val="00F8061D"/>
    <w:rsid w:val="00F80A1B"/>
    <w:rsid w:val="00F80B51"/>
    <w:rsid w:val="00F81563"/>
    <w:rsid w:val="00F835F6"/>
    <w:rsid w:val="00F85A20"/>
    <w:rsid w:val="00F9604C"/>
    <w:rsid w:val="00FA1824"/>
    <w:rsid w:val="00FC4FFA"/>
    <w:rsid w:val="00FC7240"/>
    <w:rsid w:val="00FC75FD"/>
    <w:rsid w:val="00FD1E08"/>
    <w:rsid w:val="00FD1F5F"/>
    <w:rsid w:val="00FD1FA3"/>
    <w:rsid w:val="00FD7181"/>
    <w:rsid w:val="00FD7BE4"/>
    <w:rsid w:val="00FE0A3B"/>
    <w:rsid w:val="00FE46C1"/>
    <w:rsid w:val="00FE5E90"/>
    <w:rsid w:val="00FF1C4F"/>
    <w:rsid w:val="00FF418A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F032C0C-4BCF-4C3C-961A-806EE9DC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paragraph" w:styleId="ae">
    <w:name w:val="List Paragraph"/>
    <w:basedOn w:val="a"/>
    <w:uiPriority w:val="34"/>
    <w:qFormat/>
    <w:rsid w:val="0052313A"/>
    <w:pPr>
      <w:ind w:left="720"/>
      <w:contextualSpacing/>
    </w:pPr>
  </w:style>
  <w:style w:type="character" w:customStyle="1" w:styleId="rvts9">
    <w:name w:val="rvts9"/>
    <w:basedOn w:val="a0"/>
    <w:rsid w:val="007F34F4"/>
  </w:style>
  <w:style w:type="paragraph" w:styleId="HTML">
    <w:name w:val="HTML Preformatted"/>
    <w:basedOn w:val="a"/>
    <w:link w:val="HTML0"/>
    <w:uiPriority w:val="99"/>
    <w:rsid w:val="00926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926FA5"/>
    <w:rPr>
      <w:rFonts w:ascii="Courier New" w:eastAsia="Times New Roman" w:hAnsi="Courier New" w:cs="Courier New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05782A"/>
    <w:pPr>
      <w:tabs>
        <w:tab w:val="center" w:pos="4819"/>
        <w:tab w:val="right" w:pos="9639"/>
      </w:tabs>
      <w:spacing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05782A"/>
  </w:style>
  <w:style w:type="paragraph" w:styleId="af1">
    <w:name w:val="footer"/>
    <w:basedOn w:val="a"/>
    <w:link w:val="af2"/>
    <w:uiPriority w:val="99"/>
    <w:unhideWhenUsed/>
    <w:rsid w:val="0005782A"/>
    <w:pPr>
      <w:tabs>
        <w:tab w:val="center" w:pos="4819"/>
        <w:tab w:val="right" w:pos="9639"/>
      </w:tabs>
      <w:spacing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05782A"/>
  </w:style>
  <w:style w:type="paragraph" w:styleId="af3">
    <w:name w:val="Balloon Text"/>
    <w:basedOn w:val="a"/>
    <w:link w:val="af4"/>
    <w:uiPriority w:val="99"/>
    <w:semiHidden/>
    <w:unhideWhenUsed/>
    <w:rsid w:val="00EA3D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EA3DE1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913BFC"/>
  </w:style>
  <w:style w:type="paragraph" w:styleId="af5">
    <w:name w:val="Normal (Web)"/>
    <w:basedOn w:val="a"/>
    <w:link w:val="af6"/>
    <w:uiPriority w:val="99"/>
    <w:unhideWhenUsed/>
    <w:qFormat/>
    <w:rsid w:val="005E592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f7">
    <w:name w:val="Hyperlink"/>
    <w:basedOn w:val="a0"/>
    <w:uiPriority w:val="99"/>
    <w:unhideWhenUsed/>
    <w:rsid w:val="00495077"/>
    <w:rPr>
      <w:color w:val="0000FF" w:themeColor="hyperlink"/>
      <w:u w:val="single"/>
    </w:rPr>
  </w:style>
  <w:style w:type="table" w:styleId="af8">
    <w:name w:val="Table Grid"/>
    <w:basedOn w:val="a1"/>
    <w:uiPriority w:val="39"/>
    <w:rsid w:val="000B43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F0A19"/>
  </w:style>
  <w:style w:type="character" w:customStyle="1" w:styleId="st">
    <w:name w:val="st"/>
    <w:basedOn w:val="a0"/>
    <w:rsid w:val="00305C2A"/>
  </w:style>
  <w:style w:type="character" w:styleId="af9">
    <w:name w:val="Emphasis"/>
    <w:basedOn w:val="a0"/>
    <w:uiPriority w:val="20"/>
    <w:qFormat/>
    <w:rsid w:val="00305C2A"/>
    <w:rPr>
      <w:i/>
      <w:iCs/>
    </w:rPr>
  </w:style>
  <w:style w:type="paragraph" w:customStyle="1" w:styleId="afa">
    <w:name w:val="Знак Знак Знак Знак Знак Знак Знак"/>
    <w:basedOn w:val="a"/>
    <w:rsid w:val="00D511A8"/>
    <w:pPr>
      <w:spacing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b">
    <w:name w:val="No Spacing"/>
    <w:uiPriority w:val="1"/>
    <w:qFormat/>
    <w:rsid w:val="00436C81"/>
    <w:pPr>
      <w:spacing w:line="240" w:lineRule="auto"/>
    </w:pPr>
  </w:style>
  <w:style w:type="character" w:customStyle="1" w:styleId="af6">
    <w:name w:val="Звичайний (веб) Знак"/>
    <w:link w:val="af5"/>
    <w:uiPriority w:val="99"/>
    <w:rsid w:val="00F81563"/>
    <w:rPr>
      <w:rFonts w:ascii="Times New Roman" w:eastAsiaTheme="minorHAnsi" w:hAnsi="Times New Roman" w:cs="Times New Roman"/>
      <w:sz w:val="24"/>
      <w:szCs w:val="24"/>
    </w:rPr>
  </w:style>
  <w:style w:type="paragraph" w:customStyle="1" w:styleId="rvps12">
    <w:name w:val="rvps12"/>
    <w:basedOn w:val="a"/>
    <w:rsid w:val="00F8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F81563"/>
  </w:style>
  <w:style w:type="character" w:styleId="afc">
    <w:name w:val="Strong"/>
    <w:basedOn w:val="a0"/>
    <w:uiPriority w:val="22"/>
    <w:qFormat/>
    <w:rsid w:val="0028674B"/>
    <w:rPr>
      <w:b/>
      <w:bCs/>
    </w:rPr>
  </w:style>
  <w:style w:type="character" w:customStyle="1" w:styleId="spelle">
    <w:name w:val="spelle"/>
    <w:basedOn w:val="a0"/>
    <w:rsid w:val="0080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B4208-AF43-4CB0-BB76-51152387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11948</Words>
  <Characters>6811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ГУСАК Наталія Миколаївна</dc:creator>
  <cp:lastModifiedBy>Хоружий Владислав Васильович</cp:lastModifiedBy>
  <cp:revision>4</cp:revision>
  <cp:lastPrinted>2020-05-20T09:28:00Z</cp:lastPrinted>
  <dcterms:created xsi:type="dcterms:W3CDTF">2020-05-22T12:21:00Z</dcterms:created>
  <dcterms:modified xsi:type="dcterms:W3CDTF">2020-06-24T09:52:00Z</dcterms:modified>
</cp:coreProperties>
</file>