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04E1" w14:textId="77777777" w:rsidR="009A4B38" w:rsidRPr="0016473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64730">
        <w:rPr>
          <w:sz w:val="28"/>
          <w:szCs w:val="28"/>
          <w:lang w:val="uk-UA"/>
        </w:rPr>
        <w:t>АНАЛІЗ РЕГУЛЯТОРНОГО ВПЛИВУ</w:t>
      </w:r>
    </w:p>
    <w:p w14:paraId="7CF80F9D" w14:textId="422E657C" w:rsidR="009A4B38" w:rsidRPr="00164730" w:rsidRDefault="009A4B38" w:rsidP="00604426">
      <w:pPr>
        <w:jc w:val="center"/>
        <w:rPr>
          <w:b/>
          <w:sz w:val="28"/>
          <w:szCs w:val="28"/>
          <w:lang w:val="uk-UA"/>
        </w:rPr>
      </w:pPr>
      <w:r w:rsidRPr="00164730">
        <w:rPr>
          <w:b/>
          <w:sz w:val="28"/>
          <w:szCs w:val="28"/>
          <w:lang w:val="uk-UA"/>
        </w:rPr>
        <w:t>про</w:t>
      </w:r>
      <w:r w:rsidR="0017069D" w:rsidRPr="00164730">
        <w:rPr>
          <w:b/>
          <w:sz w:val="28"/>
          <w:szCs w:val="28"/>
          <w:lang w:val="uk-UA"/>
        </w:rPr>
        <w:t>е</w:t>
      </w:r>
      <w:r w:rsidRPr="00164730">
        <w:rPr>
          <w:b/>
          <w:sz w:val="28"/>
          <w:szCs w:val="28"/>
          <w:lang w:val="uk-UA"/>
        </w:rPr>
        <w:t xml:space="preserve">кту </w:t>
      </w:r>
      <w:r w:rsidR="00164730" w:rsidRPr="00164730">
        <w:rPr>
          <w:b/>
          <w:sz w:val="28"/>
          <w:szCs w:val="28"/>
          <w:lang w:val="uk-UA"/>
        </w:rPr>
        <w:t>наказу Міністерства фінансів України</w:t>
      </w:r>
    </w:p>
    <w:p w14:paraId="4EE2212F" w14:textId="72479074" w:rsidR="009C6BBF" w:rsidRPr="009C6BBF" w:rsidRDefault="00CD5785" w:rsidP="00CD5785">
      <w:pPr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«</w:t>
      </w:r>
      <w:r w:rsidR="009C6BBF" w:rsidRPr="009C6BBF">
        <w:rPr>
          <w:b/>
          <w:bCs/>
          <w:sz w:val="28"/>
          <w:szCs w:val="28"/>
          <w:lang w:val="uk-UA"/>
        </w:rPr>
        <w:t xml:space="preserve">Про внесення змін до наказу </w:t>
      </w:r>
      <w:r w:rsidR="009C6BBF" w:rsidRPr="009C6BBF">
        <w:rPr>
          <w:b/>
          <w:sz w:val="28"/>
          <w:szCs w:val="28"/>
          <w:lang w:val="uk-UA"/>
        </w:rPr>
        <w:t xml:space="preserve">Міністерства фінансів України від </w:t>
      </w:r>
      <w:r w:rsidR="009C6BBF" w:rsidRPr="005427D9">
        <w:rPr>
          <w:b/>
          <w:sz w:val="28"/>
          <w:szCs w:val="28"/>
          <w:lang w:val="uk-UA"/>
        </w:rPr>
        <w:t>09 жовтня 2012 р</w:t>
      </w:r>
      <w:r w:rsidR="00B507D3">
        <w:rPr>
          <w:b/>
          <w:sz w:val="28"/>
          <w:szCs w:val="28"/>
          <w:lang w:val="uk-UA"/>
        </w:rPr>
        <w:t>оку</w:t>
      </w:r>
      <w:r w:rsidR="009C6BBF" w:rsidRPr="005427D9">
        <w:rPr>
          <w:b/>
          <w:sz w:val="28"/>
          <w:szCs w:val="28"/>
          <w:lang w:val="uk-UA"/>
        </w:rPr>
        <w:t xml:space="preserve"> № 1064</w:t>
      </w:r>
      <w:r>
        <w:rPr>
          <w:b/>
          <w:sz w:val="28"/>
          <w:szCs w:val="28"/>
          <w:lang w:val="uk-UA"/>
        </w:rPr>
        <w:t>»</w:t>
      </w:r>
    </w:p>
    <w:p w14:paraId="537BFF2F" w14:textId="77777777" w:rsidR="009A4B38" w:rsidRPr="00164730" w:rsidRDefault="009A4B38" w:rsidP="009A4B38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  <w:lang w:val="uk-UA"/>
        </w:rPr>
      </w:pPr>
    </w:p>
    <w:p w14:paraId="56F97F5F" w14:textId="77777777" w:rsidR="009A4B38" w:rsidRPr="00164730" w:rsidRDefault="009A4B38" w:rsidP="009F2FB9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64730">
        <w:rPr>
          <w:sz w:val="28"/>
          <w:szCs w:val="28"/>
          <w:lang w:val="uk-UA"/>
        </w:rPr>
        <w:t>І. Визначення проблеми</w:t>
      </w:r>
    </w:p>
    <w:p w14:paraId="067A0C99" w14:textId="77777777" w:rsidR="009F2FB9" w:rsidRDefault="009F2FB9" w:rsidP="009F2FB9">
      <w:pPr>
        <w:ind w:firstLine="567"/>
        <w:jc w:val="both"/>
        <w:rPr>
          <w:sz w:val="28"/>
          <w:szCs w:val="28"/>
          <w:lang w:val="uk-UA"/>
        </w:rPr>
      </w:pPr>
    </w:p>
    <w:p w14:paraId="307A7F6C" w14:textId="296DDF2C" w:rsidR="00164730" w:rsidRDefault="00164730" w:rsidP="009F2FB9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164730">
        <w:rPr>
          <w:sz w:val="28"/>
          <w:szCs w:val="28"/>
          <w:lang w:val="uk-UA"/>
        </w:rPr>
        <w:t xml:space="preserve">На сьогодні згідно з Порядком видачі свідоцтва про допущення дорожнього транспортного засобу до </w:t>
      </w:r>
      <w:r w:rsidR="00BA7240">
        <w:rPr>
          <w:sz w:val="28"/>
          <w:szCs w:val="28"/>
          <w:lang w:val="uk-UA"/>
        </w:rPr>
        <w:t>перевезення</w:t>
      </w:r>
      <w:r w:rsidRPr="00164730">
        <w:rPr>
          <w:sz w:val="28"/>
          <w:szCs w:val="28"/>
          <w:lang w:val="uk-UA"/>
        </w:rPr>
        <w:t xml:space="preserve"> товарів під митними печатками та пломбами, затверджен</w:t>
      </w:r>
      <w:r w:rsidR="0009227F">
        <w:rPr>
          <w:sz w:val="28"/>
          <w:szCs w:val="28"/>
          <w:lang w:val="uk-UA"/>
        </w:rPr>
        <w:t>им</w:t>
      </w:r>
      <w:r w:rsidRPr="00164730">
        <w:rPr>
          <w:sz w:val="28"/>
          <w:szCs w:val="28"/>
          <w:lang w:val="uk-UA"/>
        </w:rPr>
        <w:t xml:space="preserve"> наказом Міністерства фінансів України від 09.10.2012 №</w:t>
      </w:r>
      <w:r w:rsidR="00C86D46">
        <w:rPr>
          <w:sz w:val="28"/>
          <w:szCs w:val="28"/>
          <w:lang w:val="uk-UA"/>
        </w:rPr>
        <w:t> </w:t>
      </w:r>
      <w:r w:rsidRPr="00164730">
        <w:rPr>
          <w:sz w:val="28"/>
          <w:szCs w:val="28"/>
          <w:lang w:val="uk-UA"/>
        </w:rPr>
        <w:t>1064</w:t>
      </w:r>
      <w:r w:rsidR="0009227F">
        <w:rPr>
          <w:sz w:val="28"/>
          <w:szCs w:val="28"/>
          <w:lang w:val="uk-UA"/>
        </w:rPr>
        <w:t>, зареєстрованим у</w:t>
      </w:r>
      <w:r w:rsidR="00961983">
        <w:rPr>
          <w:sz w:val="28"/>
          <w:szCs w:val="28"/>
          <w:lang w:val="uk-UA"/>
        </w:rPr>
        <w:t xml:space="preserve"> Міністерств</w:t>
      </w:r>
      <w:r w:rsidR="004107ED">
        <w:rPr>
          <w:sz w:val="28"/>
          <w:szCs w:val="28"/>
          <w:lang w:val="uk-UA"/>
        </w:rPr>
        <w:t>і</w:t>
      </w:r>
      <w:r w:rsidR="00961983">
        <w:rPr>
          <w:sz w:val="28"/>
          <w:szCs w:val="28"/>
          <w:lang w:val="uk-UA"/>
        </w:rPr>
        <w:t xml:space="preserve"> юстиції України 25.10.2012 за № 1787/22099</w:t>
      </w:r>
      <w:r w:rsidRPr="00164730">
        <w:rPr>
          <w:sz w:val="28"/>
          <w:szCs w:val="28"/>
          <w:lang w:val="uk-UA"/>
        </w:rPr>
        <w:t xml:space="preserve"> (далі – Порядок № 1064), свідоцтво про допущення дорожнього транспортного засобу до перевезення товарів під митними печатками та пломбами (далі – Свідоцтво про допущення) видається на транспортн</w:t>
      </w:r>
      <w:r>
        <w:rPr>
          <w:sz w:val="28"/>
          <w:szCs w:val="28"/>
          <w:lang w:val="uk-UA"/>
        </w:rPr>
        <w:t>ий</w:t>
      </w:r>
      <w:r w:rsidRPr="00164730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</w:t>
      </w:r>
      <w:r w:rsidRPr="00164730">
        <w:rPr>
          <w:sz w:val="28"/>
          <w:szCs w:val="28"/>
          <w:lang w:val="uk-UA"/>
        </w:rPr>
        <w:t>б</w:t>
      </w:r>
      <w:r w:rsidR="00961983">
        <w:rPr>
          <w:sz w:val="28"/>
          <w:szCs w:val="28"/>
          <w:lang w:val="uk-UA"/>
        </w:rPr>
        <w:t xml:space="preserve"> (далі – ТЗ)</w:t>
      </w:r>
      <w:r w:rsidRPr="001647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власник якого здійснює автомобільні перевезення на умовах </w:t>
      </w:r>
      <w:r w:rsidR="00BA7240">
        <w:rPr>
          <w:sz w:val="28"/>
          <w:szCs w:val="28"/>
          <w:lang w:val="uk-UA"/>
        </w:rPr>
        <w:t>Митної к</w:t>
      </w:r>
      <w:r>
        <w:rPr>
          <w:sz w:val="28"/>
          <w:szCs w:val="28"/>
          <w:lang w:val="uk-UA"/>
        </w:rPr>
        <w:t>онвенції про міжнародне перевезення вантажів із застосуванням книжки МДП 1975 року (далі – Конвенція МДП), митним органом, у зоні діяльності якого розташований цей власник ТЗ (за місцезнаходженням юридичної особи або за місцем проживання фізичної особи – підприємця).</w:t>
      </w:r>
    </w:p>
    <w:p w14:paraId="3BC6681E" w14:textId="07D622FF" w:rsidR="002E40B9" w:rsidRDefault="00164730" w:rsidP="009F2FB9">
      <w:pPr>
        <w:spacing w:after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Такий механізм є незручним </w:t>
      </w:r>
      <w:r w:rsidR="00C626EA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перевізників</w:t>
      </w:r>
      <w:r w:rsidR="0009227F">
        <w:rPr>
          <w:sz w:val="28"/>
          <w:szCs w:val="28"/>
          <w:lang w:val="uk-UA"/>
        </w:rPr>
        <w:t>,</w:t>
      </w:r>
      <w:r w:rsidR="00C626EA">
        <w:rPr>
          <w:sz w:val="28"/>
          <w:szCs w:val="28"/>
          <w:lang w:val="uk-UA"/>
        </w:rPr>
        <w:t xml:space="preserve"> оскільки</w:t>
      </w:r>
      <w:r>
        <w:rPr>
          <w:sz w:val="28"/>
          <w:szCs w:val="28"/>
          <w:lang w:val="uk-UA"/>
        </w:rPr>
        <w:t xml:space="preserve"> </w:t>
      </w:r>
      <w:r w:rsidR="00C626EA">
        <w:rPr>
          <w:sz w:val="28"/>
          <w:szCs w:val="28"/>
          <w:lang w:val="uk-UA"/>
        </w:rPr>
        <w:t>передбачає</w:t>
      </w:r>
      <w:r>
        <w:rPr>
          <w:sz w:val="28"/>
          <w:szCs w:val="28"/>
          <w:lang w:val="uk-UA"/>
        </w:rPr>
        <w:t xml:space="preserve"> </w:t>
      </w:r>
      <w:r w:rsidR="00C626EA">
        <w:rPr>
          <w:sz w:val="28"/>
          <w:szCs w:val="28"/>
          <w:lang w:val="uk-UA"/>
        </w:rPr>
        <w:t>додаткові витрати коштів та часу на доставку транспортного засобу у</w:t>
      </w:r>
      <w:r w:rsidR="00884E1D">
        <w:rPr>
          <w:sz w:val="28"/>
          <w:szCs w:val="28"/>
          <w:lang w:val="uk-UA"/>
        </w:rPr>
        <w:t xml:space="preserve"> визначені</w:t>
      </w:r>
      <w:r w:rsidR="00C626EA">
        <w:rPr>
          <w:sz w:val="28"/>
          <w:szCs w:val="28"/>
          <w:lang w:val="uk-UA"/>
        </w:rPr>
        <w:t xml:space="preserve"> митні органи для </w:t>
      </w:r>
      <w:r w:rsidR="00750D5B">
        <w:rPr>
          <w:sz w:val="28"/>
          <w:szCs w:val="28"/>
          <w:lang w:val="uk-UA"/>
        </w:rPr>
        <w:t xml:space="preserve">його огляду та </w:t>
      </w:r>
      <w:r w:rsidR="00D7787F">
        <w:rPr>
          <w:sz w:val="28"/>
          <w:szCs w:val="28"/>
          <w:lang w:val="uk-UA"/>
        </w:rPr>
        <w:t>отримання або продовження</w:t>
      </w:r>
      <w:r w:rsidR="00884E1D">
        <w:rPr>
          <w:sz w:val="28"/>
          <w:szCs w:val="28"/>
          <w:lang w:val="uk-UA"/>
        </w:rPr>
        <w:t xml:space="preserve"> дії</w:t>
      </w:r>
      <w:r w:rsidR="00D7787F">
        <w:rPr>
          <w:sz w:val="28"/>
          <w:szCs w:val="28"/>
          <w:lang w:val="uk-UA"/>
        </w:rPr>
        <w:t xml:space="preserve"> Свідоцтва про допущення.</w:t>
      </w:r>
    </w:p>
    <w:p w14:paraId="2FF8048A" w14:textId="3CDB08B2" w:rsidR="00884E1D" w:rsidRDefault="00884E1D" w:rsidP="009F2FB9">
      <w:pPr>
        <w:spacing w:after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передумовою отримання Свідоцтва п</w:t>
      </w:r>
      <w:r w:rsidR="0009227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 допущення є наявність у перевізника дозволу на допуск до процедури МДП, на що також необхідні додаткові витрати коштів та часу.</w:t>
      </w:r>
    </w:p>
    <w:p w14:paraId="1AC9668E" w14:textId="20327F8C" w:rsidR="00164730" w:rsidRPr="00164730" w:rsidRDefault="002E40B9" w:rsidP="009F2FB9">
      <w:pPr>
        <w:spacing w:after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розроблення </w:t>
      </w:r>
      <w:r w:rsidR="00CD5785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проекту наказу є поширення його норм на всіх автомобільних перевізників, що переміщують товари під митним контролем, надання перевізникам можливості отримувати Свідоцтва про допущення у будь-якому митному органі, незалежно від їх місцезнаходження (місця проживання), а також зменшення адміністративного та фінансового навантаження на </w:t>
      </w:r>
      <w:r w:rsidR="00750D5B">
        <w:rPr>
          <w:sz w:val="28"/>
          <w:szCs w:val="28"/>
          <w:lang w:val="uk-UA"/>
        </w:rPr>
        <w:t>суб</w:t>
      </w:r>
      <w:r w:rsidR="00750D5B" w:rsidRPr="00750D5B">
        <w:rPr>
          <w:sz w:val="28"/>
          <w:szCs w:val="28"/>
          <w:lang w:val="uk-UA"/>
        </w:rPr>
        <w:t>’</w:t>
      </w:r>
      <w:r w:rsidR="00750D5B">
        <w:rPr>
          <w:sz w:val="28"/>
          <w:szCs w:val="28"/>
          <w:lang w:val="uk-UA"/>
        </w:rPr>
        <w:t>єктів господарювання</w:t>
      </w:r>
      <w:r>
        <w:rPr>
          <w:sz w:val="28"/>
          <w:szCs w:val="28"/>
          <w:lang w:val="uk-UA"/>
        </w:rPr>
        <w:t xml:space="preserve">, пов’язаного з отриманням Свідоцтва про допущення. </w:t>
      </w:r>
    </w:p>
    <w:p w14:paraId="18C8526D" w14:textId="656340D1" w:rsidR="009A4B38" w:rsidRPr="00591A18" w:rsidRDefault="00853EC7" w:rsidP="00853EC7">
      <w:pPr>
        <w:pStyle w:val="a7"/>
        <w:spacing w:after="60"/>
        <w:ind w:left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</w:t>
      </w:r>
      <w:r w:rsidR="009A4B38" w:rsidRPr="00591A18">
        <w:rPr>
          <w:rFonts w:eastAsia="Calibri"/>
          <w:sz w:val="28"/>
          <w:szCs w:val="28"/>
          <w:lang w:val="uk-UA" w:eastAsia="en-US"/>
        </w:rPr>
        <w:t>Основні групи (підгрупи), на які проблема справляє вплив:</w:t>
      </w:r>
    </w:p>
    <w:p w14:paraId="4AF91E68" w14:textId="77777777" w:rsidR="00591A18" w:rsidRPr="000579FE" w:rsidRDefault="00591A18" w:rsidP="00591A18">
      <w:pPr>
        <w:pStyle w:val="a7"/>
        <w:spacing w:after="60"/>
        <w:ind w:left="1069"/>
        <w:jc w:val="both"/>
        <w:rPr>
          <w:rFonts w:eastAsia="Calibri"/>
          <w:lang w:val="uk-UA" w:eastAsia="en-US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3571"/>
        <w:gridCol w:w="2914"/>
        <w:gridCol w:w="2894"/>
      </w:tblGrid>
      <w:tr w:rsidR="00C4195E" w:rsidRPr="00C4195E" w14:paraId="316DFF48" w14:textId="77777777" w:rsidTr="00BF3A1F">
        <w:tc>
          <w:tcPr>
            <w:tcW w:w="3607" w:type="dxa"/>
          </w:tcPr>
          <w:p w14:paraId="4F67A7AC" w14:textId="77777777" w:rsidR="009A4B38" w:rsidRPr="00C4195E" w:rsidRDefault="009A4B38" w:rsidP="00560210">
            <w:pPr>
              <w:jc w:val="center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Групи (підгрупи)</w:t>
            </w:r>
          </w:p>
          <w:p w14:paraId="5698525E" w14:textId="77777777" w:rsidR="009A4B38" w:rsidRPr="00C4195E" w:rsidRDefault="009A4B38" w:rsidP="00560210">
            <w:pPr>
              <w:jc w:val="both"/>
              <w:rPr>
                <w:rFonts w:eastAsia="Calibri"/>
                <w:lang w:val="uk-UA" w:eastAsia="en-US"/>
              </w:rPr>
            </w:pPr>
          </w:p>
        </w:tc>
        <w:tc>
          <w:tcPr>
            <w:tcW w:w="2966" w:type="dxa"/>
          </w:tcPr>
          <w:p w14:paraId="2C9CB4AB" w14:textId="77777777" w:rsidR="009A4B38" w:rsidRPr="00C4195E" w:rsidRDefault="009A4B38" w:rsidP="00560210">
            <w:pPr>
              <w:jc w:val="center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Так</w:t>
            </w:r>
          </w:p>
        </w:tc>
        <w:tc>
          <w:tcPr>
            <w:tcW w:w="2948" w:type="dxa"/>
          </w:tcPr>
          <w:p w14:paraId="12CBD9C4" w14:textId="77777777" w:rsidR="009A4B38" w:rsidRPr="00C4195E" w:rsidRDefault="009A4B38" w:rsidP="00560210">
            <w:pPr>
              <w:jc w:val="center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Ні</w:t>
            </w:r>
          </w:p>
        </w:tc>
      </w:tr>
      <w:tr w:rsidR="00C4195E" w:rsidRPr="00C4195E" w14:paraId="77EE76FC" w14:textId="77777777" w:rsidTr="00BF3A1F">
        <w:tc>
          <w:tcPr>
            <w:tcW w:w="3607" w:type="dxa"/>
          </w:tcPr>
          <w:p w14:paraId="63E74725" w14:textId="77777777" w:rsidR="009A4B38" w:rsidRPr="00C4195E" w:rsidRDefault="009A4B38" w:rsidP="00560210">
            <w:pPr>
              <w:jc w:val="both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Громадяни</w:t>
            </w:r>
          </w:p>
        </w:tc>
        <w:tc>
          <w:tcPr>
            <w:tcW w:w="2966" w:type="dxa"/>
          </w:tcPr>
          <w:p w14:paraId="3AA1360D" w14:textId="3F3306D8" w:rsidR="009A4B38" w:rsidRPr="0036088B" w:rsidRDefault="0036088B" w:rsidP="0056021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–</w:t>
            </w:r>
          </w:p>
        </w:tc>
        <w:tc>
          <w:tcPr>
            <w:tcW w:w="2948" w:type="dxa"/>
          </w:tcPr>
          <w:p w14:paraId="55A361DE" w14:textId="53771EA9" w:rsidR="009A4B38" w:rsidRPr="00BF3A1F" w:rsidRDefault="00BF3A1F" w:rsidP="0056021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+</w:t>
            </w:r>
          </w:p>
        </w:tc>
      </w:tr>
      <w:tr w:rsidR="00C4195E" w:rsidRPr="00C4195E" w14:paraId="45B77510" w14:textId="77777777" w:rsidTr="00BF3A1F">
        <w:tc>
          <w:tcPr>
            <w:tcW w:w="3607" w:type="dxa"/>
          </w:tcPr>
          <w:p w14:paraId="12578C9F" w14:textId="77777777" w:rsidR="009A4B38" w:rsidRPr="00C4195E" w:rsidRDefault="009A4B38" w:rsidP="00560210">
            <w:pPr>
              <w:jc w:val="both"/>
              <w:rPr>
                <w:rFonts w:eastAsia="Calibri"/>
                <w:lang w:eastAsia="en-US"/>
              </w:rPr>
            </w:pPr>
            <w:r w:rsidRPr="00C4195E">
              <w:rPr>
                <w:rFonts w:eastAsia="Calibri"/>
                <w:lang w:val="uk-UA" w:eastAsia="en-US"/>
              </w:rPr>
              <w:t>Держава</w:t>
            </w:r>
          </w:p>
        </w:tc>
        <w:tc>
          <w:tcPr>
            <w:tcW w:w="2966" w:type="dxa"/>
          </w:tcPr>
          <w:p w14:paraId="43BA78F7" w14:textId="77777777" w:rsidR="009A4B38" w:rsidRPr="00C4195E" w:rsidRDefault="009A4B38" w:rsidP="00560210">
            <w:pPr>
              <w:jc w:val="center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48" w:type="dxa"/>
          </w:tcPr>
          <w:p w14:paraId="63BF8753" w14:textId="72AC3D48" w:rsidR="009A4B38" w:rsidRPr="00BF3A1F" w:rsidRDefault="0036088B" w:rsidP="0056021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–</w:t>
            </w:r>
          </w:p>
        </w:tc>
      </w:tr>
      <w:tr w:rsidR="00C4195E" w:rsidRPr="00C4195E" w14:paraId="51DAF5FF" w14:textId="77777777" w:rsidTr="00BF3A1F">
        <w:tc>
          <w:tcPr>
            <w:tcW w:w="3607" w:type="dxa"/>
          </w:tcPr>
          <w:p w14:paraId="2A12AE98" w14:textId="77777777" w:rsidR="009A4B38" w:rsidRPr="00C4195E" w:rsidRDefault="009A4B38" w:rsidP="00560210">
            <w:pPr>
              <w:jc w:val="both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Суб’єкти господарювання</w:t>
            </w:r>
          </w:p>
        </w:tc>
        <w:tc>
          <w:tcPr>
            <w:tcW w:w="2966" w:type="dxa"/>
          </w:tcPr>
          <w:p w14:paraId="29C0D782" w14:textId="77777777" w:rsidR="009A4B38" w:rsidRPr="00C4195E" w:rsidRDefault="009A4B38" w:rsidP="00560210">
            <w:pPr>
              <w:jc w:val="center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48" w:type="dxa"/>
          </w:tcPr>
          <w:p w14:paraId="66186B58" w14:textId="10957259" w:rsidR="009A4B38" w:rsidRPr="00BF3A1F" w:rsidRDefault="0036088B" w:rsidP="0056021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–</w:t>
            </w:r>
          </w:p>
        </w:tc>
      </w:tr>
      <w:tr w:rsidR="00C4195E" w:rsidRPr="00C4195E" w14:paraId="7FABB9A2" w14:textId="77777777" w:rsidTr="00BF3A1F">
        <w:tc>
          <w:tcPr>
            <w:tcW w:w="3607" w:type="dxa"/>
          </w:tcPr>
          <w:p w14:paraId="581C081C" w14:textId="77777777" w:rsidR="009A4B38" w:rsidRPr="00C4195E" w:rsidRDefault="009A4B38" w:rsidP="00560210">
            <w:pPr>
              <w:jc w:val="both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 xml:space="preserve">у тому числі суб’єкти  малого підприємництва ⃰⃰⃰⃰⃰⃰  </w:t>
            </w:r>
          </w:p>
        </w:tc>
        <w:tc>
          <w:tcPr>
            <w:tcW w:w="2966" w:type="dxa"/>
          </w:tcPr>
          <w:p w14:paraId="466FF728" w14:textId="77777777" w:rsidR="009A4B38" w:rsidRPr="00C4195E" w:rsidRDefault="009A4B38" w:rsidP="00560210">
            <w:pPr>
              <w:jc w:val="center"/>
              <w:rPr>
                <w:rFonts w:eastAsia="Calibri"/>
                <w:lang w:val="uk-UA" w:eastAsia="en-US"/>
              </w:rPr>
            </w:pPr>
            <w:r w:rsidRPr="00C4195E">
              <w:rPr>
                <w:rFonts w:eastAsia="Calibri"/>
                <w:lang w:val="uk-UA" w:eastAsia="en-US"/>
              </w:rPr>
              <w:t>+</w:t>
            </w:r>
          </w:p>
        </w:tc>
        <w:tc>
          <w:tcPr>
            <w:tcW w:w="2948" w:type="dxa"/>
          </w:tcPr>
          <w:p w14:paraId="5069A354" w14:textId="3722620F" w:rsidR="009A4B38" w:rsidRPr="0036088B" w:rsidRDefault="0036088B" w:rsidP="0056021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–</w:t>
            </w:r>
          </w:p>
        </w:tc>
      </w:tr>
    </w:tbl>
    <w:p w14:paraId="79FD802C" w14:textId="5512D71B" w:rsidR="009A4B38" w:rsidRDefault="009A4B38" w:rsidP="00BF3A1F">
      <w:pPr>
        <w:pStyle w:val="a3"/>
        <w:spacing w:before="60" w:beforeAutospacing="0" w:after="120" w:afterAutospacing="0"/>
        <w:ind w:firstLine="567"/>
        <w:jc w:val="both"/>
        <w:rPr>
          <w:rFonts w:eastAsia="Calibri"/>
          <w:lang w:val="uk-UA" w:eastAsia="en-US"/>
        </w:rPr>
      </w:pPr>
      <w:r w:rsidRPr="00C4195E">
        <w:rPr>
          <w:rFonts w:eastAsia="Calibri"/>
          <w:lang w:val="uk-UA" w:eastAsia="en-US"/>
        </w:rPr>
        <w:t xml:space="preserve"> ⃰⃰⃰⃰⃰⃰</w:t>
      </w:r>
      <w:r w:rsidR="0017069D" w:rsidRPr="00CD5785">
        <w:rPr>
          <w:rFonts w:eastAsia="Calibri"/>
          <w:lang w:val="uk-UA" w:eastAsia="en-US"/>
        </w:rPr>
        <w:t>П</w:t>
      </w:r>
      <w:r w:rsidRPr="00CD5785">
        <w:rPr>
          <w:rFonts w:eastAsia="Calibri"/>
          <w:lang w:val="uk-UA" w:eastAsia="en-US"/>
        </w:rPr>
        <w:t xml:space="preserve">итому вагу суб’єктів малого підприємництва </w:t>
      </w:r>
      <w:r w:rsidR="0017069D" w:rsidRPr="00CD5785">
        <w:rPr>
          <w:rFonts w:eastAsia="Calibri"/>
          <w:lang w:val="uk-UA" w:eastAsia="en-US"/>
        </w:rPr>
        <w:t>зазначи</w:t>
      </w:r>
      <w:r w:rsidRPr="00CD5785">
        <w:rPr>
          <w:rFonts w:eastAsia="Calibri"/>
          <w:lang w:val="uk-UA" w:eastAsia="en-US"/>
        </w:rPr>
        <w:t>ти неможливо, оскільки проблема однаково впливає н</w:t>
      </w:r>
      <w:r w:rsidR="0017069D" w:rsidRPr="00CD5785">
        <w:rPr>
          <w:rFonts w:eastAsia="Calibri"/>
          <w:lang w:val="uk-UA" w:eastAsia="en-US"/>
        </w:rPr>
        <w:t>а всіх суб’єктів господарювання</w:t>
      </w:r>
      <w:r w:rsidRPr="00CD5785">
        <w:rPr>
          <w:rFonts w:eastAsia="Calibri"/>
          <w:lang w:val="uk-UA" w:eastAsia="en-US"/>
        </w:rPr>
        <w:t xml:space="preserve"> незалежно від рівня доходу</w:t>
      </w:r>
      <w:r w:rsidRPr="00C4195E">
        <w:rPr>
          <w:rFonts w:eastAsia="Calibri"/>
          <w:i/>
          <w:lang w:val="uk-UA" w:eastAsia="en-US"/>
        </w:rPr>
        <w:t>.</w:t>
      </w:r>
      <w:r w:rsidRPr="00C4195E">
        <w:rPr>
          <w:rFonts w:eastAsia="Calibri"/>
          <w:lang w:val="uk-UA" w:eastAsia="en-US"/>
        </w:rPr>
        <w:t xml:space="preserve"> </w:t>
      </w:r>
    </w:p>
    <w:p w14:paraId="4ED30B36" w14:textId="77777777" w:rsidR="00681B2B" w:rsidRPr="00C4195E" w:rsidRDefault="00681B2B" w:rsidP="00BF3A1F">
      <w:pPr>
        <w:pStyle w:val="a3"/>
        <w:spacing w:before="60" w:beforeAutospacing="0" w:after="120" w:afterAutospacing="0"/>
        <w:ind w:firstLine="567"/>
        <w:jc w:val="both"/>
        <w:rPr>
          <w:rFonts w:eastAsia="Calibri"/>
          <w:lang w:val="uk-UA" w:eastAsia="en-US"/>
        </w:rPr>
      </w:pPr>
    </w:p>
    <w:p w14:paraId="4809C9AB" w14:textId="77777777" w:rsidR="009A4B38" w:rsidRPr="00C4195E" w:rsidRDefault="009A4B38" w:rsidP="009F2FB9">
      <w:pPr>
        <w:pStyle w:val="a3"/>
        <w:spacing w:before="0" w:beforeAutospacing="0" w:after="6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4195E">
        <w:rPr>
          <w:rFonts w:eastAsia="Calibri"/>
          <w:sz w:val="28"/>
          <w:szCs w:val="28"/>
          <w:lang w:val="uk-UA" w:eastAsia="en-US"/>
        </w:rPr>
        <w:lastRenderedPageBreak/>
        <w:t>Врегулювання зазначеного питання не може бути здійснено за допомогою:</w:t>
      </w:r>
    </w:p>
    <w:p w14:paraId="3A8A86AE" w14:textId="77777777" w:rsidR="009A4B38" w:rsidRPr="00C4195E" w:rsidRDefault="009A4B38" w:rsidP="009F2FB9">
      <w:pPr>
        <w:pStyle w:val="a3"/>
        <w:spacing w:before="0" w:beforeAutospacing="0" w:after="6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4195E">
        <w:rPr>
          <w:rFonts w:eastAsia="Calibri"/>
          <w:sz w:val="28"/>
          <w:szCs w:val="28"/>
          <w:lang w:val="uk-UA" w:eastAsia="en-US"/>
        </w:rPr>
        <w:t>ринкових механізмів, оскільки такі питання регулюються виключно нормативн</w:t>
      </w:r>
      <w:r w:rsidR="0017069D" w:rsidRPr="00C4195E">
        <w:rPr>
          <w:rFonts w:eastAsia="Calibri"/>
          <w:sz w:val="28"/>
          <w:szCs w:val="28"/>
          <w:lang w:val="uk-UA" w:eastAsia="en-US"/>
        </w:rPr>
        <w:t>о-</w:t>
      </w:r>
      <w:r w:rsidRPr="00C4195E">
        <w:rPr>
          <w:rFonts w:eastAsia="Calibri"/>
          <w:sz w:val="28"/>
          <w:szCs w:val="28"/>
          <w:lang w:val="uk-UA" w:eastAsia="en-US"/>
        </w:rPr>
        <w:t>правовим актом;</w:t>
      </w:r>
    </w:p>
    <w:p w14:paraId="6F5D87B7" w14:textId="47521B8A" w:rsidR="009A4B38" w:rsidRDefault="0017069D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C4195E">
        <w:rPr>
          <w:rFonts w:eastAsia="Calibri"/>
          <w:sz w:val="28"/>
          <w:szCs w:val="28"/>
          <w:lang w:val="uk-UA" w:eastAsia="en-US"/>
        </w:rPr>
        <w:t>чинн</w:t>
      </w:r>
      <w:r w:rsidR="009A4B38" w:rsidRPr="00C4195E">
        <w:rPr>
          <w:rFonts w:eastAsia="Calibri"/>
          <w:sz w:val="28"/>
          <w:szCs w:val="28"/>
          <w:lang w:val="uk-UA" w:eastAsia="en-US"/>
        </w:rPr>
        <w:t xml:space="preserve">ого регуляторного </w:t>
      </w:r>
      <w:proofErr w:type="spellStart"/>
      <w:r w:rsidR="009A4B38" w:rsidRPr="00C4195E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="009A4B38" w:rsidRPr="00C4195E">
        <w:rPr>
          <w:rFonts w:eastAsia="Calibri"/>
          <w:sz w:val="28"/>
          <w:szCs w:val="28"/>
          <w:lang w:val="uk-UA" w:eastAsia="en-US"/>
        </w:rPr>
        <w:t xml:space="preserve">, оскільки він не </w:t>
      </w:r>
      <w:r w:rsidR="00C4195E" w:rsidRPr="00C4195E">
        <w:rPr>
          <w:rFonts w:eastAsia="Calibri"/>
          <w:sz w:val="28"/>
          <w:szCs w:val="28"/>
          <w:lang w:val="uk-UA" w:eastAsia="en-US"/>
        </w:rPr>
        <w:t>дає змоги усунути зазначені проблеми</w:t>
      </w:r>
      <w:r w:rsidR="009A4B38" w:rsidRPr="00C4195E">
        <w:rPr>
          <w:rFonts w:eastAsia="Calibri"/>
          <w:sz w:val="28"/>
          <w:szCs w:val="28"/>
          <w:lang w:val="uk-UA" w:eastAsia="en-US"/>
        </w:rPr>
        <w:t xml:space="preserve">. </w:t>
      </w:r>
    </w:p>
    <w:p w14:paraId="030F95B2" w14:textId="01A0A8E1" w:rsidR="00CD5785" w:rsidRDefault="00CD5785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0B7B7E4F" w14:textId="77777777" w:rsidR="00CD5785" w:rsidRPr="00C4195E" w:rsidRDefault="00CD5785" w:rsidP="00CD5785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14:paraId="2E882B4B" w14:textId="77777777" w:rsidR="009A4B38" w:rsidRPr="00C4195E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C4195E">
        <w:rPr>
          <w:sz w:val="28"/>
          <w:szCs w:val="28"/>
          <w:lang w:val="uk-UA"/>
        </w:rPr>
        <w:t>II. Цілі державного регулювання</w:t>
      </w:r>
    </w:p>
    <w:p w14:paraId="07724C54" w14:textId="26C8C81C" w:rsidR="00331474" w:rsidRDefault="00331474" w:rsidP="009F2FB9">
      <w:pPr>
        <w:spacing w:after="60"/>
        <w:ind w:firstLine="567"/>
        <w:jc w:val="both"/>
        <w:rPr>
          <w:sz w:val="28"/>
          <w:szCs w:val="28"/>
          <w:lang w:val="uk-UA"/>
        </w:rPr>
      </w:pPr>
    </w:p>
    <w:p w14:paraId="7FB19BA8" w14:textId="77777777" w:rsidR="00644664" w:rsidRDefault="00644664" w:rsidP="009F2FB9">
      <w:pPr>
        <w:spacing w:after="60"/>
        <w:ind w:firstLine="567"/>
        <w:jc w:val="both"/>
        <w:rPr>
          <w:sz w:val="28"/>
          <w:szCs w:val="28"/>
          <w:lang w:val="uk-UA"/>
        </w:rPr>
      </w:pPr>
    </w:p>
    <w:p w14:paraId="5F7F1A74" w14:textId="38A00324" w:rsidR="0036088B" w:rsidRPr="00A91D31" w:rsidRDefault="0036088B" w:rsidP="009F2FB9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Ціл</w:t>
      </w:r>
      <w:r w:rsidR="00331474">
        <w:rPr>
          <w:sz w:val="28"/>
          <w:szCs w:val="28"/>
          <w:lang w:val="uk-UA"/>
        </w:rPr>
        <w:t>і підготовки</w:t>
      </w:r>
      <w:r>
        <w:rPr>
          <w:sz w:val="28"/>
          <w:szCs w:val="28"/>
          <w:lang w:val="uk-UA"/>
        </w:rPr>
        <w:t xml:space="preserve"> </w:t>
      </w:r>
      <w:r w:rsidR="00331474">
        <w:rPr>
          <w:sz w:val="28"/>
          <w:szCs w:val="28"/>
          <w:lang w:val="uk-UA"/>
        </w:rPr>
        <w:t>проекту наказу</w:t>
      </w:r>
      <w:r w:rsidR="00331474" w:rsidRPr="00A91D31">
        <w:rPr>
          <w:sz w:val="28"/>
          <w:szCs w:val="28"/>
        </w:rPr>
        <w:t>:</w:t>
      </w:r>
    </w:p>
    <w:p w14:paraId="5D60ADFE" w14:textId="5CF6468E" w:rsidR="004A7DBC" w:rsidRPr="00A91D31" w:rsidRDefault="004A7DBC" w:rsidP="00A91D31">
      <w:pPr>
        <w:spacing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забезпечення виконання Україною технічних вимог</w:t>
      </w:r>
      <w:r w:rsidR="00331474">
        <w:rPr>
          <w:sz w:val="28"/>
          <w:szCs w:val="28"/>
          <w:lang w:val="uk-UA"/>
        </w:rPr>
        <w:t>, визначених додатком 2</w:t>
      </w:r>
      <w:r w:rsidR="0009227F">
        <w:rPr>
          <w:sz w:val="28"/>
          <w:szCs w:val="28"/>
          <w:lang w:val="uk-UA"/>
        </w:rPr>
        <w:t xml:space="preserve"> до</w:t>
      </w:r>
      <w:r w:rsidR="00331474">
        <w:rPr>
          <w:sz w:val="28"/>
          <w:szCs w:val="28"/>
          <w:lang w:val="uk-UA"/>
        </w:rPr>
        <w:t xml:space="preserve"> Конвенції МДП</w:t>
      </w:r>
      <w:r w:rsidR="0009227F">
        <w:rPr>
          <w:sz w:val="28"/>
          <w:szCs w:val="28"/>
          <w:lang w:val="uk-UA"/>
        </w:rPr>
        <w:t>,</w:t>
      </w:r>
      <w:r w:rsidR="00A91D31" w:rsidRPr="00A91D31">
        <w:rPr>
          <w:sz w:val="28"/>
          <w:szCs w:val="28"/>
        </w:rPr>
        <w:t xml:space="preserve"> </w:t>
      </w:r>
      <w:r w:rsidR="00A91D31">
        <w:rPr>
          <w:sz w:val="28"/>
          <w:szCs w:val="28"/>
          <w:lang w:val="uk-UA"/>
        </w:rPr>
        <w:t>під час видачі та продовженн</w:t>
      </w:r>
      <w:r w:rsidR="0009227F">
        <w:rPr>
          <w:sz w:val="28"/>
          <w:szCs w:val="28"/>
          <w:lang w:val="uk-UA"/>
        </w:rPr>
        <w:t>я</w:t>
      </w:r>
      <w:r w:rsidR="00A91D31">
        <w:rPr>
          <w:sz w:val="28"/>
          <w:szCs w:val="28"/>
          <w:lang w:val="uk-UA"/>
        </w:rPr>
        <w:t xml:space="preserve"> дії</w:t>
      </w:r>
      <w:r w:rsidR="00A91D31" w:rsidRPr="00A91D31">
        <w:rPr>
          <w:sz w:val="28"/>
          <w:szCs w:val="28"/>
          <w:lang w:val="uk-UA"/>
        </w:rPr>
        <w:t xml:space="preserve"> </w:t>
      </w:r>
      <w:r w:rsidR="00A91D31" w:rsidRPr="0036088B">
        <w:rPr>
          <w:sz w:val="28"/>
          <w:szCs w:val="28"/>
          <w:lang w:val="uk-UA"/>
        </w:rPr>
        <w:t>Свідоцтва про допущення</w:t>
      </w:r>
      <w:r w:rsidR="00A91D31" w:rsidRPr="00A91D31">
        <w:rPr>
          <w:sz w:val="28"/>
          <w:szCs w:val="28"/>
        </w:rPr>
        <w:t>;</w:t>
      </w:r>
    </w:p>
    <w:p w14:paraId="2AD6E9EE" w14:textId="0458BE6D" w:rsidR="0036088B" w:rsidRDefault="00D7787F" w:rsidP="00A044B4">
      <w:pPr>
        <w:spacing w:after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поширення дії Порядку на тих перевізників</w:t>
      </w:r>
      <w:r w:rsidR="0009227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6088B" w:rsidRPr="0036088B">
        <w:rPr>
          <w:sz w:val="28"/>
          <w:szCs w:val="28"/>
          <w:lang w:val="uk-UA"/>
        </w:rPr>
        <w:t>транспортн</w:t>
      </w:r>
      <w:r>
        <w:rPr>
          <w:sz w:val="28"/>
          <w:szCs w:val="28"/>
          <w:lang w:val="uk-UA"/>
        </w:rPr>
        <w:t>і</w:t>
      </w:r>
      <w:r w:rsidR="0036088B" w:rsidRPr="0036088B">
        <w:rPr>
          <w:sz w:val="28"/>
          <w:szCs w:val="28"/>
          <w:lang w:val="uk-UA"/>
        </w:rPr>
        <w:t xml:space="preserve"> засоб</w:t>
      </w:r>
      <w:r>
        <w:rPr>
          <w:sz w:val="28"/>
          <w:szCs w:val="28"/>
          <w:lang w:val="uk-UA"/>
        </w:rPr>
        <w:t>и</w:t>
      </w:r>
      <w:r w:rsidR="0036088B" w:rsidRPr="0036088B">
        <w:rPr>
          <w:sz w:val="28"/>
          <w:szCs w:val="28"/>
          <w:lang w:val="uk-UA"/>
        </w:rPr>
        <w:t xml:space="preserve"> яких відповідають міжнародним технічним вимогам, які визначені у додатку 2 до Конвенції МДП;</w:t>
      </w:r>
    </w:p>
    <w:p w14:paraId="3EA3BA56" w14:textId="132937FD" w:rsidR="00A044B4" w:rsidRPr="00A044B4" w:rsidRDefault="00A044B4" w:rsidP="00A044B4">
      <w:pPr>
        <w:spacing w:after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запровадження можливості отримання перевізниками </w:t>
      </w:r>
      <w:r w:rsidR="00C25BB3">
        <w:rPr>
          <w:sz w:val="28"/>
          <w:szCs w:val="28"/>
          <w:lang w:val="uk-UA"/>
        </w:rPr>
        <w:t xml:space="preserve">– резидентами </w:t>
      </w:r>
      <w:r>
        <w:rPr>
          <w:sz w:val="28"/>
          <w:szCs w:val="28"/>
          <w:lang w:val="uk-UA"/>
        </w:rPr>
        <w:t>Свідоцтва про допущення</w:t>
      </w:r>
      <w:r w:rsidR="006029C9"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  <w:lang w:val="uk-UA"/>
        </w:rPr>
        <w:t xml:space="preserve"> будь-як</w:t>
      </w:r>
      <w:r w:rsidR="006029C9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митн</w:t>
      </w:r>
      <w:r w:rsidR="006029C9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</w:t>
      </w:r>
      <w:r w:rsidR="006029C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орган</w:t>
      </w:r>
      <w:r w:rsidR="006029C9">
        <w:rPr>
          <w:sz w:val="28"/>
          <w:szCs w:val="28"/>
          <w:lang w:val="uk-UA"/>
        </w:rPr>
        <w:t>і</w:t>
      </w:r>
      <w:r w:rsidR="00C25BB3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незалежно від</w:t>
      </w:r>
      <w:r w:rsidR="006029C9"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  <w:lang w:val="uk-UA"/>
        </w:rPr>
        <w:t xml:space="preserve"> місця проживання</w:t>
      </w:r>
      <w:r w:rsidR="006029C9">
        <w:rPr>
          <w:sz w:val="28"/>
          <w:szCs w:val="28"/>
          <w:lang w:val="uk-UA"/>
        </w:rPr>
        <w:t>.</w:t>
      </w:r>
    </w:p>
    <w:p w14:paraId="197CC763" w14:textId="6C88C257" w:rsidR="00A044B4" w:rsidRPr="00A044B4" w:rsidRDefault="00A044B4" w:rsidP="00A044B4">
      <w:pPr>
        <w:spacing w:after="60"/>
        <w:ind w:firstLine="567"/>
        <w:jc w:val="both"/>
        <w:rPr>
          <w:sz w:val="28"/>
          <w:szCs w:val="28"/>
          <w:lang w:val="uk-UA"/>
        </w:rPr>
      </w:pPr>
    </w:p>
    <w:p w14:paraId="2807EABE" w14:textId="77777777" w:rsidR="009A4B38" w:rsidRPr="00C4195E" w:rsidRDefault="009A4B38" w:rsidP="00D43F84">
      <w:pPr>
        <w:pStyle w:val="3"/>
        <w:spacing w:before="0" w:beforeAutospacing="0" w:after="0" w:afterAutospacing="0"/>
        <w:ind w:firstLine="567"/>
        <w:rPr>
          <w:sz w:val="28"/>
          <w:szCs w:val="28"/>
          <w:lang w:val="uk-UA"/>
        </w:rPr>
      </w:pPr>
      <w:r w:rsidRPr="00C4195E">
        <w:rPr>
          <w:sz w:val="28"/>
          <w:szCs w:val="28"/>
          <w:lang w:val="uk-UA"/>
        </w:rPr>
        <w:t xml:space="preserve">III. Визначення та оцінка альтернативних способів досягнення цілей </w:t>
      </w:r>
    </w:p>
    <w:p w14:paraId="52C54F64" w14:textId="77777777" w:rsidR="00C3504A" w:rsidRPr="00C4195E" w:rsidRDefault="00C3504A" w:rsidP="00D43F84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14:paraId="76839D65" w14:textId="1CC65F1D" w:rsidR="009A4B38" w:rsidRPr="00CF48F7" w:rsidRDefault="009A4B38" w:rsidP="00591A18">
      <w:pPr>
        <w:pStyle w:val="3"/>
        <w:numPr>
          <w:ilvl w:val="0"/>
          <w:numId w:val="7"/>
        </w:numPr>
        <w:spacing w:before="0" w:beforeAutospacing="0" w:after="120" w:afterAutospacing="0"/>
        <w:jc w:val="both"/>
        <w:rPr>
          <w:b w:val="0"/>
          <w:sz w:val="24"/>
          <w:szCs w:val="24"/>
          <w:lang w:val="uk-UA"/>
        </w:rPr>
      </w:pPr>
      <w:r w:rsidRPr="00C4195E">
        <w:rPr>
          <w:b w:val="0"/>
          <w:sz w:val="28"/>
          <w:szCs w:val="28"/>
          <w:lang w:val="uk-UA"/>
        </w:rPr>
        <w:t xml:space="preserve">Альтернативні способи досягнення </w:t>
      </w:r>
      <w:r w:rsidR="00591A18">
        <w:rPr>
          <w:b w:val="0"/>
          <w:sz w:val="28"/>
          <w:szCs w:val="28"/>
          <w:lang w:val="uk-UA"/>
        </w:rPr>
        <w:t xml:space="preserve">цілей державного регулювання </w:t>
      </w:r>
    </w:p>
    <w:p w14:paraId="421F54AA" w14:textId="77777777" w:rsidR="00CF48F7" w:rsidRPr="000579FE" w:rsidRDefault="00CF48F7" w:rsidP="00CF48F7">
      <w:pPr>
        <w:pStyle w:val="3"/>
        <w:spacing w:before="0" w:beforeAutospacing="0" w:after="120" w:afterAutospacing="0"/>
        <w:ind w:left="567"/>
        <w:jc w:val="both"/>
        <w:rPr>
          <w:b w:val="0"/>
          <w:sz w:val="24"/>
          <w:szCs w:val="24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2"/>
        <w:gridCol w:w="6867"/>
      </w:tblGrid>
      <w:tr w:rsidR="00732178" w:rsidRPr="00732178" w14:paraId="76D6182F" w14:textId="77777777" w:rsidTr="003A76C6">
        <w:tc>
          <w:tcPr>
            <w:tcW w:w="2762" w:type="dxa"/>
          </w:tcPr>
          <w:p w14:paraId="323A2560" w14:textId="77777777" w:rsidR="009A4B38" w:rsidRPr="00732178" w:rsidRDefault="009A4B38" w:rsidP="009F2FB9">
            <w:pPr>
              <w:pStyle w:val="3"/>
              <w:spacing w:before="40" w:beforeAutospacing="0" w:after="4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732178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6867" w:type="dxa"/>
          </w:tcPr>
          <w:p w14:paraId="7BB8AD1C" w14:textId="77777777" w:rsidR="009A4B38" w:rsidRPr="00732178" w:rsidRDefault="009A4B38" w:rsidP="009F2FB9">
            <w:pPr>
              <w:pStyle w:val="3"/>
              <w:spacing w:before="40" w:beforeAutospacing="0" w:after="4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732178">
              <w:rPr>
                <w:b w:val="0"/>
                <w:sz w:val="24"/>
                <w:szCs w:val="24"/>
                <w:lang w:val="uk-UA"/>
              </w:rPr>
              <w:t xml:space="preserve">Опис альтернативи </w:t>
            </w:r>
          </w:p>
        </w:tc>
      </w:tr>
      <w:tr w:rsidR="00732178" w:rsidRPr="00C626EA" w14:paraId="51E7BACD" w14:textId="77777777" w:rsidTr="003A76C6">
        <w:tc>
          <w:tcPr>
            <w:tcW w:w="2762" w:type="dxa"/>
          </w:tcPr>
          <w:p w14:paraId="0E6ABD96" w14:textId="77777777" w:rsidR="009A4B38" w:rsidRPr="00732178" w:rsidRDefault="009A4B38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732178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6867" w:type="dxa"/>
          </w:tcPr>
          <w:p w14:paraId="1294DE6F" w14:textId="77777777" w:rsidR="00A7006E" w:rsidRDefault="00591584" w:rsidP="00A7006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732178">
              <w:rPr>
                <w:b w:val="0"/>
                <w:sz w:val="24"/>
                <w:szCs w:val="24"/>
                <w:lang w:val="uk-UA"/>
              </w:rPr>
              <w:t>Прийнят</w:t>
            </w:r>
            <w:r w:rsidR="00A7006E">
              <w:rPr>
                <w:b w:val="0"/>
                <w:sz w:val="24"/>
                <w:szCs w:val="24"/>
                <w:lang w:val="uk-UA"/>
              </w:rPr>
              <w:t>тя</w:t>
            </w:r>
            <w:r w:rsidR="009A4B38" w:rsidRPr="00732178">
              <w:rPr>
                <w:b w:val="0"/>
                <w:sz w:val="24"/>
                <w:szCs w:val="24"/>
                <w:lang w:val="uk-UA"/>
              </w:rPr>
              <w:t xml:space="preserve"> про</w:t>
            </w:r>
            <w:r w:rsidR="0017069D" w:rsidRPr="00732178">
              <w:rPr>
                <w:b w:val="0"/>
                <w:sz w:val="24"/>
                <w:szCs w:val="24"/>
                <w:lang w:val="uk-UA"/>
              </w:rPr>
              <w:t>е</w:t>
            </w:r>
            <w:r w:rsidR="009A4B38" w:rsidRPr="00732178">
              <w:rPr>
                <w:b w:val="0"/>
                <w:sz w:val="24"/>
                <w:szCs w:val="24"/>
                <w:lang w:val="uk-UA"/>
              </w:rPr>
              <w:t>кт</w:t>
            </w:r>
            <w:r w:rsidR="00A7006E">
              <w:rPr>
                <w:b w:val="0"/>
                <w:sz w:val="24"/>
                <w:szCs w:val="24"/>
                <w:lang w:val="uk-UA"/>
              </w:rPr>
              <w:t>у</w:t>
            </w:r>
            <w:r w:rsidR="00F45E35" w:rsidRPr="00732178">
              <w:rPr>
                <w:b w:val="0"/>
                <w:sz w:val="24"/>
                <w:szCs w:val="24"/>
                <w:lang w:val="uk-UA"/>
              </w:rPr>
              <w:t xml:space="preserve"> наказу Міністерства фінансів України </w:t>
            </w:r>
            <w:r w:rsidR="00CD5785">
              <w:rPr>
                <w:b w:val="0"/>
                <w:sz w:val="24"/>
                <w:szCs w:val="24"/>
                <w:lang w:val="uk-UA"/>
              </w:rPr>
              <w:t>«</w:t>
            </w:r>
            <w:r w:rsidR="00F45E35" w:rsidRPr="00732178">
              <w:rPr>
                <w:b w:val="0"/>
                <w:sz w:val="24"/>
                <w:szCs w:val="24"/>
                <w:lang w:val="uk-UA"/>
              </w:rPr>
              <w:t xml:space="preserve">Про внесення змін до </w:t>
            </w:r>
            <w:r w:rsidR="009C6BBF" w:rsidRPr="009C6BBF">
              <w:rPr>
                <w:b w:val="0"/>
                <w:sz w:val="24"/>
                <w:szCs w:val="24"/>
                <w:lang w:val="uk-UA"/>
              </w:rPr>
              <w:t>наказу Міністерства фінансів України</w:t>
            </w:r>
            <w:r w:rsidR="00331474" w:rsidRPr="00CA11C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762BFC">
              <w:rPr>
                <w:b w:val="0"/>
                <w:sz w:val="24"/>
                <w:szCs w:val="24"/>
                <w:lang w:val="uk-UA"/>
              </w:rPr>
              <w:t xml:space="preserve">                 </w:t>
            </w:r>
            <w:r w:rsidR="009C6BBF" w:rsidRPr="009C6BBF">
              <w:rPr>
                <w:b w:val="0"/>
                <w:sz w:val="24"/>
                <w:szCs w:val="24"/>
                <w:lang w:val="uk-UA"/>
              </w:rPr>
              <w:t xml:space="preserve"> від 09</w:t>
            </w:r>
            <w:r w:rsidR="00331474" w:rsidRPr="00CA11CC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9C6BBF" w:rsidRPr="009C6BBF">
              <w:rPr>
                <w:b w:val="0"/>
                <w:sz w:val="24"/>
                <w:szCs w:val="24"/>
                <w:lang w:val="uk-UA"/>
              </w:rPr>
              <w:t>жовтня 2012 р. № 1064</w:t>
            </w:r>
            <w:r w:rsidR="00CD5785">
              <w:rPr>
                <w:b w:val="0"/>
                <w:sz w:val="24"/>
                <w:szCs w:val="24"/>
                <w:lang w:val="uk-UA"/>
              </w:rPr>
              <w:t>»</w:t>
            </w:r>
            <w:r w:rsidR="00A7006E">
              <w:rPr>
                <w:b w:val="0"/>
                <w:sz w:val="24"/>
                <w:szCs w:val="24"/>
                <w:lang w:val="uk-UA"/>
              </w:rPr>
              <w:t>.</w:t>
            </w:r>
          </w:p>
          <w:p w14:paraId="2FF7D65F" w14:textId="1CF1B4ED" w:rsidR="009A4B38" w:rsidRPr="00732178" w:rsidRDefault="00A7006E" w:rsidP="00BA724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З</w:t>
            </w:r>
            <w:r w:rsidR="00CA11CC">
              <w:rPr>
                <w:b w:val="0"/>
                <w:sz w:val="24"/>
                <w:szCs w:val="24"/>
                <w:lang w:val="uk-UA"/>
              </w:rPr>
              <w:t>менш</w:t>
            </w:r>
            <w:r>
              <w:rPr>
                <w:b w:val="0"/>
                <w:sz w:val="24"/>
                <w:szCs w:val="24"/>
                <w:lang w:val="uk-UA"/>
              </w:rPr>
              <w:t>ення витрат коштів та</w:t>
            </w:r>
            <w:r w:rsidR="00CA11CC">
              <w:rPr>
                <w:b w:val="0"/>
                <w:sz w:val="24"/>
                <w:szCs w:val="24"/>
                <w:lang w:val="uk-UA"/>
              </w:rPr>
              <w:t xml:space="preserve"> час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="00BA7240">
              <w:rPr>
                <w:b w:val="0"/>
                <w:sz w:val="24"/>
                <w:szCs w:val="24"/>
                <w:lang w:val="uk-UA"/>
              </w:rPr>
              <w:t xml:space="preserve"> власником ТЗ або уповноваженою особою</w:t>
            </w:r>
            <w:r>
              <w:rPr>
                <w:b w:val="0"/>
                <w:sz w:val="24"/>
                <w:szCs w:val="24"/>
                <w:lang w:val="uk-UA"/>
              </w:rPr>
              <w:t xml:space="preserve"> на</w:t>
            </w:r>
            <w:r w:rsidR="00CA11CC">
              <w:rPr>
                <w:b w:val="0"/>
                <w:sz w:val="24"/>
                <w:szCs w:val="24"/>
                <w:lang w:val="uk-UA"/>
              </w:rPr>
              <w:t xml:space="preserve"> отримання Свідоцтва про допущення</w:t>
            </w:r>
            <w:r w:rsidR="009C6BBF" w:rsidRPr="009C6BBF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732178" w:rsidRPr="00732178" w14:paraId="6721DC36" w14:textId="77777777" w:rsidTr="003A76C6">
        <w:tc>
          <w:tcPr>
            <w:tcW w:w="2762" w:type="dxa"/>
          </w:tcPr>
          <w:p w14:paraId="41F61E78" w14:textId="77777777" w:rsidR="009A4B38" w:rsidRPr="00732178" w:rsidRDefault="009A4B38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732178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6867" w:type="dxa"/>
          </w:tcPr>
          <w:p w14:paraId="19FBACD3" w14:textId="2911BC10" w:rsidR="009A4B38" w:rsidRPr="00A91D31" w:rsidRDefault="00F45E35" w:rsidP="00681B2B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732178">
              <w:rPr>
                <w:b w:val="0"/>
                <w:sz w:val="24"/>
                <w:szCs w:val="24"/>
                <w:lang w:val="uk-UA"/>
              </w:rPr>
              <w:t>Залиш</w:t>
            </w:r>
            <w:r w:rsidR="00A7006E">
              <w:rPr>
                <w:b w:val="0"/>
                <w:sz w:val="24"/>
                <w:szCs w:val="24"/>
                <w:lang w:val="uk-UA"/>
              </w:rPr>
              <w:t>ення</w:t>
            </w:r>
            <w:r w:rsidRPr="00732178">
              <w:rPr>
                <w:b w:val="0"/>
                <w:sz w:val="24"/>
                <w:szCs w:val="24"/>
                <w:lang w:val="uk-UA"/>
              </w:rPr>
              <w:t xml:space="preserve"> наказ</w:t>
            </w:r>
            <w:r w:rsidR="00A7006E">
              <w:rPr>
                <w:b w:val="0"/>
                <w:sz w:val="24"/>
                <w:szCs w:val="24"/>
                <w:lang w:val="uk-UA"/>
              </w:rPr>
              <w:t>у</w:t>
            </w:r>
            <w:r w:rsidRPr="00732178">
              <w:rPr>
                <w:b w:val="0"/>
                <w:sz w:val="24"/>
                <w:szCs w:val="24"/>
                <w:lang w:val="uk-UA"/>
              </w:rPr>
              <w:t xml:space="preserve"> Міністерства фінансів України без змін</w:t>
            </w:r>
            <w:r w:rsidR="00A91D31">
              <w:rPr>
                <w:b w:val="0"/>
                <w:sz w:val="24"/>
                <w:szCs w:val="24"/>
                <w:lang w:val="uk-UA"/>
              </w:rPr>
              <w:t>. Процедура отримання Свідоцтва про допущення</w:t>
            </w:r>
            <w:r w:rsidR="00AE765B">
              <w:rPr>
                <w:b w:val="0"/>
                <w:sz w:val="24"/>
                <w:szCs w:val="24"/>
                <w:lang w:val="uk-UA"/>
              </w:rPr>
              <w:t xml:space="preserve"> перевізниками, які виконують перевезення </w:t>
            </w:r>
            <w:r w:rsidR="0002762C">
              <w:rPr>
                <w:b w:val="0"/>
                <w:sz w:val="24"/>
                <w:szCs w:val="24"/>
                <w:lang w:val="uk-UA"/>
              </w:rPr>
              <w:t>під митними печатками та пломбами</w:t>
            </w:r>
            <w:r w:rsidR="0009227F">
              <w:rPr>
                <w:b w:val="0"/>
                <w:sz w:val="24"/>
                <w:szCs w:val="24"/>
                <w:lang w:val="uk-UA"/>
              </w:rPr>
              <w:t>,</w:t>
            </w:r>
            <w:r w:rsidR="0002762C">
              <w:rPr>
                <w:b w:val="0"/>
                <w:sz w:val="24"/>
                <w:szCs w:val="24"/>
                <w:lang w:val="uk-UA"/>
              </w:rPr>
              <w:t xml:space="preserve"> залишається без змін</w:t>
            </w:r>
            <w:r w:rsidR="00BA7240">
              <w:rPr>
                <w:b w:val="0"/>
                <w:sz w:val="24"/>
                <w:szCs w:val="24"/>
                <w:lang w:val="uk-UA"/>
              </w:rPr>
              <w:t>. Витрат</w:t>
            </w:r>
            <w:r w:rsidR="00681B2B">
              <w:rPr>
                <w:b w:val="0"/>
                <w:sz w:val="24"/>
                <w:szCs w:val="24"/>
                <w:lang w:val="uk-UA"/>
              </w:rPr>
              <w:t>и</w:t>
            </w:r>
            <w:r w:rsidR="00BA7240">
              <w:rPr>
                <w:b w:val="0"/>
                <w:sz w:val="24"/>
                <w:szCs w:val="24"/>
                <w:lang w:val="uk-UA"/>
              </w:rPr>
              <w:t xml:space="preserve"> часу посадових осіб митниці та власників ТЗ та уповноважених осіб</w:t>
            </w:r>
          </w:p>
        </w:tc>
      </w:tr>
    </w:tbl>
    <w:p w14:paraId="0214825D" w14:textId="77777777" w:rsidR="009F2FB9" w:rsidRDefault="009F2FB9" w:rsidP="009F2FB9">
      <w:pPr>
        <w:pStyle w:val="3"/>
        <w:spacing w:before="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  <w:lang w:val="uk-UA" w:eastAsia="en-US"/>
        </w:rPr>
      </w:pPr>
    </w:p>
    <w:p w14:paraId="2FE2853B" w14:textId="45E4AD48" w:rsidR="009A4B38" w:rsidRDefault="00255B8A" w:rsidP="009F2FB9">
      <w:pPr>
        <w:pStyle w:val="3"/>
        <w:spacing w:before="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  <w:lang w:val="uk-UA" w:eastAsia="en-US"/>
        </w:rPr>
      </w:pPr>
      <w:r>
        <w:rPr>
          <w:rFonts w:eastAsia="Calibri"/>
          <w:b w:val="0"/>
          <w:sz w:val="28"/>
          <w:szCs w:val="28"/>
          <w:lang w:val="uk-UA" w:eastAsia="en-US"/>
        </w:rPr>
        <w:t xml:space="preserve">2. </w:t>
      </w:r>
      <w:r w:rsidR="009A4B38" w:rsidRPr="00732178">
        <w:rPr>
          <w:rFonts w:eastAsia="Calibri"/>
          <w:b w:val="0"/>
          <w:sz w:val="28"/>
          <w:szCs w:val="28"/>
          <w:lang w:val="uk-UA" w:eastAsia="en-US"/>
        </w:rPr>
        <w:t xml:space="preserve">Оцінка впливу на сферу інтересів держави </w:t>
      </w:r>
    </w:p>
    <w:p w14:paraId="70D86B29" w14:textId="77777777" w:rsidR="009F2FB9" w:rsidRPr="00732178" w:rsidRDefault="009F2FB9" w:rsidP="009F2FB9">
      <w:pPr>
        <w:pStyle w:val="3"/>
        <w:spacing w:before="0" w:beforeAutospacing="0" w:after="0" w:afterAutospacing="0"/>
        <w:ind w:firstLine="567"/>
        <w:jc w:val="both"/>
        <w:rPr>
          <w:rFonts w:eastAsia="Calibri"/>
          <w:b w:val="0"/>
          <w:sz w:val="28"/>
          <w:szCs w:val="28"/>
          <w:lang w:val="uk-UA"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9"/>
        <w:gridCol w:w="4130"/>
        <w:gridCol w:w="2900"/>
      </w:tblGrid>
      <w:tr w:rsidR="00164730" w:rsidRPr="00164730" w14:paraId="7BFD1681" w14:textId="77777777" w:rsidTr="003A76C6">
        <w:tc>
          <w:tcPr>
            <w:tcW w:w="2599" w:type="dxa"/>
          </w:tcPr>
          <w:p w14:paraId="201DF05E" w14:textId="77777777" w:rsidR="009A4B38" w:rsidRPr="00A01461" w:rsidRDefault="009A4B38" w:rsidP="009F2FB9">
            <w:pPr>
              <w:pStyle w:val="3"/>
              <w:spacing w:before="40" w:beforeAutospacing="0" w:after="4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01461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130" w:type="dxa"/>
          </w:tcPr>
          <w:p w14:paraId="379B0803" w14:textId="77777777" w:rsidR="009A4B38" w:rsidRPr="00A01461" w:rsidRDefault="009A4B38" w:rsidP="009F2FB9">
            <w:pPr>
              <w:pStyle w:val="3"/>
              <w:spacing w:before="40" w:beforeAutospacing="0" w:after="4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01461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2900" w:type="dxa"/>
          </w:tcPr>
          <w:p w14:paraId="518F27F7" w14:textId="77777777" w:rsidR="009A4B38" w:rsidRPr="00A01461" w:rsidRDefault="009A4B38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01461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164730" w:rsidRPr="00A01461" w14:paraId="04778688" w14:textId="77777777" w:rsidTr="003A76C6">
        <w:tc>
          <w:tcPr>
            <w:tcW w:w="2599" w:type="dxa"/>
          </w:tcPr>
          <w:p w14:paraId="375542A8" w14:textId="77777777" w:rsidR="009A4B38" w:rsidRPr="00A01461" w:rsidRDefault="009A4B38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01461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130" w:type="dxa"/>
          </w:tcPr>
          <w:p w14:paraId="55D19C30" w14:textId="25834B43" w:rsidR="00EB2B2C" w:rsidRPr="00A62DD3" w:rsidRDefault="00884E1D" w:rsidP="005C6BE0">
            <w:pPr>
              <w:pStyle w:val="3"/>
              <w:spacing w:before="0" w:beforeAutospacing="0" w:after="0" w:afterAutospacing="0"/>
              <w:ind w:firstLine="259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З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дійснювати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міжнародн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перевезен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ня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A7006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товарів 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транспортними засобами,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технічні 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характеристики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яких 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відповідають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D23E68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вимогам 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Конвенці</w:t>
            </w:r>
            <w:r w:rsidR="00A62DD3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ї</w:t>
            </w:r>
            <w:r w:rsidR="00EB2B2C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МДП</w:t>
            </w:r>
          </w:p>
          <w:p w14:paraId="3028DE0C" w14:textId="77777777" w:rsidR="00A7006E" w:rsidRDefault="00023B7F" w:rsidP="00A7006E">
            <w:pPr>
              <w:pStyle w:val="3"/>
              <w:spacing w:before="0" w:beforeAutospacing="0" w:after="0" w:afterAutospacing="0"/>
              <w:ind w:firstLine="259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lastRenderedPageBreak/>
              <w:t>З</w:t>
            </w:r>
            <w:r w:rsidR="005E41D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абезпечення </w:t>
            </w:r>
            <w:r w:rsidR="00A62DD3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надійних та безпечних міжнародних перевезень</w:t>
            </w:r>
            <w:r w:rsidR="00A7006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товарів.</w:t>
            </w:r>
            <w:r w:rsidR="00185503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</w:p>
          <w:p w14:paraId="6B2EA990" w14:textId="25C7B465" w:rsidR="00907935" w:rsidRDefault="00A7006E" w:rsidP="00A7006E">
            <w:pPr>
              <w:pStyle w:val="3"/>
              <w:spacing w:before="0" w:beforeAutospacing="0" w:after="0" w:afterAutospacing="0"/>
              <w:ind w:firstLine="259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Збільшення кількості транспортних засобів, конструкція яких дозволяє накладення </w:t>
            </w:r>
            <w:r w:rsidR="009079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митного забезпечення</w:t>
            </w:r>
          </w:p>
          <w:p w14:paraId="5CEB012B" w14:textId="66BD394D" w:rsidR="0006600A" w:rsidRPr="0006600A" w:rsidRDefault="0006600A" w:rsidP="00A7006E">
            <w:pPr>
              <w:pStyle w:val="3"/>
              <w:spacing w:before="0" w:beforeAutospacing="0" w:after="0" w:afterAutospacing="0"/>
              <w:ind w:firstLine="259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</w:p>
        </w:tc>
        <w:tc>
          <w:tcPr>
            <w:tcW w:w="2900" w:type="dxa"/>
          </w:tcPr>
          <w:p w14:paraId="3E98BC2B" w14:textId="1CEC7FED" w:rsidR="009A4B38" w:rsidRPr="00A01461" w:rsidRDefault="009A4B38" w:rsidP="00CD5785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A01461">
              <w:rPr>
                <w:rFonts w:eastAsia="Calibri"/>
                <w:b w:val="0"/>
                <w:sz w:val="24"/>
                <w:szCs w:val="24"/>
                <w:lang w:val="uk-UA" w:eastAsia="en-US"/>
              </w:rPr>
              <w:lastRenderedPageBreak/>
              <w:t xml:space="preserve">Додаткові витрати відсутні </w:t>
            </w:r>
          </w:p>
        </w:tc>
      </w:tr>
      <w:tr w:rsidR="00832D56" w:rsidRPr="007B3666" w14:paraId="43AC2E83" w14:textId="77777777" w:rsidTr="003A76C6">
        <w:tc>
          <w:tcPr>
            <w:tcW w:w="2599" w:type="dxa"/>
          </w:tcPr>
          <w:p w14:paraId="7870B8C3" w14:textId="77777777" w:rsidR="00832D56" w:rsidRPr="00832D56" w:rsidRDefault="00832D56" w:rsidP="00832D56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 w:rsidRPr="00832D56">
              <w:rPr>
                <w:b w:val="0"/>
                <w:sz w:val="24"/>
                <w:szCs w:val="24"/>
                <w:lang w:val="uk-UA"/>
              </w:rPr>
              <w:lastRenderedPageBreak/>
              <w:t>Альтернатива 2</w:t>
            </w:r>
          </w:p>
        </w:tc>
        <w:tc>
          <w:tcPr>
            <w:tcW w:w="4130" w:type="dxa"/>
          </w:tcPr>
          <w:p w14:paraId="176D1B3C" w14:textId="2A1B1861" w:rsidR="00832D56" w:rsidRPr="00832D56" w:rsidRDefault="00CD5785" w:rsidP="005C6BE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У </w:t>
            </w:r>
            <w:r w:rsidR="00832D56" w:rsidRPr="00832D56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разі залишення наказ</w:t>
            </w:r>
            <w:r w:rsidR="004A625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="00832D56" w:rsidRPr="00832D56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Мінфіну без змін </w:t>
            </w:r>
            <w:r w:rsidR="005C6BE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вигоди </w:t>
            </w:r>
            <w:r w:rsidR="00832D56" w:rsidRPr="00832D56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відсутні </w:t>
            </w:r>
          </w:p>
        </w:tc>
        <w:tc>
          <w:tcPr>
            <w:tcW w:w="2900" w:type="dxa"/>
          </w:tcPr>
          <w:p w14:paraId="4FBA9327" w14:textId="411559C2" w:rsidR="00B059C8" w:rsidRPr="00164730" w:rsidRDefault="00616E74" w:rsidP="0009227F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color w:val="0000FF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Чинне законодавство залишається без змін. </w:t>
            </w:r>
            <w:r w:rsidR="0050733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Всі власники транспортних засобів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, які </w:t>
            </w:r>
            <w:r w:rsidR="009079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мають намір здійснювати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міжнародні перевезення товарів</w:t>
            </w:r>
            <w:r w:rsidR="00A9602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,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C22CF6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під митними печатками та пломбами</w:t>
            </w:r>
            <w:r w:rsidR="00A9602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,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повинні отримати </w:t>
            </w:r>
            <w:r w:rsidR="00A9602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дозвіл на</w:t>
            </w:r>
            <w:r w:rsidR="005C6BE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мі</w:t>
            </w:r>
            <w:r w:rsidR="00C3187E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ж</w:t>
            </w:r>
            <w:r w:rsidR="005C6BE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народні</w:t>
            </w:r>
            <w:r w:rsidR="00A9602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перевезення товарів на умовах Конвенції МДП</w:t>
            </w:r>
            <w:r w:rsidR="00CB2D54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, що потребує додаткових витрат коштів та часу</w:t>
            </w:r>
          </w:p>
        </w:tc>
      </w:tr>
    </w:tbl>
    <w:p w14:paraId="57A2F170" w14:textId="45DDCB97" w:rsidR="009F2FB9" w:rsidRDefault="009F2FB9" w:rsidP="00D43F84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8D82E3A" w14:textId="77777777" w:rsidR="00644664" w:rsidRDefault="00644664" w:rsidP="00D43F84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D75FA3B" w14:textId="06C1E60B" w:rsidR="001D7D08" w:rsidRPr="00832D56" w:rsidRDefault="00D43F84" w:rsidP="00D43F84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3. </w:t>
      </w:r>
      <w:r w:rsidR="009A4B38" w:rsidRPr="00832D56">
        <w:rPr>
          <w:b w:val="0"/>
          <w:sz w:val="28"/>
          <w:szCs w:val="28"/>
          <w:lang w:val="uk-UA"/>
        </w:rPr>
        <w:t>Про</w:t>
      </w:r>
      <w:r w:rsidR="0017069D" w:rsidRPr="00832D56">
        <w:rPr>
          <w:b w:val="0"/>
          <w:sz w:val="28"/>
          <w:szCs w:val="28"/>
          <w:lang w:val="uk-UA"/>
        </w:rPr>
        <w:t>е</w:t>
      </w:r>
      <w:r w:rsidR="000F626C" w:rsidRPr="00832D56">
        <w:rPr>
          <w:b w:val="0"/>
          <w:sz w:val="28"/>
          <w:szCs w:val="28"/>
          <w:lang w:val="uk-UA"/>
        </w:rPr>
        <w:t xml:space="preserve">кт </w:t>
      </w:r>
      <w:r w:rsidR="00832D56" w:rsidRPr="00832D56">
        <w:rPr>
          <w:b w:val="0"/>
          <w:sz w:val="28"/>
          <w:szCs w:val="28"/>
          <w:lang w:val="uk-UA"/>
        </w:rPr>
        <w:t>наказу</w:t>
      </w:r>
      <w:r w:rsidR="0017069D" w:rsidRPr="00832D56">
        <w:rPr>
          <w:b w:val="0"/>
          <w:sz w:val="28"/>
          <w:szCs w:val="28"/>
          <w:lang w:val="uk-UA"/>
        </w:rPr>
        <w:t xml:space="preserve"> не розповсюджується</w:t>
      </w:r>
      <w:r w:rsidR="000F626C" w:rsidRPr="00832D56">
        <w:rPr>
          <w:b w:val="0"/>
          <w:sz w:val="28"/>
          <w:szCs w:val="28"/>
          <w:lang w:val="uk-UA"/>
        </w:rPr>
        <w:t xml:space="preserve"> на сферу інтересів </w:t>
      </w:r>
      <w:r w:rsidR="001D7D08" w:rsidRPr="00832D56">
        <w:rPr>
          <w:b w:val="0"/>
          <w:sz w:val="28"/>
          <w:szCs w:val="28"/>
          <w:lang w:val="uk-UA"/>
        </w:rPr>
        <w:t>громадян</w:t>
      </w:r>
      <w:r w:rsidR="00F058F8" w:rsidRPr="00832D56">
        <w:rPr>
          <w:b w:val="0"/>
          <w:sz w:val="28"/>
          <w:szCs w:val="28"/>
          <w:lang w:val="uk-UA"/>
        </w:rPr>
        <w:t>.</w:t>
      </w:r>
    </w:p>
    <w:p w14:paraId="1BF587C4" w14:textId="77777777" w:rsidR="009F2FB9" w:rsidRDefault="009F2FB9" w:rsidP="00D43F84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2E409CC6" w14:textId="549E96F6" w:rsidR="003A0B73" w:rsidRDefault="00255B8A" w:rsidP="00D43F84">
      <w:pPr>
        <w:pStyle w:val="3"/>
        <w:spacing w:before="0" w:beforeAutospacing="0" w:after="0" w:afterAutospacing="0"/>
        <w:ind w:firstLine="567"/>
        <w:jc w:val="both"/>
        <w:rPr>
          <w:rFonts w:eastAsia="Calibri"/>
          <w:lang w:val="uk-UA" w:eastAsia="en-US"/>
        </w:rPr>
      </w:pPr>
      <w:r>
        <w:rPr>
          <w:b w:val="0"/>
          <w:sz w:val="28"/>
          <w:szCs w:val="28"/>
          <w:lang w:val="uk-UA"/>
        </w:rPr>
        <w:t>4.</w:t>
      </w:r>
      <w:r w:rsidR="000579FE">
        <w:rPr>
          <w:b w:val="0"/>
          <w:sz w:val="28"/>
          <w:szCs w:val="28"/>
          <w:lang w:val="uk-UA"/>
        </w:rPr>
        <w:t xml:space="preserve"> </w:t>
      </w:r>
      <w:r w:rsidR="009A4B38" w:rsidRPr="00832D56">
        <w:rPr>
          <w:b w:val="0"/>
          <w:sz w:val="28"/>
          <w:szCs w:val="28"/>
          <w:lang w:val="uk-UA"/>
        </w:rPr>
        <w:t>Оцінка впливу на сферу інтересів суб’єктів господарювання</w:t>
      </w:r>
      <w:r w:rsidR="009A4B38" w:rsidRPr="00832D56">
        <w:rPr>
          <w:rFonts w:eastAsia="Calibri"/>
          <w:lang w:val="uk-UA" w:eastAsia="en-US"/>
        </w:rPr>
        <w:t xml:space="preserve"> </w:t>
      </w:r>
    </w:p>
    <w:p w14:paraId="63122FBC" w14:textId="5780740E" w:rsidR="005C6BE0" w:rsidRDefault="005C6BE0" w:rsidP="00D43F84">
      <w:pPr>
        <w:pStyle w:val="3"/>
        <w:spacing w:before="0" w:beforeAutospacing="0" w:after="0" w:afterAutospacing="0"/>
        <w:ind w:firstLine="567"/>
        <w:jc w:val="both"/>
        <w:rPr>
          <w:rFonts w:eastAsia="Calibri"/>
          <w:b w:val="0"/>
          <w:lang w:val="uk-UA" w:eastAsia="en-US"/>
        </w:rPr>
      </w:pPr>
      <w:r>
        <w:rPr>
          <w:rFonts w:eastAsia="Calibri"/>
          <w:b w:val="0"/>
          <w:lang w:val="uk-UA" w:eastAsia="en-US"/>
        </w:rPr>
        <w:t>Станом на</w:t>
      </w:r>
      <w:r w:rsidR="00AC30E8">
        <w:rPr>
          <w:rFonts w:eastAsia="Calibri"/>
          <w:b w:val="0"/>
          <w:lang w:val="uk-UA" w:eastAsia="en-US"/>
        </w:rPr>
        <w:t xml:space="preserve"> 01.12.2021</w:t>
      </w:r>
      <w:r w:rsidR="002C4A79">
        <w:rPr>
          <w:rFonts w:eastAsia="Calibri"/>
          <w:b w:val="0"/>
          <w:lang w:val="uk-UA" w:eastAsia="en-US"/>
        </w:rPr>
        <w:t xml:space="preserve"> –</w:t>
      </w:r>
      <w:r w:rsidR="002C4A79">
        <w:rPr>
          <w:rFonts w:eastAsia="Calibri"/>
          <w:lang w:val="uk-UA"/>
        </w:rPr>
        <w:t xml:space="preserve"> </w:t>
      </w:r>
      <w:r w:rsidR="00A841D4">
        <w:rPr>
          <w:rFonts w:eastAsia="Calibri"/>
          <w:b w:val="0"/>
          <w:lang w:val="uk-UA" w:eastAsia="en-US"/>
        </w:rPr>
        <w:t>19022</w:t>
      </w:r>
      <w:r>
        <w:rPr>
          <w:rFonts w:eastAsia="Calibri"/>
          <w:b w:val="0"/>
          <w:lang w:val="uk-UA" w:eastAsia="en-US"/>
        </w:rPr>
        <w:t xml:space="preserve"> ос</w:t>
      </w:r>
      <w:r w:rsidR="0009227F">
        <w:rPr>
          <w:rFonts w:eastAsia="Calibri"/>
          <w:b w:val="0"/>
          <w:lang w:val="uk-UA" w:eastAsia="en-US"/>
        </w:rPr>
        <w:t>о</w:t>
      </w:r>
      <w:r>
        <w:rPr>
          <w:rFonts w:eastAsia="Calibri"/>
          <w:b w:val="0"/>
          <w:lang w:val="uk-UA" w:eastAsia="en-US"/>
        </w:rPr>
        <w:t>б</w:t>
      </w:r>
      <w:r w:rsidR="0009227F">
        <w:rPr>
          <w:rFonts w:eastAsia="Calibri"/>
          <w:b w:val="0"/>
          <w:lang w:val="uk-UA" w:eastAsia="en-US"/>
        </w:rPr>
        <w:t>и</w:t>
      </w:r>
      <w:r w:rsidR="00AC30E8">
        <w:rPr>
          <w:rFonts w:eastAsia="Calibri"/>
          <w:b w:val="0"/>
          <w:lang w:val="uk-UA" w:eastAsia="en-US"/>
        </w:rPr>
        <w:t xml:space="preserve"> перебувають на обліку в митних органах</w:t>
      </w:r>
      <w:r>
        <w:rPr>
          <w:rFonts w:eastAsia="Calibri"/>
          <w:b w:val="0"/>
          <w:lang w:val="uk-UA" w:eastAsia="en-US"/>
        </w:rPr>
        <w:t>, які здійснюють міжнародні перевезення товарів</w:t>
      </w:r>
      <w:r w:rsidR="00023B7F">
        <w:rPr>
          <w:rFonts w:eastAsia="Calibri"/>
          <w:b w:val="0"/>
          <w:lang w:val="uk-UA" w:eastAsia="en-US"/>
        </w:rPr>
        <w:t>.</w:t>
      </w:r>
    </w:p>
    <w:p w14:paraId="18DAD821" w14:textId="02BE8B14" w:rsidR="002C4A79" w:rsidRDefault="002C4A79" w:rsidP="00D43F84">
      <w:pPr>
        <w:pStyle w:val="3"/>
        <w:spacing w:before="0" w:beforeAutospacing="0" w:after="0" w:afterAutospacing="0"/>
        <w:ind w:firstLine="567"/>
        <w:jc w:val="both"/>
        <w:rPr>
          <w:rFonts w:eastAsia="Calibri"/>
          <w:b w:val="0"/>
          <w:lang w:val="uk-UA" w:eastAsia="en-US"/>
        </w:rPr>
      </w:pPr>
      <w:r>
        <w:rPr>
          <w:rFonts w:eastAsia="Calibri"/>
          <w:b w:val="0"/>
          <w:lang w:val="uk-UA" w:eastAsia="en-US"/>
        </w:rPr>
        <w:t xml:space="preserve">Станом на 01.12.2021 – </w:t>
      </w:r>
      <w:r w:rsidRPr="00560210">
        <w:rPr>
          <w:rFonts w:eastAsia="Calibri"/>
          <w:b w:val="0"/>
          <w:lang w:val="uk-UA" w:eastAsia="en-US"/>
        </w:rPr>
        <w:t>2861</w:t>
      </w:r>
      <w:r w:rsidR="00DF6A15">
        <w:rPr>
          <w:rFonts w:eastAsia="Calibri"/>
          <w:b w:val="0"/>
          <w:lang w:val="uk-UA" w:eastAsia="en-US"/>
        </w:rPr>
        <w:t xml:space="preserve"> суб</w:t>
      </w:r>
      <w:r w:rsidR="00DF6A15" w:rsidRPr="00DF6A15">
        <w:rPr>
          <w:rFonts w:eastAsia="Calibri"/>
          <w:b w:val="0"/>
          <w:lang w:val="uk-UA" w:eastAsia="en-US"/>
        </w:rPr>
        <w:t>’</w:t>
      </w:r>
      <w:r w:rsidR="00DF6A15">
        <w:rPr>
          <w:rFonts w:eastAsia="Calibri"/>
          <w:b w:val="0"/>
          <w:lang w:val="uk-UA" w:eastAsia="en-US"/>
        </w:rPr>
        <w:t xml:space="preserve">єкт господарювання, </w:t>
      </w:r>
      <w:r w:rsidR="0009227F">
        <w:rPr>
          <w:rFonts w:eastAsia="Calibri"/>
          <w:b w:val="0"/>
          <w:lang w:val="uk-UA" w:eastAsia="en-US"/>
        </w:rPr>
        <w:t>що</w:t>
      </w:r>
      <w:r w:rsidR="00DF6A15">
        <w:rPr>
          <w:rFonts w:eastAsia="Calibri"/>
          <w:b w:val="0"/>
          <w:lang w:val="uk-UA" w:eastAsia="en-US"/>
        </w:rPr>
        <w:t xml:space="preserve"> </w:t>
      </w:r>
      <w:r>
        <w:rPr>
          <w:rFonts w:eastAsia="Calibri"/>
          <w:b w:val="0"/>
          <w:lang w:val="uk-UA" w:eastAsia="en-US"/>
        </w:rPr>
        <w:t>отрима</w:t>
      </w:r>
      <w:r w:rsidR="0009227F">
        <w:rPr>
          <w:rFonts w:eastAsia="Calibri"/>
          <w:b w:val="0"/>
          <w:lang w:val="uk-UA" w:eastAsia="en-US"/>
        </w:rPr>
        <w:t>в</w:t>
      </w:r>
      <w:r>
        <w:rPr>
          <w:rFonts w:eastAsia="Calibri"/>
          <w:b w:val="0"/>
          <w:lang w:val="uk-UA" w:eastAsia="en-US"/>
        </w:rPr>
        <w:t xml:space="preserve"> дозвіл</w:t>
      </w:r>
      <w:r w:rsidR="0009227F">
        <w:rPr>
          <w:rFonts w:eastAsia="Calibri"/>
          <w:b w:val="0"/>
          <w:lang w:val="uk-UA" w:eastAsia="en-US"/>
        </w:rPr>
        <w:t xml:space="preserve"> на </w:t>
      </w:r>
      <w:r>
        <w:rPr>
          <w:rFonts w:eastAsia="Calibri"/>
          <w:b w:val="0"/>
          <w:lang w:val="uk-UA" w:eastAsia="en-US"/>
        </w:rPr>
        <w:t>викон</w:t>
      </w:r>
      <w:r w:rsidR="0009227F">
        <w:rPr>
          <w:rFonts w:eastAsia="Calibri"/>
          <w:b w:val="0"/>
          <w:lang w:val="uk-UA" w:eastAsia="en-US"/>
        </w:rPr>
        <w:t>ання</w:t>
      </w:r>
      <w:r>
        <w:rPr>
          <w:rFonts w:eastAsia="Calibri"/>
          <w:b w:val="0"/>
          <w:lang w:val="uk-UA" w:eastAsia="en-US"/>
        </w:rPr>
        <w:t xml:space="preserve"> </w:t>
      </w:r>
      <w:r w:rsidR="00DF6A15">
        <w:rPr>
          <w:rFonts w:eastAsia="Calibri"/>
          <w:b w:val="0"/>
          <w:lang w:val="uk-UA" w:eastAsia="en-US"/>
        </w:rPr>
        <w:t>міжнародн</w:t>
      </w:r>
      <w:r w:rsidR="0009227F">
        <w:rPr>
          <w:rFonts w:eastAsia="Calibri"/>
          <w:b w:val="0"/>
          <w:lang w:val="uk-UA" w:eastAsia="en-US"/>
        </w:rPr>
        <w:t>их</w:t>
      </w:r>
      <w:r w:rsidR="00DF6A15">
        <w:rPr>
          <w:rFonts w:eastAsia="Calibri"/>
          <w:b w:val="0"/>
          <w:lang w:val="uk-UA" w:eastAsia="en-US"/>
        </w:rPr>
        <w:t xml:space="preserve"> перевезен</w:t>
      </w:r>
      <w:r w:rsidR="0009227F">
        <w:rPr>
          <w:rFonts w:eastAsia="Calibri"/>
          <w:b w:val="0"/>
          <w:lang w:val="uk-UA" w:eastAsia="en-US"/>
        </w:rPr>
        <w:t>ь</w:t>
      </w:r>
      <w:r w:rsidR="00DF6A15">
        <w:rPr>
          <w:rFonts w:eastAsia="Calibri"/>
          <w:b w:val="0"/>
          <w:lang w:val="uk-UA" w:eastAsia="en-US"/>
        </w:rPr>
        <w:t xml:space="preserve"> на умовах Конвенції МДП</w:t>
      </w:r>
      <w:r>
        <w:rPr>
          <w:rFonts w:eastAsia="Calibri"/>
          <w:b w:val="0"/>
          <w:lang w:val="uk-UA" w:eastAsia="en-US"/>
        </w:rPr>
        <w:t>.</w:t>
      </w:r>
    </w:p>
    <w:p w14:paraId="79B48F58" w14:textId="33CA172E" w:rsidR="00DF6A15" w:rsidRDefault="00DF6A15" w:rsidP="00D43F84">
      <w:pPr>
        <w:pStyle w:val="3"/>
        <w:spacing w:before="0" w:beforeAutospacing="0" w:after="0" w:afterAutospacing="0"/>
        <w:ind w:firstLine="567"/>
        <w:jc w:val="both"/>
        <w:rPr>
          <w:rFonts w:eastAsia="Calibri"/>
          <w:b w:val="0"/>
          <w:lang w:val="uk-UA" w:eastAsia="en-US"/>
        </w:rPr>
      </w:pPr>
      <w:r>
        <w:rPr>
          <w:rFonts w:eastAsia="Calibri"/>
          <w:b w:val="0"/>
          <w:lang w:val="uk-UA" w:eastAsia="en-US"/>
        </w:rPr>
        <w:t>Кількість суб</w:t>
      </w:r>
      <w:r w:rsidRPr="00DF6A15">
        <w:rPr>
          <w:rFonts w:eastAsia="Calibri"/>
          <w:b w:val="0"/>
          <w:lang w:val="uk-UA" w:eastAsia="en-US"/>
        </w:rPr>
        <w:t>’</w:t>
      </w:r>
      <w:r>
        <w:rPr>
          <w:rFonts w:eastAsia="Calibri"/>
          <w:b w:val="0"/>
          <w:lang w:val="uk-UA" w:eastAsia="en-US"/>
        </w:rPr>
        <w:t>єктів господарювання, що підпадають під дію регулювання, орієнтовано становить</w:t>
      </w:r>
      <w:r w:rsidR="00C3187E">
        <w:rPr>
          <w:rFonts w:eastAsia="Calibri"/>
          <w:b w:val="0"/>
          <w:lang w:val="uk-UA" w:eastAsia="en-US"/>
        </w:rPr>
        <w:t xml:space="preserve"> 16161</w:t>
      </w:r>
      <w:r w:rsidR="00023B7F">
        <w:rPr>
          <w:rFonts w:eastAsia="Calibri"/>
          <w:b w:val="0"/>
          <w:lang w:val="uk-UA" w:eastAsia="en-US"/>
        </w:rPr>
        <w:t xml:space="preserve">, а враховуючи </w:t>
      </w:r>
      <w:r w:rsidR="00F11021">
        <w:rPr>
          <w:rFonts w:eastAsia="Calibri"/>
          <w:b w:val="0"/>
          <w:lang w:val="uk-UA" w:eastAsia="en-US"/>
        </w:rPr>
        <w:t xml:space="preserve">можливість </w:t>
      </w:r>
      <w:r w:rsidR="00023B7F">
        <w:rPr>
          <w:rFonts w:eastAsia="Calibri"/>
          <w:b w:val="0"/>
          <w:lang w:val="uk-UA" w:eastAsia="en-US"/>
        </w:rPr>
        <w:t>продовження терміну дії Свідоцтва про допущення – 19022</w:t>
      </w:r>
      <w:r w:rsidR="00560210">
        <w:rPr>
          <w:rFonts w:eastAsia="Calibri"/>
          <w:b w:val="0"/>
          <w:lang w:val="uk-UA" w:eastAsia="en-US"/>
        </w:rPr>
        <w:t>.</w:t>
      </w:r>
    </w:p>
    <w:p w14:paraId="4DD982A7" w14:textId="79FD7378" w:rsidR="00832D56" w:rsidRDefault="00255B8A" w:rsidP="009F2FB9">
      <w:pPr>
        <w:pStyle w:val="a7"/>
        <w:spacing w:after="6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Введення у дію проекту наказу дасть</w:t>
      </w:r>
      <w:r w:rsidR="00CD5785" w:rsidRPr="00CD5785">
        <w:rPr>
          <w:bCs/>
          <w:sz w:val="28"/>
          <w:szCs w:val="28"/>
          <w:lang w:val="uk-UA"/>
        </w:rPr>
        <w:t xml:space="preserve"> </w:t>
      </w:r>
      <w:r w:rsidR="00CD5785">
        <w:rPr>
          <w:bCs/>
          <w:sz w:val="28"/>
          <w:szCs w:val="28"/>
          <w:lang w:val="uk-UA"/>
        </w:rPr>
        <w:t>можливість</w:t>
      </w:r>
      <w:r>
        <w:rPr>
          <w:bCs/>
          <w:sz w:val="28"/>
          <w:szCs w:val="28"/>
          <w:lang w:val="uk-UA"/>
        </w:rPr>
        <w:t xml:space="preserve"> перевізникам, які не здійснюють перевезення</w:t>
      </w:r>
      <w:r w:rsidR="00D04307">
        <w:rPr>
          <w:bCs/>
          <w:sz w:val="28"/>
          <w:szCs w:val="28"/>
          <w:lang w:val="uk-UA"/>
        </w:rPr>
        <w:t xml:space="preserve"> товарів </w:t>
      </w:r>
      <w:r>
        <w:rPr>
          <w:bCs/>
          <w:sz w:val="28"/>
          <w:szCs w:val="28"/>
          <w:lang w:val="uk-UA"/>
        </w:rPr>
        <w:t xml:space="preserve">на умовах Конвенції МДП, отримати Свідоцтво про допущення, уникнути зайвих адміністративних навантажень, пов’язаних з допуском до міжнародних автомобільних перевезень товарів під митними печатками та пломбами, </w:t>
      </w:r>
      <w:r w:rsidR="00D103AA">
        <w:rPr>
          <w:bCs/>
          <w:sz w:val="28"/>
          <w:szCs w:val="28"/>
          <w:lang w:val="uk-UA"/>
        </w:rPr>
        <w:t>а також сприятиме скороченню часових та фінансових витрат перевізників при здійсненні міжнародних перевезень товарів</w:t>
      </w:r>
      <w:r w:rsidR="00B05282">
        <w:rPr>
          <w:bCs/>
          <w:sz w:val="28"/>
          <w:szCs w:val="28"/>
          <w:lang w:val="uk-UA"/>
        </w:rPr>
        <w:t>.</w:t>
      </w:r>
      <w:r w:rsidR="00D103AA">
        <w:rPr>
          <w:bCs/>
          <w:sz w:val="28"/>
          <w:szCs w:val="28"/>
          <w:lang w:val="uk-UA"/>
        </w:rPr>
        <w:t xml:space="preserve"> </w:t>
      </w:r>
      <w:r w:rsidR="00B05282">
        <w:rPr>
          <w:bCs/>
          <w:sz w:val="28"/>
          <w:szCs w:val="28"/>
          <w:lang w:val="uk-UA"/>
        </w:rPr>
        <w:t xml:space="preserve">Обстеження технічного стану транспортного засобу на відповідність з метою накладання митного забезпечення на вантажний відсік транспортного засобу </w:t>
      </w:r>
      <w:r w:rsidR="00070635">
        <w:rPr>
          <w:bCs/>
          <w:sz w:val="28"/>
          <w:szCs w:val="28"/>
          <w:lang w:val="uk-UA"/>
        </w:rPr>
        <w:t>дасть можливість</w:t>
      </w:r>
      <w:r w:rsidR="00B05282">
        <w:rPr>
          <w:bCs/>
          <w:sz w:val="28"/>
          <w:szCs w:val="28"/>
          <w:lang w:val="uk-UA"/>
        </w:rPr>
        <w:t xml:space="preserve"> </w:t>
      </w:r>
      <w:r w:rsidR="00070635">
        <w:rPr>
          <w:bCs/>
          <w:sz w:val="28"/>
          <w:szCs w:val="28"/>
          <w:lang w:val="uk-UA"/>
        </w:rPr>
        <w:t>проводити</w:t>
      </w:r>
      <w:r w:rsidR="00B05282">
        <w:rPr>
          <w:bCs/>
          <w:sz w:val="28"/>
          <w:szCs w:val="28"/>
          <w:lang w:val="uk-UA"/>
        </w:rPr>
        <w:t xml:space="preserve"> шляхом зовнішнього огляду</w:t>
      </w:r>
      <w:r w:rsidR="00195233">
        <w:rPr>
          <w:bCs/>
          <w:sz w:val="28"/>
          <w:szCs w:val="28"/>
          <w:lang w:val="uk-UA"/>
        </w:rPr>
        <w:t xml:space="preserve"> з мінімальними витратами часу</w:t>
      </w:r>
      <w:r w:rsidR="00B05282">
        <w:rPr>
          <w:bCs/>
          <w:sz w:val="28"/>
          <w:szCs w:val="28"/>
          <w:lang w:val="uk-UA"/>
        </w:rPr>
        <w:t xml:space="preserve">, що прискорить митні процедури </w:t>
      </w:r>
      <w:r w:rsidR="00195233">
        <w:rPr>
          <w:bCs/>
          <w:sz w:val="28"/>
          <w:szCs w:val="28"/>
          <w:lang w:val="uk-UA"/>
        </w:rPr>
        <w:t>при митному оформлені</w:t>
      </w:r>
      <w:r w:rsidR="00B05282">
        <w:rPr>
          <w:bCs/>
          <w:sz w:val="28"/>
          <w:szCs w:val="28"/>
          <w:lang w:val="uk-UA"/>
        </w:rPr>
        <w:t xml:space="preserve">. </w:t>
      </w:r>
    </w:p>
    <w:p w14:paraId="6CD4B02B" w14:textId="33A369E6" w:rsidR="00255B8A" w:rsidRDefault="00FA1D73" w:rsidP="009F2FB9">
      <w:pPr>
        <w:pStyle w:val="a7"/>
        <w:spacing w:after="60"/>
        <w:ind w:left="0" w:firstLine="567"/>
        <w:jc w:val="both"/>
        <w:rPr>
          <w:bCs/>
          <w:sz w:val="28"/>
          <w:szCs w:val="28"/>
          <w:lang w:val="uk-UA"/>
        </w:rPr>
      </w:pPr>
      <w:r w:rsidRPr="0058541A">
        <w:rPr>
          <w:bCs/>
          <w:sz w:val="28"/>
          <w:szCs w:val="28"/>
          <w:lang w:val="uk-UA"/>
        </w:rPr>
        <w:t>Кількість перевізників, які мають намір здійснювати перевезення без застосування книжки МДП, з</w:t>
      </w:r>
      <w:r w:rsidR="0058541A" w:rsidRPr="0058541A">
        <w:rPr>
          <w:bCs/>
          <w:sz w:val="28"/>
          <w:szCs w:val="28"/>
          <w:lang w:val="uk-UA"/>
        </w:rPr>
        <w:t>ростає</w:t>
      </w:r>
      <w:r w:rsidRPr="0058541A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14:paraId="0D6DFE83" w14:textId="77777777" w:rsidR="005635C4" w:rsidRDefault="00D701C6" w:rsidP="00CD5785">
      <w:pPr>
        <w:pStyle w:val="a7"/>
        <w:spacing w:after="120"/>
        <w:ind w:left="0" w:firstLine="567"/>
        <w:jc w:val="both"/>
        <w:rPr>
          <w:bCs/>
          <w:sz w:val="28"/>
          <w:szCs w:val="28"/>
          <w:lang w:val="uk-UA"/>
        </w:rPr>
      </w:pPr>
      <w:r w:rsidRPr="00BF3A1F">
        <w:rPr>
          <w:bCs/>
          <w:sz w:val="28"/>
          <w:szCs w:val="28"/>
          <w:lang w:val="uk-UA"/>
        </w:rPr>
        <w:t>Питому вагу суб’єктів малого підприємництва у загальній кількості перевізників визначити неможливо</w:t>
      </w:r>
      <w:r>
        <w:rPr>
          <w:bCs/>
          <w:sz w:val="28"/>
          <w:szCs w:val="28"/>
          <w:lang w:val="uk-UA"/>
        </w:rPr>
        <w:t xml:space="preserve">, оскільки проблема однаково впливає на всіх </w:t>
      </w:r>
    </w:p>
    <w:p w14:paraId="54807807" w14:textId="6FAB4B0B" w:rsidR="00D701C6" w:rsidRDefault="00D701C6" w:rsidP="005635C4">
      <w:pPr>
        <w:pStyle w:val="a7"/>
        <w:spacing w:after="120"/>
        <w:ind w:left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суб’єктів господарювання, що перебувають на обліку в митних органах відповідно до статті 455 Митного кодексу України, незалежно від рівня доходу. </w:t>
      </w:r>
    </w:p>
    <w:p w14:paraId="39D6264A" w14:textId="77777777" w:rsidR="006D4973" w:rsidRDefault="006D4973" w:rsidP="00CD5785">
      <w:pPr>
        <w:pStyle w:val="a7"/>
        <w:spacing w:after="120"/>
        <w:ind w:left="0" w:firstLine="567"/>
        <w:jc w:val="both"/>
        <w:rPr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6D4973" w14:paraId="25AD9B27" w14:textId="77777777" w:rsidTr="006D4973">
        <w:tc>
          <w:tcPr>
            <w:tcW w:w="2407" w:type="dxa"/>
          </w:tcPr>
          <w:p w14:paraId="610E4680" w14:textId="1EA772BD" w:rsidR="006D4973" w:rsidRPr="006D4973" w:rsidRDefault="006D4973" w:rsidP="006D4973">
            <w:pPr>
              <w:pStyle w:val="a7"/>
              <w:spacing w:after="120"/>
              <w:ind w:left="0"/>
              <w:jc w:val="center"/>
              <w:rPr>
                <w:bCs/>
                <w:lang w:val="uk-UA"/>
              </w:rPr>
            </w:pPr>
            <w:r w:rsidRPr="006D4973">
              <w:rPr>
                <w:bCs/>
                <w:lang w:val="uk-UA"/>
              </w:rPr>
              <w:t>Показник</w:t>
            </w:r>
          </w:p>
        </w:tc>
        <w:tc>
          <w:tcPr>
            <w:tcW w:w="2407" w:type="dxa"/>
          </w:tcPr>
          <w:p w14:paraId="7BB390EF" w14:textId="2E730C64" w:rsidR="006D4973" w:rsidRPr="006D4973" w:rsidRDefault="006D4973" w:rsidP="006D4973">
            <w:pPr>
              <w:pStyle w:val="a7"/>
              <w:spacing w:after="120"/>
              <w:ind w:left="0"/>
              <w:jc w:val="center"/>
              <w:rPr>
                <w:bCs/>
                <w:lang w:val="uk-UA"/>
              </w:rPr>
            </w:pPr>
            <w:r w:rsidRPr="006D4973">
              <w:rPr>
                <w:bCs/>
                <w:lang w:val="uk-UA"/>
              </w:rPr>
              <w:t>Великі-середні</w:t>
            </w:r>
          </w:p>
        </w:tc>
        <w:tc>
          <w:tcPr>
            <w:tcW w:w="2407" w:type="dxa"/>
          </w:tcPr>
          <w:p w14:paraId="32CC2B5E" w14:textId="2A538152" w:rsidR="006D4973" w:rsidRPr="006D4973" w:rsidRDefault="006D4973" w:rsidP="00E30958">
            <w:pPr>
              <w:pStyle w:val="a7"/>
              <w:spacing w:after="120"/>
              <w:ind w:left="0"/>
              <w:jc w:val="center"/>
              <w:rPr>
                <w:bCs/>
                <w:lang w:val="uk-UA"/>
              </w:rPr>
            </w:pPr>
            <w:r w:rsidRPr="006D4973">
              <w:rPr>
                <w:bCs/>
                <w:lang w:val="uk-UA"/>
              </w:rPr>
              <w:t>М</w:t>
            </w:r>
            <w:r w:rsidR="00E30958">
              <w:rPr>
                <w:bCs/>
                <w:lang w:val="uk-UA"/>
              </w:rPr>
              <w:t>алі</w:t>
            </w:r>
          </w:p>
        </w:tc>
        <w:tc>
          <w:tcPr>
            <w:tcW w:w="2408" w:type="dxa"/>
          </w:tcPr>
          <w:p w14:paraId="5DA88971" w14:textId="6D06AC3D" w:rsidR="006D4973" w:rsidRPr="006D4973" w:rsidRDefault="006D4973" w:rsidP="006D4973">
            <w:pPr>
              <w:pStyle w:val="a7"/>
              <w:spacing w:after="120"/>
              <w:ind w:left="0"/>
              <w:jc w:val="center"/>
              <w:rPr>
                <w:bCs/>
                <w:lang w:val="uk-UA"/>
              </w:rPr>
            </w:pPr>
            <w:r w:rsidRPr="006D4973">
              <w:rPr>
                <w:bCs/>
                <w:lang w:val="uk-UA"/>
              </w:rPr>
              <w:t>Разом</w:t>
            </w:r>
          </w:p>
        </w:tc>
      </w:tr>
      <w:tr w:rsidR="006D4973" w14:paraId="16E80387" w14:textId="77777777" w:rsidTr="006D4973">
        <w:tc>
          <w:tcPr>
            <w:tcW w:w="2407" w:type="dxa"/>
          </w:tcPr>
          <w:p w14:paraId="1025FE9D" w14:textId="5F5AB435" w:rsidR="006D4973" w:rsidRPr="006D4973" w:rsidRDefault="006D4973" w:rsidP="00CD5785">
            <w:pPr>
              <w:pStyle w:val="a7"/>
              <w:spacing w:after="120"/>
              <w:ind w:left="0"/>
              <w:jc w:val="both"/>
              <w:rPr>
                <w:bCs/>
                <w:lang w:val="uk-UA"/>
              </w:rPr>
            </w:pPr>
            <w:r w:rsidRPr="006D4973">
              <w:rPr>
                <w:bCs/>
                <w:lang w:val="uk-UA"/>
              </w:rPr>
              <w:t>Кількість суб’</w:t>
            </w:r>
            <w:r>
              <w:rPr>
                <w:bCs/>
                <w:lang w:val="uk-UA"/>
              </w:rPr>
              <w:t>єктів господарювання, що підпадають під дію регулювання</w:t>
            </w:r>
          </w:p>
        </w:tc>
        <w:tc>
          <w:tcPr>
            <w:tcW w:w="2407" w:type="dxa"/>
          </w:tcPr>
          <w:p w14:paraId="0EE3C024" w14:textId="77777777" w:rsidR="00E76D1A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CA57F8A" w14:textId="3A347FD6" w:rsidR="006D4973" w:rsidRDefault="00E76D1A" w:rsidP="00E30958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E30958">
              <w:rPr>
                <w:bCs/>
                <w:sz w:val="28"/>
                <w:szCs w:val="28"/>
                <w:lang w:val="uk-UA"/>
              </w:rPr>
              <w:t>9022</w:t>
            </w:r>
          </w:p>
        </w:tc>
        <w:tc>
          <w:tcPr>
            <w:tcW w:w="2407" w:type="dxa"/>
          </w:tcPr>
          <w:p w14:paraId="6C6572E0" w14:textId="77777777" w:rsidR="00E76D1A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141A94F2" w14:textId="631309A2" w:rsidR="006D4973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408" w:type="dxa"/>
          </w:tcPr>
          <w:p w14:paraId="74C34DB5" w14:textId="77777777" w:rsidR="00E76D1A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AD0CA26" w14:textId="6DE340B5" w:rsidR="006D4973" w:rsidRDefault="00E30958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19022</w:t>
            </w:r>
          </w:p>
        </w:tc>
      </w:tr>
      <w:tr w:rsidR="006D4973" w14:paraId="10781FFE" w14:textId="77777777" w:rsidTr="006D4973">
        <w:tc>
          <w:tcPr>
            <w:tcW w:w="2407" w:type="dxa"/>
          </w:tcPr>
          <w:p w14:paraId="2F3DC0E3" w14:textId="15C87C4F" w:rsidR="006D4973" w:rsidRPr="006D4973" w:rsidRDefault="006D4973" w:rsidP="00CD5785">
            <w:pPr>
              <w:pStyle w:val="a7"/>
              <w:spacing w:after="120"/>
              <w:ind w:left="0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Питома вага групи у загальній кількості відсотків</w:t>
            </w:r>
          </w:p>
        </w:tc>
        <w:tc>
          <w:tcPr>
            <w:tcW w:w="2407" w:type="dxa"/>
          </w:tcPr>
          <w:p w14:paraId="2827130A" w14:textId="77777777" w:rsidR="00E76D1A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6F1D916A" w14:textId="5D79E3DA" w:rsidR="006D4973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2407" w:type="dxa"/>
          </w:tcPr>
          <w:p w14:paraId="14D21554" w14:textId="77777777" w:rsidR="00E76D1A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5C607E40" w14:textId="6CCD235A" w:rsidR="006D4973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</w:t>
            </w:r>
          </w:p>
        </w:tc>
        <w:tc>
          <w:tcPr>
            <w:tcW w:w="2408" w:type="dxa"/>
          </w:tcPr>
          <w:p w14:paraId="758B2434" w14:textId="77777777" w:rsidR="00E76D1A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</w:p>
          <w:p w14:paraId="7CD84912" w14:textId="04275F99" w:rsidR="006D4973" w:rsidRDefault="00E76D1A" w:rsidP="00E76D1A">
            <w:pPr>
              <w:pStyle w:val="a7"/>
              <w:spacing w:after="120"/>
              <w:ind w:left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100%</w:t>
            </w:r>
          </w:p>
        </w:tc>
      </w:tr>
    </w:tbl>
    <w:p w14:paraId="4706CB95" w14:textId="057E1859" w:rsidR="00D35563" w:rsidRDefault="00D35563" w:rsidP="00CD5785">
      <w:pPr>
        <w:pStyle w:val="a7"/>
        <w:spacing w:after="120"/>
        <w:ind w:left="0" w:firstLine="567"/>
        <w:jc w:val="both"/>
        <w:rPr>
          <w:bCs/>
          <w:sz w:val="28"/>
          <w:szCs w:val="28"/>
          <w:lang w:val="uk-UA"/>
        </w:rPr>
      </w:pPr>
    </w:p>
    <w:p w14:paraId="5178D1FE" w14:textId="77777777" w:rsidR="00D35563" w:rsidRDefault="00D35563" w:rsidP="00CD5785">
      <w:pPr>
        <w:pStyle w:val="a7"/>
        <w:spacing w:after="120"/>
        <w:ind w:left="0" w:firstLine="567"/>
        <w:jc w:val="both"/>
        <w:rPr>
          <w:bCs/>
          <w:sz w:val="28"/>
          <w:szCs w:val="28"/>
          <w:lang w:val="uk-UA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334"/>
        <w:gridCol w:w="4324"/>
        <w:gridCol w:w="3118"/>
      </w:tblGrid>
      <w:tr w:rsidR="00164730" w:rsidRPr="00164730" w14:paraId="5FE9A4D9" w14:textId="77777777" w:rsidTr="00182C6D">
        <w:tc>
          <w:tcPr>
            <w:tcW w:w="2334" w:type="dxa"/>
          </w:tcPr>
          <w:p w14:paraId="26A93584" w14:textId="2158D3F5" w:rsidR="009A4B38" w:rsidRPr="00DB3855" w:rsidRDefault="009A4B38" w:rsidP="009F2FB9">
            <w:pPr>
              <w:pStyle w:val="3"/>
              <w:spacing w:before="40" w:beforeAutospacing="0" w:after="4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DB3855">
              <w:rPr>
                <w:b w:val="0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324" w:type="dxa"/>
          </w:tcPr>
          <w:p w14:paraId="4476DADA" w14:textId="77777777" w:rsidR="009A4B38" w:rsidRPr="00DB3855" w:rsidRDefault="009A4B38" w:rsidP="009F2FB9">
            <w:pPr>
              <w:pStyle w:val="3"/>
              <w:spacing w:before="40" w:beforeAutospacing="0" w:after="4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DB385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Вигоди</w:t>
            </w:r>
          </w:p>
        </w:tc>
        <w:tc>
          <w:tcPr>
            <w:tcW w:w="3118" w:type="dxa"/>
          </w:tcPr>
          <w:p w14:paraId="1EB6A521" w14:textId="77777777" w:rsidR="009A4B38" w:rsidRPr="00DB3855" w:rsidRDefault="009A4B38" w:rsidP="009F2FB9">
            <w:pPr>
              <w:pStyle w:val="3"/>
              <w:spacing w:before="40" w:beforeAutospacing="0" w:after="4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DB385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Витрати</w:t>
            </w:r>
          </w:p>
        </w:tc>
      </w:tr>
      <w:tr w:rsidR="00164730" w:rsidRPr="00164730" w14:paraId="7BAFD335" w14:textId="77777777" w:rsidTr="00182C6D">
        <w:tc>
          <w:tcPr>
            <w:tcW w:w="2334" w:type="dxa"/>
          </w:tcPr>
          <w:p w14:paraId="21660C13" w14:textId="77777777" w:rsidR="009A4B38" w:rsidRPr="00DB3855" w:rsidRDefault="009A4B38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DB3855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4324" w:type="dxa"/>
          </w:tcPr>
          <w:p w14:paraId="1C926CEB" w14:textId="6E1BC05F" w:rsidR="009A4B38" w:rsidRPr="00182C6D" w:rsidRDefault="008A3A3D" w:rsidP="00DB3855">
            <w:pPr>
              <w:pStyle w:val="3"/>
              <w:spacing w:before="60" w:beforeAutospacing="0" w:after="6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Скорочення </w:t>
            </w:r>
            <w:r w:rsidR="00DB3855" w:rsidRPr="00182C6D">
              <w:rPr>
                <w:b w:val="0"/>
                <w:sz w:val="24"/>
                <w:szCs w:val="24"/>
                <w:lang w:val="uk-UA"/>
              </w:rPr>
              <w:t>витрат часу та коштів на оформлення/продовження дії Свідоцтва про допущення;</w:t>
            </w:r>
          </w:p>
          <w:p w14:paraId="23DEA082" w14:textId="1E39F93C" w:rsidR="00182C6D" w:rsidRPr="002152EF" w:rsidRDefault="00DB3855" w:rsidP="00CD5785">
            <w:pPr>
              <w:pStyle w:val="3"/>
              <w:spacing w:before="60" w:beforeAutospacing="0" w:after="6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182C6D">
              <w:rPr>
                <w:b w:val="0"/>
                <w:sz w:val="24"/>
                <w:szCs w:val="24"/>
                <w:lang w:val="uk-UA"/>
              </w:rPr>
              <w:t xml:space="preserve">надання </w:t>
            </w:r>
            <w:r w:rsidR="008A3A3D" w:rsidRPr="008A3A3D">
              <w:rPr>
                <w:b w:val="0"/>
                <w:sz w:val="24"/>
                <w:szCs w:val="24"/>
                <w:lang w:val="uk-UA"/>
              </w:rPr>
              <w:t>перевізникам, які не здійснюють перевезення товарів на умовах Конвенції МДП, можлив</w:t>
            </w:r>
            <w:r w:rsidR="0039624A">
              <w:rPr>
                <w:b w:val="0"/>
                <w:sz w:val="24"/>
                <w:szCs w:val="24"/>
                <w:lang w:val="uk-UA"/>
              </w:rPr>
              <w:t>ості</w:t>
            </w:r>
            <w:r w:rsidR="008A3A3D" w:rsidRPr="008A3A3D">
              <w:rPr>
                <w:b w:val="0"/>
                <w:sz w:val="24"/>
                <w:szCs w:val="24"/>
                <w:lang w:val="uk-UA"/>
              </w:rPr>
              <w:t xml:space="preserve"> отримати Свідоцтво про допущення</w:t>
            </w:r>
            <w:r w:rsidR="002152EF" w:rsidRPr="002152EF">
              <w:rPr>
                <w:b w:val="0"/>
                <w:sz w:val="24"/>
                <w:szCs w:val="24"/>
              </w:rPr>
              <w:t>;</w:t>
            </w:r>
          </w:p>
          <w:p w14:paraId="62E9F650" w14:textId="236D67DB" w:rsidR="002152EF" w:rsidRPr="00182C6D" w:rsidRDefault="00674EC9" w:rsidP="00BA7240">
            <w:pPr>
              <w:pStyle w:val="3"/>
              <w:spacing w:before="60" w:beforeAutospacing="0" w:after="6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</w:t>
            </w:r>
            <w:r w:rsidR="002152E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ожливість отримати Свідоцтво про допущення транспортного засобу та продовжити його дію 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у 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будь-як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="002152E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митн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</w:t>
            </w:r>
            <w:r w:rsidR="002152E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="002152E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орган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і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України</w:t>
            </w:r>
            <w:r w:rsidR="002152E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, 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незалежно від </w:t>
            </w:r>
            <w:r w:rsidR="00C23DA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місцезнаходження</w:t>
            </w:r>
            <w:r w:rsidR="00BA724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/місце реєстрації</w:t>
            </w:r>
            <w:r w:rsidR="00C23DA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юридичної</w:t>
            </w:r>
            <w:r w:rsidR="00BA724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особи</w:t>
            </w:r>
            <w:r w:rsidR="00C23DA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/фізичної особи</w:t>
            </w:r>
            <w:r w:rsidR="00BA724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-підприємця</w:t>
            </w:r>
            <w:r w:rsidR="00C23DA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3118" w:type="dxa"/>
          </w:tcPr>
          <w:p w14:paraId="14938DB3" w14:textId="24ABB5FF" w:rsidR="009A4B38" w:rsidRPr="00DB3855" w:rsidRDefault="009A4B38" w:rsidP="00CD5785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DB385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Додаткові витрати відсутні</w:t>
            </w:r>
          </w:p>
        </w:tc>
      </w:tr>
      <w:tr w:rsidR="00DB3855" w:rsidRPr="007B3666" w14:paraId="570039F3" w14:textId="77777777" w:rsidTr="00182C6D">
        <w:tc>
          <w:tcPr>
            <w:tcW w:w="2334" w:type="dxa"/>
          </w:tcPr>
          <w:p w14:paraId="23468786" w14:textId="77777777" w:rsidR="00DB3855" w:rsidRPr="00DB3855" w:rsidRDefault="00DB3855" w:rsidP="00DB385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DB3855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324" w:type="dxa"/>
          </w:tcPr>
          <w:p w14:paraId="63C9EF7A" w14:textId="7C3697CE" w:rsidR="00DB3855" w:rsidRPr="00182C6D" w:rsidRDefault="00182C6D" w:rsidP="00591A1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 разі з</w:t>
            </w:r>
            <w:r w:rsidR="00DB3855"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алиш</w:t>
            </w:r>
            <w:r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ення </w:t>
            </w:r>
            <w:r w:rsidR="00DB3855"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чинн</w:t>
            </w:r>
            <w:r w:rsidR="00D0430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ого</w:t>
            </w:r>
            <w:r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наказ</w:t>
            </w:r>
            <w:r w:rsidR="00D0430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</w:t>
            </w:r>
            <w:r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DB3855"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без змін вигоди відсутні, оскільки проблем</w:t>
            </w:r>
            <w:r w:rsidR="00D0430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</w:t>
            </w:r>
            <w:r w:rsidR="00DB3855"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залиша</w:t>
            </w:r>
            <w:r w:rsidR="00D0430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є</w:t>
            </w:r>
            <w:r w:rsidR="00DB3855"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ться невирішен</w:t>
            </w:r>
            <w:r w:rsidR="00D04307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ою</w:t>
            </w:r>
            <w:r w:rsidR="00DB3855" w:rsidRPr="00182C6D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3118" w:type="dxa"/>
          </w:tcPr>
          <w:p w14:paraId="4EC88698" w14:textId="1912C930" w:rsidR="00507330" w:rsidRDefault="00070635" w:rsidP="00507330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О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трим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ання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в</w:t>
            </w:r>
            <w:r w:rsidR="0050733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ласникам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и</w:t>
            </w:r>
            <w:r w:rsidR="0050733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транспортних засобів </w:t>
            </w:r>
            <w:r w:rsidR="0050733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Свідоцтва про допущення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здійснюється після</w:t>
            </w:r>
            <w:r w:rsidR="0050733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отримання дозволів на перевезення вантажів на умовах Конвенції МДП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залишається без змін</w:t>
            </w:r>
            <w:r w:rsidR="0050733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.</w:t>
            </w:r>
          </w:p>
          <w:p w14:paraId="54F50651" w14:textId="6D6E99ED" w:rsidR="00DB3855" w:rsidRPr="00DB3855" w:rsidRDefault="00507330" w:rsidP="0009227F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Можливість отримати Свідоцтво про допущення </w:t>
            </w:r>
            <w:r w:rsidR="00F8591F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транспортного засобу 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та п</w:t>
            </w:r>
            <w:r w:rsidR="005C6BE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р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одовжити його </w:t>
            </w:r>
            <w:r w:rsidR="005C6BE0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дію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</w:t>
            </w:r>
            <w:r w:rsidR="00070635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можливо </w:t>
            </w:r>
            <w:r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тільки одним митним органом, у зоні діяльності якого розташована юридична особа або проживає фізична особа</w:t>
            </w:r>
            <w:r w:rsidR="005E3329">
              <w:rPr>
                <w:rFonts w:eastAsia="Calibri"/>
                <w:b w:val="0"/>
                <w:sz w:val="24"/>
                <w:szCs w:val="24"/>
                <w:lang w:val="uk-UA" w:eastAsia="en-US"/>
              </w:rPr>
              <w:t xml:space="preserve"> - підприємець</w:t>
            </w:r>
          </w:p>
        </w:tc>
      </w:tr>
    </w:tbl>
    <w:p w14:paraId="3A6BC0AE" w14:textId="77777777" w:rsidR="00341CE4" w:rsidRPr="00182C6D" w:rsidRDefault="00341CE4" w:rsidP="009A4B38">
      <w:pPr>
        <w:pStyle w:val="3"/>
        <w:spacing w:before="0" w:beforeAutospacing="0" w:after="0" w:afterAutospacing="0"/>
        <w:rPr>
          <w:sz w:val="24"/>
          <w:szCs w:val="24"/>
          <w:lang w:val="uk-UA"/>
        </w:rPr>
      </w:pPr>
    </w:p>
    <w:p w14:paraId="43A9EE4E" w14:textId="77777777" w:rsidR="00D35563" w:rsidRDefault="00D35563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7C1F148" w14:textId="791F18D9" w:rsidR="00D35563" w:rsidRPr="00D35563" w:rsidRDefault="00D35563" w:rsidP="009A4B38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D35563">
        <w:rPr>
          <w:sz w:val="24"/>
          <w:szCs w:val="24"/>
          <w:lang w:val="uk-UA"/>
        </w:rPr>
        <w:lastRenderedPageBreak/>
        <w:t>ВИТРАТИ</w:t>
      </w:r>
    </w:p>
    <w:p w14:paraId="390938D7" w14:textId="0E9B8647" w:rsidR="00D35563" w:rsidRPr="00D35563" w:rsidRDefault="00D35563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35563">
        <w:rPr>
          <w:sz w:val="28"/>
          <w:szCs w:val="28"/>
          <w:lang w:val="uk-UA"/>
        </w:rPr>
        <w:t xml:space="preserve">на одного </w:t>
      </w:r>
      <w:proofErr w:type="spellStart"/>
      <w:r w:rsidRPr="00D35563">
        <w:rPr>
          <w:sz w:val="28"/>
          <w:szCs w:val="28"/>
          <w:lang w:val="uk-UA"/>
        </w:rPr>
        <w:t>суб</w:t>
      </w:r>
      <w:proofErr w:type="spellEnd"/>
      <w:r w:rsidRPr="00767AAE">
        <w:rPr>
          <w:sz w:val="28"/>
          <w:szCs w:val="28"/>
        </w:rPr>
        <w:t>’</w:t>
      </w:r>
      <w:proofErr w:type="spellStart"/>
      <w:r w:rsidRPr="00D35563"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господарювання, які виникают</w:t>
      </w:r>
      <w:r w:rsidR="00767AAE">
        <w:rPr>
          <w:sz w:val="28"/>
          <w:szCs w:val="28"/>
          <w:lang w:val="uk-UA"/>
        </w:rPr>
        <w:t xml:space="preserve">ь внаслідок дії регуляторного </w:t>
      </w:r>
      <w:proofErr w:type="spellStart"/>
      <w:r w:rsidR="00767AAE">
        <w:rPr>
          <w:sz w:val="28"/>
          <w:szCs w:val="28"/>
          <w:lang w:val="uk-UA"/>
        </w:rPr>
        <w:t>акта</w:t>
      </w:r>
      <w:proofErr w:type="spellEnd"/>
      <w:r w:rsidR="00767AAE">
        <w:rPr>
          <w:sz w:val="28"/>
          <w:szCs w:val="28"/>
          <w:lang w:val="uk-UA"/>
        </w:rPr>
        <w:t xml:space="preserve"> </w:t>
      </w:r>
      <w:r w:rsidR="00C3187E">
        <w:rPr>
          <w:sz w:val="28"/>
          <w:szCs w:val="28"/>
          <w:lang w:val="uk-UA"/>
        </w:rPr>
        <w:t>(за Альтернативою 1</w:t>
      </w:r>
      <w:r w:rsidR="00767AA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</w:p>
    <w:p w14:paraId="4D47859D" w14:textId="77777777" w:rsidR="00D35563" w:rsidRPr="00D35563" w:rsidRDefault="00D35563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Style w:val="a6"/>
        <w:tblW w:w="9774" w:type="dxa"/>
        <w:tblLook w:val="04A0" w:firstRow="1" w:lastRow="0" w:firstColumn="1" w:lastColumn="0" w:noHBand="0" w:noVBand="1"/>
      </w:tblPr>
      <w:tblGrid>
        <w:gridCol w:w="843"/>
        <w:gridCol w:w="3693"/>
        <w:gridCol w:w="2890"/>
        <w:gridCol w:w="2348"/>
      </w:tblGrid>
      <w:tr w:rsidR="00767AAE" w14:paraId="55BFBE94" w14:textId="77777777" w:rsidTr="005F69DB">
        <w:tc>
          <w:tcPr>
            <w:tcW w:w="843" w:type="dxa"/>
          </w:tcPr>
          <w:p w14:paraId="27497FA9" w14:textId="513ACE2D" w:rsidR="00767AAE" w:rsidRPr="00767AAE" w:rsidRDefault="00767AAE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767AAE">
              <w:rPr>
                <w:sz w:val="24"/>
                <w:szCs w:val="24"/>
                <w:lang w:val="uk-UA"/>
              </w:rPr>
              <w:t>№ </w:t>
            </w:r>
            <w:r w:rsidRPr="00767AAE">
              <w:rPr>
                <w:b w:val="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93" w:type="dxa"/>
          </w:tcPr>
          <w:p w14:paraId="49B33350" w14:textId="0D762986" w:rsidR="00767AAE" w:rsidRPr="006B5834" w:rsidRDefault="00767AAE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B5834">
              <w:rPr>
                <w:b w:val="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890" w:type="dxa"/>
          </w:tcPr>
          <w:p w14:paraId="7AC45163" w14:textId="1E6484F0" w:rsidR="00767AAE" w:rsidRPr="006B5834" w:rsidRDefault="00767AAE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B5834">
              <w:rPr>
                <w:b w:val="0"/>
                <w:sz w:val="24"/>
                <w:szCs w:val="24"/>
                <w:lang w:val="uk-UA"/>
              </w:rPr>
              <w:t>За рік</w:t>
            </w:r>
          </w:p>
        </w:tc>
        <w:tc>
          <w:tcPr>
            <w:tcW w:w="2348" w:type="dxa"/>
          </w:tcPr>
          <w:p w14:paraId="58732E30" w14:textId="6BED9262" w:rsidR="00767AAE" w:rsidRPr="006B5834" w:rsidRDefault="00767AAE" w:rsidP="006B5834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B5834">
              <w:rPr>
                <w:b w:val="0"/>
                <w:sz w:val="24"/>
                <w:szCs w:val="24"/>
                <w:lang w:val="uk-UA"/>
              </w:rPr>
              <w:t xml:space="preserve">За </w:t>
            </w:r>
            <w:r w:rsidR="006B5834" w:rsidRPr="006B5834">
              <w:rPr>
                <w:b w:val="0"/>
                <w:sz w:val="24"/>
                <w:szCs w:val="24"/>
                <w:lang w:val="uk-UA"/>
              </w:rPr>
              <w:t>два</w:t>
            </w:r>
            <w:r w:rsidRPr="006B5834">
              <w:rPr>
                <w:b w:val="0"/>
                <w:sz w:val="24"/>
                <w:szCs w:val="24"/>
                <w:lang w:val="uk-UA"/>
              </w:rPr>
              <w:t xml:space="preserve"> рок</w:t>
            </w:r>
            <w:r w:rsidR="006B5834" w:rsidRPr="006B5834">
              <w:rPr>
                <w:b w:val="0"/>
                <w:sz w:val="24"/>
                <w:szCs w:val="24"/>
                <w:lang w:val="uk-UA"/>
              </w:rPr>
              <w:t>и</w:t>
            </w:r>
          </w:p>
        </w:tc>
      </w:tr>
      <w:tr w:rsidR="00767AAE" w14:paraId="48B29F2E" w14:textId="77777777" w:rsidTr="005F69DB">
        <w:tc>
          <w:tcPr>
            <w:tcW w:w="843" w:type="dxa"/>
          </w:tcPr>
          <w:p w14:paraId="37FF171F" w14:textId="22322371" w:rsidR="00767AAE" w:rsidRPr="00767AAE" w:rsidRDefault="00767AAE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767AAE">
              <w:rPr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693" w:type="dxa"/>
          </w:tcPr>
          <w:p w14:paraId="5026D48E" w14:textId="10660FD8" w:rsidR="00767AAE" w:rsidRPr="00B25A68" w:rsidRDefault="00B25A68" w:rsidP="00BC2D1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Підготовка документів (письмова заява у довільній формі відповідно вимог</w:t>
            </w:r>
            <w:r w:rsidRPr="00B25A68">
              <w:rPr>
                <w:b w:val="0"/>
                <w:sz w:val="24"/>
                <w:szCs w:val="24"/>
                <w:lang w:val="uk-UA"/>
              </w:rPr>
              <w:t xml:space="preserve">; </w:t>
            </w:r>
            <w:r>
              <w:rPr>
                <w:b w:val="0"/>
                <w:sz w:val="24"/>
                <w:szCs w:val="24"/>
                <w:lang w:val="uk-UA"/>
              </w:rPr>
              <w:t>заповнення свідоцтва про допущення</w:t>
            </w:r>
            <w:r w:rsidRPr="00B25A68">
              <w:rPr>
                <w:b w:val="0"/>
                <w:sz w:val="24"/>
                <w:szCs w:val="24"/>
                <w:lang w:val="uk-UA"/>
              </w:rPr>
              <w:t>;</w:t>
            </w:r>
            <w:r>
              <w:rPr>
                <w:b w:val="0"/>
                <w:sz w:val="24"/>
                <w:szCs w:val="24"/>
                <w:lang w:val="uk-UA"/>
              </w:rPr>
              <w:t xml:space="preserve"> копія свідоцтва про реєстрацію</w:t>
            </w:r>
            <w:r w:rsidRPr="00B25A68">
              <w:rPr>
                <w:b w:val="0"/>
                <w:sz w:val="24"/>
                <w:szCs w:val="24"/>
                <w:lang w:val="uk-UA"/>
              </w:rPr>
              <w:t>,</w:t>
            </w:r>
            <w:r>
              <w:rPr>
                <w:b w:val="0"/>
                <w:sz w:val="24"/>
                <w:szCs w:val="24"/>
                <w:lang w:val="uk-UA"/>
              </w:rPr>
              <w:t xml:space="preserve"> комплект фотографій або креслень</w:t>
            </w:r>
            <w:r w:rsidR="00317ADF"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890" w:type="dxa"/>
          </w:tcPr>
          <w:p w14:paraId="16AED817" w14:textId="38AC8F1A" w:rsidR="00767AAE" w:rsidRDefault="00B203C4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BC2D1A">
              <w:rPr>
                <w:b w:val="0"/>
                <w:sz w:val="24"/>
                <w:szCs w:val="24"/>
              </w:rPr>
              <w:t>97</w:t>
            </w:r>
            <w:r w:rsidR="00A841D4">
              <w:rPr>
                <w:b w:val="0"/>
                <w:sz w:val="24"/>
                <w:szCs w:val="24"/>
                <w:lang w:val="uk-UA"/>
              </w:rPr>
              <w:t>,</w:t>
            </w:r>
            <w:r w:rsidRPr="00BC2D1A">
              <w:rPr>
                <w:b w:val="0"/>
                <w:sz w:val="24"/>
                <w:szCs w:val="24"/>
              </w:rPr>
              <w:t>22</w:t>
            </w:r>
            <w:r w:rsidR="0009227F">
              <w:rPr>
                <w:b w:val="0"/>
                <w:sz w:val="24"/>
                <w:szCs w:val="24"/>
                <w:lang w:val="uk-UA"/>
              </w:rPr>
              <w:t> </w:t>
            </w:r>
            <w:r w:rsidR="00BC2D1A"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4B8162F5" w14:textId="77777777" w:rsidR="00A841D4" w:rsidRPr="00BC2D1A" w:rsidRDefault="00A841D4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14:paraId="7B3E5466" w14:textId="28F39BEE" w:rsidR="00317ADF" w:rsidRPr="0094182E" w:rsidRDefault="00317ADF" w:rsidP="00317A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4182E">
              <w:rPr>
                <w:b w:val="0"/>
                <w:sz w:val="22"/>
                <w:szCs w:val="22"/>
                <w:lang w:val="uk-UA"/>
              </w:rPr>
              <w:t>(2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> </w:t>
            </w:r>
            <w:r w:rsidR="00E507CC" w:rsidRPr="0094182E">
              <w:rPr>
                <w:b w:val="0"/>
                <w:sz w:val="22"/>
                <w:szCs w:val="22"/>
                <w:lang w:val="uk-UA"/>
              </w:rPr>
              <w:t>год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 xml:space="preserve"> х </w:t>
            </w:r>
            <w:r w:rsidR="00A841D4" w:rsidRPr="0094182E">
              <w:rPr>
                <w:b w:val="0"/>
                <w:sz w:val="22"/>
                <w:szCs w:val="22"/>
                <w:lang w:val="uk-UA"/>
              </w:rPr>
              <w:t>36,11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> </w:t>
            </w:r>
            <w:r w:rsidR="002C4A79" w:rsidRPr="0094182E">
              <w:rPr>
                <w:b w:val="0"/>
                <w:sz w:val="22"/>
                <w:szCs w:val="22"/>
                <w:lang w:val="uk-UA"/>
              </w:rPr>
              <w:t>грн</w:t>
            </w:r>
            <w:r w:rsidR="00A841D4" w:rsidRPr="0094182E">
              <w:rPr>
                <w:b w:val="0"/>
                <w:sz w:val="22"/>
                <w:szCs w:val="22"/>
                <w:lang w:val="uk-UA"/>
              </w:rPr>
              <w:t>/</w:t>
            </w:r>
            <w:r w:rsidRPr="0094182E">
              <w:rPr>
                <w:b w:val="0"/>
                <w:sz w:val="22"/>
                <w:szCs w:val="22"/>
              </w:rPr>
              <w:t>72</w:t>
            </w:r>
            <w:r w:rsidRPr="0094182E">
              <w:rPr>
                <w:b w:val="0"/>
                <w:sz w:val="22"/>
                <w:szCs w:val="22"/>
                <w:lang w:val="uk-UA"/>
              </w:rPr>
              <w:t>,</w:t>
            </w:r>
            <w:r w:rsidRPr="0094182E">
              <w:rPr>
                <w:b w:val="0"/>
                <w:sz w:val="22"/>
                <w:szCs w:val="22"/>
              </w:rPr>
              <w:t>22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> </w:t>
            </w:r>
            <w:r w:rsidR="00BC2D1A" w:rsidRPr="0094182E">
              <w:rPr>
                <w:b w:val="0"/>
                <w:sz w:val="22"/>
                <w:szCs w:val="22"/>
                <w:lang w:val="uk-UA"/>
              </w:rPr>
              <w:t>грн</w:t>
            </w:r>
            <w:r w:rsidRPr="0094182E">
              <w:rPr>
                <w:b w:val="0"/>
                <w:sz w:val="22"/>
                <w:szCs w:val="22"/>
              </w:rPr>
              <w:t>;</w:t>
            </w:r>
          </w:p>
          <w:p w14:paraId="31CE34F4" w14:textId="700AF28E" w:rsidR="00317ADF" w:rsidRPr="0094182E" w:rsidRDefault="00317ADF" w:rsidP="00317AD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94182E">
              <w:rPr>
                <w:b w:val="0"/>
                <w:sz w:val="22"/>
                <w:szCs w:val="22"/>
              </w:rPr>
              <w:t>5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94182E">
              <w:rPr>
                <w:b w:val="0"/>
                <w:sz w:val="22"/>
                <w:szCs w:val="22"/>
                <w:lang w:val="en-US"/>
              </w:rPr>
              <w:t>x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94182E">
              <w:rPr>
                <w:b w:val="0"/>
                <w:sz w:val="22"/>
                <w:szCs w:val="22"/>
              </w:rPr>
              <w:t>5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> </w:t>
            </w:r>
            <w:r w:rsidR="00BC2D1A" w:rsidRPr="0094182E">
              <w:rPr>
                <w:b w:val="0"/>
                <w:sz w:val="22"/>
                <w:szCs w:val="22"/>
                <w:lang w:val="uk-UA"/>
              </w:rPr>
              <w:t>грн</w:t>
            </w:r>
            <w:r w:rsidRPr="0094182E">
              <w:rPr>
                <w:b w:val="0"/>
                <w:sz w:val="22"/>
                <w:szCs w:val="22"/>
              </w:rPr>
              <w:t>/25</w:t>
            </w:r>
            <w:r w:rsidR="0094182E" w:rsidRPr="0094182E">
              <w:rPr>
                <w:b w:val="0"/>
                <w:sz w:val="22"/>
                <w:szCs w:val="22"/>
                <w:lang w:val="uk-UA"/>
              </w:rPr>
              <w:t> </w:t>
            </w:r>
            <w:r w:rsidR="00BC2D1A" w:rsidRPr="0094182E">
              <w:rPr>
                <w:b w:val="0"/>
                <w:sz w:val="22"/>
                <w:szCs w:val="22"/>
                <w:lang w:val="uk-UA"/>
              </w:rPr>
              <w:t>грн</w:t>
            </w:r>
            <w:r w:rsidR="00B203C4" w:rsidRPr="0094182E">
              <w:rPr>
                <w:b w:val="0"/>
                <w:sz w:val="22"/>
                <w:szCs w:val="22"/>
              </w:rPr>
              <w:t>)</w:t>
            </w:r>
          </w:p>
          <w:p w14:paraId="7CB532AF" w14:textId="02B69712" w:rsidR="00317ADF" w:rsidRPr="00BC2D1A" w:rsidRDefault="00317ADF" w:rsidP="00317ADF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4E666161" w14:textId="516053E3" w:rsidR="00767AAE" w:rsidRPr="00317ADF" w:rsidRDefault="00317ADF" w:rsidP="0009227F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  <w:r w:rsidR="00B203C4">
              <w:rPr>
                <w:b w:val="0"/>
                <w:sz w:val="24"/>
                <w:szCs w:val="24"/>
                <w:lang w:val="en-US"/>
              </w:rPr>
              <w:t>9</w:t>
            </w:r>
            <w:r>
              <w:rPr>
                <w:b w:val="0"/>
                <w:sz w:val="24"/>
                <w:szCs w:val="24"/>
                <w:lang w:val="uk-UA"/>
              </w:rPr>
              <w:t>4,44</w:t>
            </w:r>
            <w:r w:rsidR="0009227F">
              <w:rPr>
                <w:b w:val="0"/>
                <w:sz w:val="24"/>
                <w:szCs w:val="24"/>
                <w:lang w:val="uk-UA"/>
              </w:rPr>
              <w:t> </w:t>
            </w:r>
            <w:r w:rsidR="00BC2D1A"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</w:tr>
      <w:tr w:rsidR="00767AAE" w14:paraId="5515B4A4" w14:textId="77777777" w:rsidTr="005F69DB">
        <w:tc>
          <w:tcPr>
            <w:tcW w:w="843" w:type="dxa"/>
          </w:tcPr>
          <w:p w14:paraId="0791727E" w14:textId="7EB6284A" w:rsidR="00767AAE" w:rsidRPr="00B203C4" w:rsidRDefault="00B25A68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B203C4">
              <w:rPr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693" w:type="dxa"/>
          </w:tcPr>
          <w:p w14:paraId="71E209E3" w14:textId="19FFE536" w:rsidR="00767AAE" w:rsidRPr="00BC2D1A" w:rsidRDefault="00BC2D1A" w:rsidP="00EE3DC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BC2D1A">
              <w:rPr>
                <w:b w:val="0"/>
                <w:sz w:val="24"/>
                <w:szCs w:val="24"/>
                <w:lang w:val="uk-UA"/>
              </w:rPr>
              <w:t>Надання</w:t>
            </w:r>
            <w:r>
              <w:rPr>
                <w:b w:val="0"/>
                <w:sz w:val="24"/>
                <w:szCs w:val="24"/>
                <w:lang w:val="uk-UA"/>
              </w:rPr>
              <w:t xml:space="preserve"> транспортного засобу для проведення огляду </w:t>
            </w:r>
            <w:r w:rsidR="00D04F73">
              <w:rPr>
                <w:b w:val="0"/>
                <w:sz w:val="24"/>
                <w:szCs w:val="24"/>
                <w:lang w:val="uk-UA"/>
              </w:rPr>
              <w:t xml:space="preserve">до митного органу (середні витрати дизельного пального одним </w:t>
            </w:r>
            <w:proofErr w:type="spellStart"/>
            <w:r w:rsidR="005F69DB">
              <w:rPr>
                <w:b w:val="0"/>
                <w:sz w:val="24"/>
                <w:szCs w:val="24"/>
                <w:lang w:val="uk-UA"/>
              </w:rPr>
              <w:t>сідловим</w:t>
            </w:r>
            <w:proofErr w:type="spellEnd"/>
            <w:r w:rsidR="00D04F73">
              <w:rPr>
                <w:b w:val="0"/>
                <w:sz w:val="24"/>
                <w:szCs w:val="24"/>
                <w:lang w:val="uk-UA"/>
              </w:rPr>
              <w:t xml:space="preserve"> тягачем</w:t>
            </w:r>
            <w:r w:rsidR="0009227F">
              <w:rPr>
                <w:b w:val="0"/>
                <w:sz w:val="24"/>
                <w:szCs w:val="24"/>
                <w:lang w:val="uk-UA"/>
              </w:rPr>
              <w:t xml:space="preserve"> – </w:t>
            </w:r>
            <w:r w:rsidR="00D04F73">
              <w:rPr>
                <w:b w:val="0"/>
                <w:sz w:val="24"/>
                <w:szCs w:val="24"/>
                <w:lang w:val="uk-UA"/>
              </w:rPr>
              <w:t>22,22</w:t>
            </w:r>
            <w:r w:rsidR="0009227F">
              <w:rPr>
                <w:b w:val="0"/>
                <w:sz w:val="24"/>
                <w:szCs w:val="24"/>
                <w:lang w:val="uk-UA"/>
              </w:rPr>
              <w:t> </w:t>
            </w:r>
            <w:r w:rsidR="00D04F73">
              <w:rPr>
                <w:b w:val="0"/>
                <w:sz w:val="24"/>
                <w:szCs w:val="24"/>
                <w:lang w:val="uk-UA"/>
              </w:rPr>
              <w:t>л ціна 1</w:t>
            </w:r>
            <w:r w:rsidR="0009227F">
              <w:rPr>
                <w:b w:val="0"/>
                <w:sz w:val="24"/>
                <w:szCs w:val="24"/>
                <w:lang w:val="uk-UA"/>
              </w:rPr>
              <w:t> </w:t>
            </w:r>
            <w:r w:rsidR="00D04F73">
              <w:rPr>
                <w:b w:val="0"/>
                <w:sz w:val="24"/>
                <w:szCs w:val="24"/>
                <w:lang w:val="uk-UA"/>
              </w:rPr>
              <w:t xml:space="preserve">л дизельного пального </w:t>
            </w:r>
            <w:r w:rsidR="00EE3DCC">
              <w:rPr>
                <w:b w:val="0"/>
                <w:sz w:val="24"/>
                <w:szCs w:val="24"/>
                <w:lang w:val="uk-UA"/>
              </w:rPr>
              <w:t>30,68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 w:rsidR="00D04F73">
              <w:rPr>
                <w:b w:val="0"/>
                <w:sz w:val="24"/>
                <w:szCs w:val="24"/>
                <w:lang w:val="uk-UA"/>
              </w:rPr>
              <w:t>грн)</w:t>
            </w:r>
          </w:p>
        </w:tc>
        <w:tc>
          <w:tcPr>
            <w:tcW w:w="2890" w:type="dxa"/>
          </w:tcPr>
          <w:p w14:paraId="2AFBE464" w14:textId="55C8F8EB" w:rsidR="00E27828" w:rsidRDefault="00EE3DCC" w:rsidP="00D04F73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681,71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 w:rsidR="00E27828"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07A23990" w14:textId="3CEF261F" w:rsidR="00767AAE" w:rsidRPr="00E507CC" w:rsidRDefault="00674EC9" w:rsidP="00EE3DC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uk-UA"/>
              </w:rPr>
              <w:t>(</w:t>
            </w:r>
            <w:r w:rsidRPr="00674EC9">
              <w:rPr>
                <w:b w:val="0"/>
                <w:sz w:val="22"/>
                <w:szCs w:val="22"/>
                <w:lang w:val="uk-UA"/>
              </w:rPr>
              <w:t>22,22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674EC9">
              <w:rPr>
                <w:b w:val="0"/>
                <w:sz w:val="22"/>
                <w:szCs w:val="22"/>
                <w:lang w:val="uk-UA"/>
              </w:rPr>
              <w:t>л</w:t>
            </w:r>
            <w:r w:rsidR="0094182E">
              <w:rPr>
                <w:b w:val="0"/>
                <w:sz w:val="22"/>
                <w:szCs w:val="22"/>
                <w:lang w:val="uk-UA"/>
              </w:rPr>
              <w:t xml:space="preserve"> х </w:t>
            </w:r>
            <w:r w:rsidR="00EE3DCC">
              <w:rPr>
                <w:b w:val="0"/>
                <w:sz w:val="22"/>
                <w:szCs w:val="22"/>
                <w:lang w:val="uk-UA"/>
              </w:rPr>
              <w:t>30,68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674EC9">
              <w:rPr>
                <w:b w:val="0"/>
                <w:sz w:val="22"/>
                <w:szCs w:val="22"/>
                <w:lang w:val="uk-UA"/>
              </w:rPr>
              <w:t>грн)</w:t>
            </w:r>
          </w:p>
        </w:tc>
        <w:tc>
          <w:tcPr>
            <w:tcW w:w="2348" w:type="dxa"/>
          </w:tcPr>
          <w:p w14:paraId="7586F298" w14:textId="325D485B" w:rsidR="00767AAE" w:rsidRPr="0094182E" w:rsidRDefault="00EE3DCC" w:rsidP="0094182E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1363,42</w:t>
            </w:r>
            <w:r w:rsidR="0094182E" w:rsidRPr="0094182E">
              <w:rPr>
                <w:b w:val="0"/>
                <w:sz w:val="24"/>
                <w:szCs w:val="24"/>
                <w:lang w:val="uk-UA"/>
              </w:rPr>
              <w:t> </w:t>
            </w:r>
            <w:proofErr w:type="spellStart"/>
            <w:r w:rsidR="00E27828" w:rsidRPr="0094182E">
              <w:rPr>
                <w:b w:val="0"/>
                <w:sz w:val="24"/>
                <w:szCs w:val="24"/>
              </w:rPr>
              <w:t>грн</w:t>
            </w:r>
            <w:proofErr w:type="spellEnd"/>
          </w:p>
        </w:tc>
      </w:tr>
      <w:tr w:rsidR="00B25A68" w14:paraId="7F7B25EB" w14:textId="77777777" w:rsidTr="005F69DB">
        <w:tc>
          <w:tcPr>
            <w:tcW w:w="843" w:type="dxa"/>
          </w:tcPr>
          <w:p w14:paraId="1E784019" w14:textId="16B85174" w:rsidR="00B25A68" w:rsidRPr="00B203C4" w:rsidRDefault="00B25A68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B203C4">
              <w:rPr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3693" w:type="dxa"/>
          </w:tcPr>
          <w:p w14:paraId="063FC658" w14:textId="20F54F53" w:rsidR="00B25A68" w:rsidRPr="00BC2D1A" w:rsidRDefault="00BC2D1A" w:rsidP="00BC2D1A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BC2D1A">
              <w:rPr>
                <w:b w:val="0"/>
                <w:sz w:val="24"/>
                <w:szCs w:val="24"/>
                <w:lang w:val="uk-UA"/>
              </w:rPr>
              <w:t>Отримання</w:t>
            </w:r>
            <w:r>
              <w:rPr>
                <w:b w:val="0"/>
                <w:sz w:val="24"/>
                <w:szCs w:val="24"/>
                <w:lang w:val="uk-UA"/>
              </w:rPr>
              <w:t xml:space="preserve"> належним чином оформленого свідоцтва про допущення</w:t>
            </w:r>
          </w:p>
        </w:tc>
        <w:tc>
          <w:tcPr>
            <w:tcW w:w="2890" w:type="dxa"/>
          </w:tcPr>
          <w:p w14:paraId="4E3D7771" w14:textId="3E2ADF14" w:rsidR="00E507CC" w:rsidRDefault="00E507CC" w:rsidP="00E507C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18,0</w:t>
            </w:r>
            <w:r w:rsidR="00EE3DCC">
              <w:rPr>
                <w:b w:val="0"/>
                <w:sz w:val="24"/>
                <w:szCs w:val="24"/>
                <w:lang w:val="uk-UA"/>
              </w:rPr>
              <w:t>6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57A8C77A" w14:textId="00E856B2" w:rsidR="00B25A68" w:rsidRPr="00E507CC" w:rsidRDefault="00674EC9" w:rsidP="0094182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674EC9">
              <w:rPr>
                <w:b w:val="0"/>
                <w:sz w:val="22"/>
                <w:szCs w:val="22"/>
                <w:lang w:val="uk-UA"/>
              </w:rPr>
              <w:t>(</w:t>
            </w:r>
            <w:r w:rsidR="00E507CC" w:rsidRPr="00674EC9">
              <w:rPr>
                <w:b w:val="0"/>
                <w:sz w:val="22"/>
                <w:szCs w:val="22"/>
                <w:lang w:val="uk-UA"/>
              </w:rPr>
              <w:t>0,5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="00E507CC" w:rsidRPr="00674EC9">
              <w:rPr>
                <w:b w:val="0"/>
                <w:sz w:val="22"/>
                <w:szCs w:val="22"/>
                <w:lang w:val="uk-UA"/>
              </w:rPr>
              <w:t>год</w:t>
            </w:r>
            <w:r w:rsidR="0094182E">
              <w:rPr>
                <w:b w:val="0"/>
                <w:sz w:val="22"/>
                <w:szCs w:val="22"/>
                <w:lang w:val="uk-UA"/>
              </w:rPr>
              <w:t xml:space="preserve"> х </w:t>
            </w:r>
            <w:r w:rsidR="00E507CC" w:rsidRPr="00674EC9">
              <w:rPr>
                <w:b w:val="0"/>
                <w:sz w:val="22"/>
                <w:szCs w:val="22"/>
                <w:lang w:val="en-US"/>
              </w:rPr>
              <w:t>36</w:t>
            </w:r>
            <w:r w:rsidR="00E507CC" w:rsidRPr="00674EC9">
              <w:rPr>
                <w:b w:val="0"/>
                <w:sz w:val="22"/>
                <w:szCs w:val="22"/>
                <w:lang w:val="uk-UA"/>
              </w:rPr>
              <w:t>,11</w:t>
            </w:r>
            <w:r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348" w:type="dxa"/>
          </w:tcPr>
          <w:p w14:paraId="00F9854A" w14:textId="23E9A5F4" w:rsidR="00B25A68" w:rsidRPr="00E27828" w:rsidRDefault="00E27828" w:rsidP="00EE3DC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27828">
              <w:rPr>
                <w:b w:val="0"/>
                <w:sz w:val="24"/>
                <w:szCs w:val="24"/>
                <w:lang w:val="uk-UA"/>
              </w:rPr>
              <w:t>36,1</w:t>
            </w:r>
            <w:r w:rsidR="00EE3DCC">
              <w:rPr>
                <w:b w:val="0"/>
                <w:sz w:val="24"/>
                <w:szCs w:val="24"/>
                <w:lang w:val="uk-UA"/>
              </w:rPr>
              <w:t>2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</w:tr>
      <w:tr w:rsidR="00B25A68" w14:paraId="561BE176" w14:textId="77777777" w:rsidTr="005F69DB">
        <w:tc>
          <w:tcPr>
            <w:tcW w:w="843" w:type="dxa"/>
          </w:tcPr>
          <w:p w14:paraId="7581E6B7" w14:textId="2EF75F0F" w:rsidR="00B25A68" w:rsidRPr="00B203C4" w:rsidRDefault="00B25A68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B203C4">
              <w:rPr>
                <w:b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3693" w:type="dxa"/>
          </w:tcPr>
          <w:p w14:paraId="137CFC69" w14:textId="4AC7C01B" w:rsidR="00B25A68" w:rsidRPr="005F69DB" w:rsidRDefault="005F69DB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5F69DB">
              <w:rPr>
                <w:b w:val="0"/>
                <w:sz w:val="24"/>
                <w:szCs w:val="24"/>
                <w:lang w:val="uk-UA"/>
              </w:rPr>
              <w:t>Разом (сума рядків1+2+3)</w:t>
            </w:r>
          </w:p>
        </w:tc>
        <w:tc>
          <w:tcPr>
            <w:tcW w:w="2890" w:type="dxa"/>
          </w:tcPr>
          <w:p w14:paraId="3CEBFA6C" w14:textId="643C610F" w:rsidR="00B25A68" w:rsidRPr="005F69DB" w:rsidRDefault="00EE3DCC" w:rsidP="009A4B38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796,99</w:t>
            </w:r>
            <w:r w:rsidR="0009227F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5F69DB" w:rsidRPr="005F69DB"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348" w:type="dxa"/>
          </w:tcPr>
          <w:p w14:paraId="43F2D681" w14:textId="06712439" w:rsidR="00B25A68" w:rsidRPr="005F69DB" w:rsidRDefault="00EE3DCC" w:rsidP="00EE3DC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1593,98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 w:rsidR="005F69DB" w:rsidRPr="005F69DB"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</w:tr>
    </w:tbl>
    <w:p w14:paraId="06969D4B" w14:textId="6C5F1108" w:rsidR="00D35563" w:rsidRPr="00A841D4" w:rsidRDefault="00A841D4" w:rsidP="00A841D4">
      <w:pPr>
        <w:pStyle w:val="3"/>
        <w:spacing w:before="0" w:beforeAutospacing="0" w:after="0" w:afterAutospacing="0"/>
        <w:jc w:val="both"/>
        <w:rPr>
          <w:b w:val="0"/>
          <w:sz w:val="22"/>
          <w:szCs w:val="22"/>
          <w:lang w:val="uk-UA"/>
        </w:rPr>
      </w:pPr>
      <w:r w:rsidRPr="00A841D4">
        <w:rPr>
          <w:b w:val="0"/>
          <w:sz w:val="22"/>
          <w:szCs w:val="22"/>
          <w:lang w:val="uk-UA"/>
        </w:rPr>
        <w:t>Додатково:</w:t>
      </w:r>
      <w:r>
        <w:rPr>
          <w:b w:val="0"/>
          <w:sz w:val="22"/>
          <w:szCs w:val="22"/>
          <w:lang w:val="uk-UA"/>
        </w:rPr>
        <w:t xml:space="preserve"> приймаємо за основу мінімальну заробітну плату, визначену у погодинному розмірі, що становить 36,11грн/год. Відповідно до Закону Україну «Про Державний бюджет України на 2021 рік»</w:t>
      </w:r>
      <w:r w:rsidRPr="00A841D4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  <w:lang w:val="uk-UA"/>
        </w:rPr>
        <w:t xml:space="preserve"> 8-годинний робочий день</w:t>
      </w:r>
      <w:r w:rsidRPr="00A841D4">
        <w:rPr>
          <w:b w:val="0"/>
          <w:sz w:val="22"/>
          <w:szCs w:val="22"/>
        </w:rPr>
        <w:t>;</w:t>
      </w:r>
      <w:r>
        <w:rPr>
          <w:b w:val="0"/>
          <w:sz w:val="22"/>
          <w:szCs w:val="22"/>
          <w:lang w:val="uk-UA"/>
        </w:rPr>
        <w:t xml:space="preserve"> кількість працівників, що заповнюють заяву </w:t>
      </w:r>
      <w:r w:rsidR="0094182E">
        <w:rPr>
          <w:b w:val="0"/>
          <w:sz w:val="22"/>
          <w:szCs w:val="22"/>
          <w:lang w:val="uk-UA"/>
        </w:rPr>
        <w:t xml:space="preserve">– </w:t>
      </w:r>
      <w:r>
        <w:rPr>
          <w:b w:val="0"/>
          <w:sz w:val="22"/>
          <w:szCs w:val="22"/>
          <w:lang w:val="uk-UA"/>
        </w:rPr>
        <w:t>1 особа.</w:t>
      </w:r>
    </w:p>
    <w:p w14:paraId="66207B38" w14:textId="4368FDE9" w:rsidR="00185D3F" w:rsidRDefault="00185D3F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F7C832E" w14:textId="77777777" w:rsidR="00560210" w:rsidRPr="00D35563" w:rsidRDefault="00560210" w:rsidP="00560210">
      <w:pPr>
        <w:pStyle w:val="3"/>
        <w:spacing w:before="0" w:beforeAutospacing="0" w:after="0" w:afterAutospacing="0"/>
        <w:jc w:val="center"/>
        <w:rPr>
          <w:sz w:val="24"/>
          <w:szCs w:val="24"/>
          <w:lang w:val="uk-UA"/>
        </w:rPr>
      </w:pPr>
      <w:r w:rsidRPr="00D35563">
        <w:rPr>
          <w:sz w:val="24"/>
          <w:szCs w:val="24"/>
          <w:lang w:val="uk-UA"/>
        </w:rPr>
        <w:t>ВИТРАТИ</w:t>
      </w:r>
    </w:p>
    <w:p w14:paraId="36C145F7" w14:textId="471F22DA" w:rsidR="00560210" w:rsidRPr="00D35563" w:rsidRDefault="00560210" w:rsidP="00560210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35563">
        <w:rPr>
          <w:sz w:val="28"/>
          <w:szCs w:val="28"/>
          <w:lang w:val="uk-UA"/>
        </w:rPr>
        <w:t xml:space="preserve">на одного </w:t>
      </w:r>
      <w:proofErr w:type="spellStart"/>
      <w:r w:rsidRPr="00D35563">
        <w:rPr>
          <w:sz w:val="28"/>
          <w:szCs w:val="28"/>
          <w:lang w:val="uk-UA"/>
        </w:rPr>
        <w:t>суб</w:t>
      </w:r>
      <w:proofErr w:type="spellEnd"/>
      <w:r w:rsidRPr="00767AAE">
        <w:rPr>
          <w:sz w:val="28"/>
          <w:szCs w:val="28"/>
        </w:rPr>
        <w:t>’</w:t>
      </w:r>
      <w:proofErr w:type="spellStart"/>
      <w:r w:rsidRPr="00D35563">
        <w:rPr>
          <w:sz w:val="28"/>
          <w:szCs w:val="28"/>
          <w:lang w:val="uk-UA"/>
        </w:rPr>
        <w:t>єкта</w:t>
      </w:r>
      <w:proofErr w:type="spellEnd"/>
      <w:r>
        <w:rPr>
          <w:sz w:val="28"/>
          <w:szCs w:val="28"/>
          <w:lang w:val="uk-UA"/>
        </w:rPr>
        <w:t xml:space="preserve"> господарювання, які виникають внаслідок дії регуляторного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(за Альтернативою 2) </w:t>
      </w:r>
    </w:p>
    <w:p w14:paraId="2FA5EECC" w14:textId="77777777" w:rsidR="00560210" w:rsidRPr="00D35563" w:rsidRDefault="00560210" w:rsidP="00560210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Style w:val="a6"/>
        <w:tblW w:w="9774" w:type="dxa"/>
        <w:tblLook w:val="04A0" w:firstRow="1" w:lastRow="0" w:firstColumn="1" w:lastColumn="0" w:noHBand="0" w:noVBand="1"/>
      </w:tblPr>
      <w:tblGrid>
        <w:gridCol w:w="843"/>
        <w:gridCol w:w="3693"/>
        <w:gridCol w:w="2890"/>
        <w:gridCol w:w="2348"/>
      </w:tblGrid>
      <w:tr w:rsidR="00560210" w14:paraId="679BD309" w14:textId="77777777" w:rsidTr="00560210">
        <w:tc>
          <w:tcPr>
            <w:tcW w:w="843" w:type="dxa"/>
          </w:tcPr>
          <w:p w14:paraId="0BC6C854" w14:textId="77777777" w:rsidR="00560210" w:rsidRPr="00767AAE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  <w:lang w:val="uk-UA"/>
              </w:rPr>
            </w:pPr>
            <w:r w:rsidRPr="00767AAE">
              <w:rPr>
                <w:sz w:val="24"/>
                <w:szCs w:val="24"/>
                <w:lang w:val="uk-UA"/>
              </w:rPr>
              <w:t>№ </w:t>
            </w:r>
            <w:r w:rsidRPr="00767AAE">
              <w:rPr>
                <w:b w:val="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93" w:type="dxa"/>
          </w:tcPr>
          <w:p w14:paraId="63FFE52D" w14:textId="77777777" w:rsidR="00560210" w:rsidRPr="006B5834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B5834">
              <w:rPr>
                <w:b w:val="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890" w:type="dxa"/>
          </w:tcPr>
          <w:p w14:paraId="6B07E50F" w14:textId="77777777" w:rsidR="00560210" w:rsidRPr="006B5834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B5834">
              <w:rPr>
                <w:b w:val="0"/>
                <w:sz w:val="24"/>
                <w:szCs w:val="24"/>
                <w:lang w:val="uk-UA"/>
              </w:rPr>
              <w:t>За рік</w:t>
            </w:r>
          </w:p>
        </w:tc>
        <w:tc>
          <w:tcPr>
            <w:tcW w:w="2348" w:type="dxa"/>
          </w:tcPr>
          <w:p w14:paraId="28EB5800" w14:textId="77777777" w:rsidR="00560210" w:rsidRPr="006B5834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B5834">
              <w:rPr>
                <w:b w:val="0"/>
                <w:sz w:val="24"/>
                <w:szCs w:val="24"/>
                <w:lang w:val="uk-UA"/>
              </w:rPr>
              <w:t>За два роки</w:t>
            </w:r>
          </w:p>
        </w:tc>
      </w:tr>
      <w:tr w:rsidR="00560210" w14:paraId="3A4E841A" w14:textId="77777777" w:rsidTr="00560210">
        <w:tc>
          <w:tcPr>
            <w:tcW w:w="843" w:type="dxa"/>
          </w:tcPr>
          <w:p w14:paraId="5FFBF4B5" w14:textId="77777777" w:rsidR="00560210" w:rsidRPr="00767AAE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767AAE">
              <w:rPr>
                <w:b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693" w:type="dxa"/>
          </w:tcPr>
          <w:p w14:paraId="5FE7A7EE" w14:textId="77777777" w:rsidR="00560210" w:rsidRPr="00B25A68" w:rsidRDefault="00560210" w:rsidP="0056021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Підготовка документів (письмова заява у довільній формі відповідно вимог</w:t>
            </w:r>
            <w:r w:rsidRPr="00B25A68">
              <w:rPr>
                <w:b w:val="0"/>
                <w:sz w:val="24"/>
                <w:szCs w:val="24"/>
                <w:lang w:val="uk-UA"/>
              </w:rPr>
              <w:t xml:space="preserve">; </w:t>
            </w:r>
            <w:r>
              <w:rPr>
                <w:b w:val="0"/>
                <w:sz w:val="24"/>
                <w:szCs w:val="24"/>
                <w:lang w:val="uk-UA"/>
              </w:rPr>
              <w:t>заповнення свідоцтва про допущення</w:t>
            </w:r>
            <w:r w:rsidRPr="00B25A68">
              <w:rPr>
                <w:b w:val="0"/>
                <w:sz w:val="24"/>
                <w:szCs w:val="24"/>
                <w:lang w:val="uk-UA"/>
              </w:rPr>
              <w:t>;</w:t>
            </w:r>
            <w:r>
              <w:rPr>
                <w:b w:val="0"/>
                <w:sz w:val="24"/>
                <w:szCs w:val="24"/>
                <w:lang w:val="uk-UA"/>
              </w:rPr>
              <w:t xml:space="preserve"> копія свідоцтва про реєстрацію</w:t>
            </w:r>
            <w:r w:rsidRPr="00B25A68">
              <w:rPr>
                <w:b w:val="0"/>
                <w:sz w:val="24"/>
                <w:szCs w:val="24"/>
                <w:lang w:val="uk-UA"/>
              </w:rPr>
              <w:t>,</w:t>
            </w:r>
            <w:r>
              <w:rPr>
                <w:b w:val="0"/>
                <w:sz w:val="24"/>
                <w:szCs w:val="24"/>
                <w:lang w:val="uk-UA"/>
              </w:rPr>
              <w:t xml:space="preserve"> комплект фотографій або креслень)</w:t>
            </w:r>
          </w:p>
        </w:tc>
        <w:tc>
          <w:tcPr>
            <w:tcW w:w="2890" w:type="dxa"/>
          </w:tcPr>
          <w:p w14:paraId="5522500B" w14:textId="0F210DFC" w:rsidR="00560210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BC2D1A">
              <w:rPr>
                <w:b w:val="0"/>
                <w:sz w:val="24"/>
                <w:szCs w:val="24"/>
              </w:rPr>
              <w:t>97</w:t>
            </w:r>
            <w:r>
              <w:rPr>
                <w:b w:val="0"/>
                <w:sz w:val="24"/>
                <w:szCs w:val="24"/>
                <w:lang w:val="uk-UA"/>
              </w:rPr>
              <w:t>,</w:t>
            </w:r>
            <w:r w:rsidRPr="00BC2D1A">
              <w:rPr>
                <w:b w:val="0"/>
                <w:sz w:val="24"/>
                <w:szCs w:val="24"/>
              </w:rPr>
              <w:t>22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7FB096A5" w14:textId="77777777" w:rsidR="00674EC9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</w:p>
          <w:p w14:paraId="20659622" w14:textId="3862598E" w:rsidR="00560210" w:rsidRPr="00BC2D1A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2C4A79">
              <w:rPr>
                <w:b w:val="0"/>
                <w:sz w:val="22"/>
                <w:szCs w:val="22"/>
              </w:rPr>
              <w:t>72</w:t>
            </w:r>
            <w:r w:rsidRPr="002C4A79">
              <w:rPr>
                <w:b w:val="0"/>
                <w:sz w:val="22"/>
                <w:szCs w:val="22"/>
                <w:lang w:val="uk-UA"/>
              </w:rPr>
              <w:t>,</w:t>
            </w:r>
            <w:r w:rsidRPr="002C4A79">
              <w:rPr>
                <w:b w:val="0"/>
                <w:sz w:val="22"/>
                <w:szCs w:val="22"/>
              </w:rPr>
              <w:t>22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2C4A79">
              <w:rPr>
                <w:b w:val="0"/>
                <w:sz w:val="22"/>
                <w:szCs w:val="22"/>
                <w:lang w:val="uk-UA"/>
              </w:rPr>
              <w:t>грн</w:t>
            </w:r>
          </w:p>
          <w:p w14:paraId="743D4B8C" w14:textId="4A17ED36" w:rsidR="00560210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  <w:r w:rsidRPr="002C4A79">
              <w:rPr>
                <w:b w:val="0"/>
                <w:sz w:val="22"/>
                <w:szCs w:val="22"/>
                <w:lang w:val="uk-UA"/>
              </w:rPr>
              <w:t>(2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2C4A79">
              <w:rPr>
                <w:b w:val="0"/>
                <w:sz w:val="22"/>
                <w:szCs w:val="22"/>
                <w:lang w:val="uk-UA"/>
              </w:rPr>
              <w:t>год</w:t>
            </w:r>
            <w:r w:rsidR="00935E37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Pr="002C4A79">
              <w:rPr>
                <w:b w:val="0"/>
                <w:sz w:val="22"/>
                <w:szCs w:val="22"/>
                <w:lang w:val="en-US"/>
              </w:rPr>
              <w:t>x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674EC9">
              <w:rPr>
                <w:b w:val="0"/>
                <w:sz w:val="22"/>
                <w:szCs w:val="22"/>
                <w:lang w:val="uk-UA"/>
              </w:rPr>
              <w:t>36,11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="00674EC9">
              <w:rPr>
                <w:b w:val="0"/>
                <w:sz w:val="22"/>
                <w:szCs w:val="22"/>
                <w:lang w:val="uk-UA"/>
              </w:rPr>
              <w:t>грн</w:t>
            </w:r>
          </w:p>
          <w:p w14:paraId="6CC2420C" w14:textId="361F332A" w:rsidR="00674EC9" w:rsidRPr="002C4A79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 w:rsidRPr="002C4A79">
              <w:rPr>
                <w:b w:val="0"/>
                <w:sz w:val="22"/>
                <w:szCs w:val="22"/>
              </w:rPr>
              <w:t>25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2C4A79">
              <w:rPr>
                <w:b w:val="0"/>
                <w:sz w:val="22"/>
                <w:szCs w:val="22"/>
                <w:lang w:val="uk-UA"/>
              </w:rPr>
              <w:t>грн</w:t>
            </w:r>
          </w:p>
          <w:p w14:paraId="6E8838B6" w14:textId="1B048F40" w:rsidR="00560210" w:rsidRPr="002C4A79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uk-UA"/>
              </w:rPr>
              <w:t>(</w:t>
            </w:r>
            <w:r w:rsidR="00560210" w:rsidRPr="002C4A79">
              <w:rPr>
                <w:b w:val="0"/>
                <w:sz w:val="22"/>
                <w:szCs w:val="22"/>
              </w:rPr>
              <w:t>5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560210" w:rsidRPr="002C4A79">
              <w:rPr>
                <w:b w:val="0"/>
                <w:sz w:val="22"/>
                <w:szCs w:val="22"/>
                <w:lang w:val="en-US"/>
              </w:rPr>
              <w:t>x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560210" w:rsidRPr="002C4A79">
              <w:rPr>
                <w:b w:val="0"/>
                <w:sz w:val="22"/>
                <w:szCs w:val="22"/>
              </w:rPr>
              <w:t>5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="00560210" w:rsidRPr="002C4A79">
              <w:rPr>
                <w:b w:val="0"/>
                <w:sz w:val="22"/>
                <w:szCs w:val="22"/>
                <w:lang w:val="uk-UA"/>
              </w:rPr>
              <w:t>грн</w:t>
            </w:r>
            <w:r>
              <w:rPr>
                <w:b w:val="0"/>
                <w:sz w:val="22"/>
                <w:szCs w:val="22"/>
                <w:lang w:val="uk-UA"/>
              </w:rPr>
              <w:t>)</w:t>
            </w:r>
          </w:p>
          <w:p w14:paraId="7AF48BE2" w14:textId="77777777" w:rsidR="00560210" w:rsidRPr="00BC2D1A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12A7615A" w14:textId="3610E7B5" w:rsidR="00560210" w:rsidRPr="00317ADF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9</w:t>
            </w:r>
            <w:r>
              <w:rPr>
                <w:b w:val="0"/>
                <w:sz w:val="24"/>
                <w:szCs w:val="24"/>
                <w:lang w:val="uk-UA"/>
              </w:rPr>
              <w:t>4,44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</w:tr>
      <w:tr w:rsidR="00560210" w14:paraId="00257103" w14:textId="77777777" w:rsidTr="00560210">
        <w:tc>
          <w:tcPr>
            <w:tcW w:w="843" w:type="dxa"/>
          </w:tcPr>
          <w:p w14:paraId="712E9B14" w14:textId="77777777" w:rsidR="00560210" w:rsidRPr="00B203C4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B203C4">
              <w:rPr>
                <w:b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3693" w:type="dxa"/>
          </w:tcPr>
          <w:p w14:paraId="238EE342" w14:textId="77777777" w:rsidR="00560210" w:rsidRDefault="00560210" w:rsidP="00EE3DC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BC2D1A">
              <w:rPr>
                <w:b w:val="0"/>
                <w:sz w:val="24"/>
                <w:szCs w:val="24"/>
                <w:lang w:val="uk-UA"/>
              </w:rPr>
              <w:t>Надання</w:t>
            </w:r>
            <w:r>
              <w:rPr>
                <w:b w:val="0"/>
                <w:sz w:val="24"/>
                <w:szCs w:val="24"/>
                <w:lang w:val="uk-UA"/>
              </w:rPr>
              <w:t xml:space="preserve"> транспортного засобу для проведення огляду до митного органу (середні витрати дизельного пального одним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сідловим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 xml:space="preserve"> тягачем</w:t>
            </w:r>
            <w:r w:rsidR="0094182E">
              <w:rPr>
                <w:b w:val="0"/>
                <w:sz w:val="24"/>
                <w:szCs w:val="24"/>
                <w:lang w:val="uk-UA"/>
              </w:rPr>
              <w:t xml:space="preserve"> – </w:t>
            </w:r>
            <w:r>
              <w:rPr>
                <w:b w:val="0"/>
                <w:sz w:val="24"/>
                <w:szCs w:val="24"/>
                <w:lang w:val="uk-UA"/>
              </w:rPr>
              <w:t>22,22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 xml:space="preserve">л, ціна 1 л дизельного пального </w:t>
            </w:r>
            <w:r w:rsidR="00EE3DCC">
              <w:rPr>
                <w:b w:val="0"/>
                <w:sz w:val="24"/>
                <w:szCs w:val="24"/>
                <w:lang w:val="uk-UA"/>
              </w:rPr>
              <w:t>30,68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грн)</w:t>
            </w:r>
          </w:p>
          <w:p w14:paraId="240052F7" w14:textId="4BF57B7A" w:rsidR="005635C4" w:rsidRPr="00BC2D1A" w:rsidRDefault="005635C4" w:rsidP="00EE3DCC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</w:tcPr>
          <w:p w14:paraId="3B7B9B95" w14:textId="25E157ED" w:rsidR="00560210" w:rsidRDefault="00EE3DCC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681,71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 w:rsidR="00560210"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100C7268" w14:textId="74FA4EA6" w:rsidR="00560210" w:rsidRPr="00674EC9" w:rsidRDefault="00674EC9" w:rsidP="00EE3DC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uk-UA"/>
              </w:rPr>
              <w:t>(</w:t>
            </w:r>
            <w:r w:rsidRPr="00674EC9">
              <w:rPr>
                <w:b w:val="0"/>
                <w:sz w:val="22"/>
                <w:szCs w:val="22"/>
                <w:lang w:val="uk-UA"/>
              </w:rPr>
              <w:t>22,22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674EC9">
              <w:rPr>
                <w:b w:val="0"/>
                <w:sz w:val="22"/>
                <w:szCs w:val="22"/>
                <w:lang w:val="uk-UA"/>
              </w:rPr>
              <w:t>л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94182E">
              <w:rPr>
                <w:b w:val="0"/>
                <w:sz w:val="22"/>
                <w:szCs w:val="22"/>
                <w:lang w:val="uk-UA"/>
              </w:rPr>
              <w:t>х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EE3DCC">
              <w:rPr>
                <w:b w:val="0"/>
                <w:sz w:val="22"/>
                <w:szCs w:val="22"/>
                <w:lang w:val="uk-UA"/>
              </w:rPr>
              <w:t>30,68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674EC9">
              <w:rPr>
                <w:b w:val="0"/>
                <w:sz w:val="22"/>
                <w:szCs w:val="22"/>
                <w:lang w:val="uk-UA"/>
              </w:rPr>
              <w:t>грн</w:t>
            </w:r>
            <w:r>
              <w:rPr>
                <w:b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2348" w:type="dxa"/>
          </w:tcPr>
          <w:p w14:paraId="488DBA00" w14:textId="4D6FAD3A" w:rsidR="00560210" w:rsidRPr="00E27828" w:rsidRDefault="00EE3DCC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1363,42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 w:rsidR="00560210"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</w:tr>
      <w:tr w:rsidR="00560210" w14:paraId="05E97B98" w14:textId="77777777" w:rsidTr="00560210">
        <w:tc>
          <w:tcPr>
            <w:tcW w:w="843" w:type="dxa"/>
          </w:tcPr>
          <w:p w14:paraId="376D3FDB" w14:textId="77777777" w:rsidR="00560210" w:rsidRPr="00B203C4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 w:rsidRPr="00B203C4">
              <w:rPr>
                <w:b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3693" w:type="dxa"/>
          </w:tcPr>
          <w:p w14:paraId="75377E23" w14:textId="4D6E1E7A" w:rsidR="005635C4" w:rsidRPr="00BC2D1A" w:rsidRDefault="00560210" w:rsidP="000E252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BC2D1A">
              <w:rPr>
                <w:b w:val="0"/>
                <w:sz w:val="24"/>
                <w:szCs w:val="24"/>
                <w:lang w:val="uk-UA"/>
              </w:rPr>
              <w:t>Отримання</w:t>
            </w:r>
            <w:r>
              <w:rPr>
                <w:b w:val="0"/>
                <w:sz w:val="24"/>
                <w:szCs w:val="24"/>
                <w:lang w:val="uk-UA"/>
              </w:rPr>
              <w:t xml:space="preserve"> належним чином оформленого свідоцтва про допущення</w:t>
            </w:r>
          </w:p>
        </w:tc>
        <w:tc>
          <w:tcPr>
            <w:tcW w:w="2890" w:type="dxa"/>
          </w:tcPr>
          <w:p w14:paraId="6CEEFB2D" w14:textId="75C96D60" w:rsidR="00560210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18,0</w:t>
            </w:r>
            <w:r w:rsidR="00EE3DCC">
              <w:rPr>
                <w:b w:val="0"/>
                <w:sz w:val="24"/>
                <w:szCs w:val="24"/>
                <w:lang w:val="uk-UA"/>
              </w:rPr>
              <w:t>6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2726CDEF" w14:textId="1A9780EC" w:rsidR="00560210" w:rsidRPr="00E507CC" w:rsidRDefault="00674EC9" w:rsidP="0094182E">
            <w:pPr>
              <w:pStyle w:val="3"/>
              <w:spacing w:before="0" w:beforeAutospacing="0" w:after="0" w:afterAutospacing="0"/>
              <w:jc w:val="center"/>
              <w:outlineLvl w:val="2"/>
              <w:rPr>
                <w:sz w:val="28"/>
                <w:szCs w:val="28"/>
                <w:lang w:val="uk-UA"/>
              </w:rPr>
            </w:pPr>
            <w:r w:rsidRPr="00674EC9">
              <w:rPr>
                <w:b w:val="0"/>
                <w:sz w:val="22"/>
                <w:szCs w:val="22"/>
                <w:lang w:val="uk-UA"/>
              </w:rPr>
              <w:t>(</w:t>
            </w:r>
            <w:r w:rsidR="00560210" w:rsidRPr="00674EC9">
              <w:rPr>
                <w:b w:val="0"/>
                <w:sz w:val="22"/>
                <w:szCs w:val="22"/>
                <w:lang w:val="uk-UA"/>
              </w:rPr>
              <w:t>0,5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="00560210" w:rsidRPr="00674EC9">
              <w:rPr>
                <w:b w:val="0"/>
                <w:sz w:val="22"/>
                <w:szCs w:val="22"/>
                <w:lang w:val="uk-UA"/>
              </w:rPr>
              <w:t>год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94182E">
              <w:rPr>
                <w:b w:val="0"/>
                <w:sz w:val="22"/>
                <w:szCs w:val="22"/>
                <w:lang w:val="uk-UA"/>
              </w:rPr>
              <w:t>х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560210" w:rsidRPr="00674EC9">
              <w:rPr>
                <w:b w:val="0"/>
                <w:sz w:val="22"/>
                <w:szCs w:val="22"/>
                <w:lang w:val="en-US"/>
              </w:rPr>
              <w:t>36</w:t>
            </w:r>
            <w:r w:rsidR="00560210" w:rsidRPr="00674EC9">
              <w:rPr>
                <w:b w:val="0"/>
                <w:sz w:val="22"/>
                <w:szCs w:val="22"/>
                <w:lang w:val="uk-UA"/>
              </w:rPr>
              <w:t>,11</w:t>
            </w:r>
            <w:r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348" w:type="dxa"/>
          </w:tcPr>
          <w:p w14:paraId="16B7028C" w14:textId="3A688983" w:rsidR="00560210" w:rsidRPr="00E27828" w:rsidRDefault="00560210" w:rsidP="00EE3DCC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E27828">
              <w:rPr>
                <w:b w:val="0"/>
                <w:sz w:val="24"/>
                <w:szCs w:val="24"/>
                <w:lang w:val="uk-UA"/>
              </w:rPr>
              <w:t>36,1</w:t>
            </w:r>
            <w:r w:rsidR="00EE3DCC">
              <w:rPr>
                <w:b w:val="0"/>
                <w:sz w:val="24"/>
                <w:szCs w:val="24"/>
                <w:lang w:val="uk-UA"/>
              </w:rPr>
              <w:t>2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</w:tr>
      <w:tr w:rsidR="00560210" w14:paraId="195E2F19" w14:textId="77777777" w:rsidTr="00560210">
        <w:tc>
          <w:tcPr>
            <w:tcW w:w="843" w:type="dxa"/>
          </w:tcPr>
          <w:p w14:paraId="019D1418" w14:textId="6905D09A" w:rsidR="00560210" w:rsidRPr="00B203C4" w:rsidRDefault="0056021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693" w:type="dxa"/>
          </w:tcPr>
          <w:p w14:paraId="4E5CF453" w14:textId="1C1CB5BC" w:rsidR="008468A0" w:rsidRDefault="008468A0" w:rsidP="008468A0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Проходження навчання</w:t>
            </w:r>
            <w:r w:rsidR="00E95E7D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 xml:space="preserve">в Асоціації міжнародних автомобільних перевізників України, надання заяви та </w:t>
            </w:r>
            <w:r w:rsidR="00852007">
              <w:rPr>
                <w:b w:val="0"/>
                <w:sz w:val="24"/>
                <w:szCs w:val="24"/>
                <w:lang w:val="uk-UA"/>
              </w:rPr>
              <w:t xml:space="preserve">збір необхідного </w:t>
            </w:r>
            <w:r>
              <w:rPr>
                <w:b w:val="0"/>
                <w:sz w:val="24"/>
                <w:szCs w:val="24"/>
                <w:lang w:val="uk-UA"/>
              </w:rPr>
              <w:t xml:space="preserve">пакету документів до </w:t>
            </w:r>
            <w:proofErr w:type="spellStart"/>
            <w:r>
              <w:rPr>
                <w:b w:val="0"/>
                <w:sz w:val="24"/>
                <w:szCs w:val="24"/>
                <w:lang w:val="uk-UA"/>
              </w:rPr>
              <w:t>АсМАП</w:t>
            </w:r>
            <w:proofErr w:type="spellEnd"/>
            <w:r>
              <w:rPr>
                <w:b w:val="0"/>
                <w:sz w:val="24"/>
                <w:szCs w:val="24"/>
                <w:lang w:val="uk-UA"/>
              </w:rPr>
              <w:t>.</w:t>
            </w:r>
          </w:p>
          <w:p w14:paraId="0FAD194B" w14:textId="4D385452" w:rsidR="00560210" w:rsidRDefault="00612680" w:rsidP="0085200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="008468A0">
              <w:rPr>
                <w:b w:val="0"/>
                <w:sz w:val="24"/>
                <w:szCs w:val="24"/>
                <w:lang w:val="uk-UA"/>
              </w:rPr>
              <w:t>част</w:t>
            </w:r>
            <w:r>
              <w:rPr>
                <w:b w:val="0"/>
                <w:sz w:val="24"/>
                <w:szCs w:val="24"/>
                <w:lang w:val="uk-UA"/>
              </w:rPr>
              <w:t>ь</w:t>
            </w:r>
            <w:r w:rsidR="008468A0">
              <w:rPr>
                <w:b w:val="0"/>
                <w:sz w:val="24"/>
                <w:szCs w:val="24"/>
                <w:lang w:val="uk-UA"/>
              </w:rPr>
              <w:t xml:space="preserve"> </w:t>
            </w:r>
            <w:r>
              <w:rPr>
                <w:b w:val="0"/>
                <w:sz w:val="24"/>
                <w:szCs w:val="24"/>
                <w:lang w:val="uk-UA"/>
              </w:rPr>
              <w:t>у</w:t>
            </w:r>
            <w:r w:rsidR="008468A0">
              <w:rPr>
                <w:b w:val="0"/>
                <w:sz w:val="24"/>
                <w:szCs w:val="24"/>
                <w:lang w:val="uk-UA"/>
              </w:rPr>
              <w:t xml:space="preserve"> засіданні спільної комісії з метою перевірки</w:t>
            </w:r>
            <w:r w:rsidR="00852007">
              <w:rPr>
                <w:b w:val="0"/>
                <w:sz w:val="24"/>
                <w:szCs w:val="24"/>
                <w:lang w:val="uk-UA"/>
              </w:rPr>
              <w:t xml:space="preserve"> знан</w:t>
            </w:r>
            <w:r>
              <w:rPr>
                <w:b w:val="0"/>
                <w:sz w:val="24"/>
                <w:szCs w:val="24"/>
                <w:lang w:val="uk-UA"/>
              </w:rPr>
              <w:t>ь щодо</w:t>
            </w:r>
            <w:r w:rsidR="00852007">
              <w:rPr>
                <w:b w:val="0"/>
                <w:sz w:val="24"/>
                <w:szCs w:val="24"/>
                <w:lang w:val="uk-UA"/>
              </w:rPr>
              <w:t xml:space="preserve"> порядку використання Конвенції МДП та питань </w:t>
            </w:r>
            <w:r w:rsidR="0094182E">
              <w:rPr>
                <w:b w:val="0"/>
                <w:sz w:val="24"/>
                <w:szCs w:val="24"/>
                <w:lang w:val="uk-UA"/>
              </w:rPr>
              <w:t>стосовно</w:t>
            </w:r>
            <w:r w:rsidR="00852007">
              <w:rPr>
                <w:b w:val="0"/>
                <w:sz w:val="24"/>
                <w:szCs w:val="24"/>
                <w:lang w:val="uk-UA"/>
              </w:rPr>
              <w:t xml:space="preserve"> перевізників з митного законодавства</w:t>
            </w:r>
            <w:r w:rsidR="009820DB">
              <w:rPr>
                <w:b w:val="0"/>
                <w:sz w:val="24"/>
                <w:szCs w:val="24"/>
                <w:lang w:val="uk-UA"/>
              </w:rPr>
              <w:t xml:space="preserve"> у разі відповідності мінімальним умовам та вимогам згідно з Конвенцією МДП .</w:t>
            </w:r>
          </w:p>
          <w:p w14:paraId="02188F39" w14:textId="6A7DC96D" w:rsidR="00852007" w:rsidRPr="002152EF" w:rsidRDefault="00852007" w:rsidP="009B2E4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Отримання дозволу до перевезень на умовах Конвенції МДП </w:t>
            </w:r>
            <w:r w:rsidR="009820DB">
              <w:rPr>
                <w:b w:val="0"/>
                <w:sz w:val="24"/>
                <w:szCs w:val="24"/>
                <w:lang w:val="uk-UA"/>
              </w:rPr>
              <w:t xml:space="preserve">у разі позитивного </w:t>
            </w:r>
            <w:r>
              <w:rPr>
                <w:b w:val="0"/>
                <w:sz w:val="24"/>
                <w:szCs w:val="24"/>
                <w:lang w:val="uk-UA"/>
              </w:rPr>
              <w:t>рішення засідання</w:t>
            </w:r>
            <w:r w:rsidR="009820DB">
              <w:rPr>
                <w:b w:val="0"/>
                <w:sz w:val="24"/>
                <w:szCs w:val="24"/>
                <w:lang w:val="uk-UA"/>
              </w:rPr>
              <w:t xml:space="preserve"> комісії</w:t>
            </w:r>
            <w:r w:rsidR="009B2E48">
              <w:rPr>
                <w:b w:val="0"/>
                <w:sz w:val="24"/>
                <w:szCs w:val="24"/>
                <w:lang w:val="uk-UA"/>
              </w:rPr>
              <w:t>,</w:t>
            </w:r>
            <w:r w:rsidR="009820DB">
              <w:rPr>
                <w:b w:val="0"/>
                <w:sz w:val="24"/>
                <w:szCs w:val="24"/>
                <w:lang w:val="uk-UA"/>
              </w:rPr>
              <w:t xml:space="preserve"> у разі негативного рішення – повторна перевірка знань</w:t>
            </w:r>
          </w:p>
        </w:tc>
        <w:tc>
          <w:tcPr>
            <w:tcW w:w="2890" w:type="dxa"/>
          </w:tcPr>
          <w:p w14:paraId="09C9588B" w14:textId="4EE85B23" w:rsidR="00560210" w:rsidRDefault="008468A0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3000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>
              <w:rPr>
                <w:b w:val="0"/>
                <w:sz w:val="24"/>
                <w:szCs w:val="24"/>
                <w:lang w:val="uk-UA"/>
              </w:rPr>
              <w:t>грн</w:t>
            </w:r>
          </w:p>
          <w:p w14:paraId="124C3DF1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</w:p>
          <w:p w14:paraId="3A388FD4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2"/>
                <w:szCs w:val="22"/>
                <w:lang w:val="uk-UA"/>
              </w:rPr>
            </w:pPr>
          </w:p>
          <w:p w14:paraId="7FA4BB68" w14:textId="717BE7CA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36</w:t>
            </w:r>
            <w:r w:rsidRPr="002C4A79">
              <w:rPr>
                <w:b w:val="0"/>
                <w:sz w:val="22"/>
                <w:szCs w:val="22"/>
                <w:lang w:val="uk-UA"/>
              </w:rPr>
              <w:t>,</w:t>
            </w:r>
            <w:r>
              <w:rPr>
                <w:b w:val="0"/>
                <w:sz w:val="22"/>
                <w:szCs w:val="22"/>
                <w:lang w:val="uk-UA"/>
              </w:rPr>
              <w:t>11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Pr="002C4A79">
              <w:rPr>
                <w:b w:val="0"/>
                <w:sz w:val="22"/>
                <w:szCs w:val="22"/>
                <w:lang w:val="uk-UA"/>
              </w:rPr>
              <w:t>грн</w:t>
            </w:r>
          </w:p>
          <w:p w14:paraId="509AF8F4" w14:textId="1F0F6CAA" w:rsidR="009820DB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2"/>
                <w:szCs w:val="22"/>
                <w:lang w:val="uk-UA"/>
              </w:rPr>
              <w:t>(</w:t>
            </w:r>
            <w:r w:rsidR="009820DB">
              <w:rPr>
                <w:b w:val="0"/>
                <w:sz w:val="22"/>
                <w:szCs w:val="22"/>
                <w:lang w:val="uk-UA"/>
              </w:rPr>
              <w:t>1</w:t>
            </w:r>
            <w:r>
              <w:rPr>
                <w:b w:val="0"/>
                <w:sz w:val="22"/>
                <w:szCs w:val="22"/>
                <w:lang w:val="uk-UA"/>
              </w:rPr>
              <w:t> </w:t>
            </w:r>
            <w:r w:rsidR="009820DB" w:rsidRPr="002C4A79">
              <w:rPr>
                <w:b w:val="0"/>
                <w:sz w:val="22"/>
                <w:szCs w:val="22"/>
                <w:lang w:val="uk-UA"/>
              </w:rPr>
              <w:t>год</w:t>
            </w:r>
            <w:r w:rsidR="0094182E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9820DB" w:rsidRPr="002C4A79">
              <w:rPr>
                <w:b w:val="0"/>
                <w:sz w:val="22"/>
                <w:szCs w:val="22"/>
                <w:lang w:val="en-US"/>
              </w:rPr>
              <w:t>x</w:t>
            </w:r>
            <w:r w:rsidR="009D2C9A"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9820DB">
              <w:rPr>
                <w:b w:val="0"/>
                <w:sz w:val="22"/>
                <w:szCs w:val="22"/>
                <w:lang w:val="uk-UA"/>
              </w:rPr>
              <w:t>36,11</w:t>
            </w:r>
            <w:r w:rsidR="0094182E">
              <w:rPr>
                <w:b w:val="0"/>
                <w:sz w:val="22"/>
                <w:szCs w:val="22"/>
                <w:lang w:val="uk-UA"/>
              </w:rPr>
              <w:t> </w:t>
            </w:r>
            <w:r w:rsidR="009820DB">
              <w:rPr>
                <w:b w:val="0"/>
                <w:sz w:val="22"/>
                <w:szCs w:val="22"/>
                <w:lang w:val="uk-UA"/>
              </w:rPr>
              <w:t>грн</w:t>
            </w:r>
            <w:r>
              <w:rPr>
                <w:b w:val="0"/>
                <w:sz w:val="22"/>
                <w:szCs w:val="22"/>
                <w:lang w:val="uk-UA"/>
              </w:rPr>
              <w:t>)</w:t>
            </w:r>
          </w:p>
          <w:p w14:paraId="0D01460E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14:paraId="033B4186" w14:textId="25F6C50E" w:rsidR="008468A0" w:rsidRDefault="008468A0" w:rsidP="008468A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1раз/місяць</w:t>
            </w:r>
          </w:p>
        </w:tc>
        <w:tc>
          <w:tcPr>
            <w:tcW w:w="2348" w:type="dxa"/>
          </w:tcPr>
          <w:p w14:paraId="1B3B216B" w14:textId="77777777" w:rsidR="00560210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  <w:p w14:paraId="2893AA7C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14:paraId="0C03FA23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14:paraId="545217D2" w14:textId="7B93F81E" w:rsidR="009820DB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  <w:p w14:paraId="35CFDC81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14:paraId="7C3EA9A8" w14:textId="77777777" w:rsidR="009820DB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  <w:p w14:paraId="134D590E" w14:textId="425B516B" w:rsidR="009820DB" w:rsidRPr="00E27828" w:rsidRDefault="009820DB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-</w:t>
            </w:r>
          </w:p>
        </w:tc>
      </w:tr>
      <w:tr w:rsidR="00560210" w14:paraId="2E2DDF94" w14:textId="77777777" w:rsidTr="00560210">
        <w:tc>
          <w:tcPr>
            <w:tcW w:w="843" w:type="dxa"/>
          </w:tcPr>
          <w:p w14:paraId="69373BAD" w14:textId="5DE8F5D9" w:rsidR="00560210" w:rsidRPr="00B203C4" w:rsidRDefault="00674EC9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3693" w:type="dxa"/>
          </w:tcPr>
          <w:p w14:paraId="06F9444D" w14:textId="4BB8EAAA" w:rsidR="00560210" w:rsidRPr="005F69DB" w:rsidRDefault="00560210" w:rsidP="009820DB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5F69DB">
              <w:rPr>
                <w:b w:val="0"/>
                <w:sz w:val="24"/>
                <w:szCs w:val="24"/>
                <w:lang w:val="uk-UA"/>
              </w:rPr>
              <w:t>Разом (сума рядків</w:t>
            </w:r>
            <w:r w:rsidR="00674EC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5F69DB">
              <w:rPr>
                <w:b w:val="0"/>
                <w:sz w:val="24"/>
                <w:szCs w:val="24"/>
                <w:lang w:val="uk-UA"/>
              </w:rPr>
              <w:t>1+2+3</w:t>
            </w:r>
            <w:r w:rsidR="009820DB">
              <w:rPr>
                <w:b w:val="0"/>
                <w:sz w:val="24"/>
                <w:szCs w:val="24"/>
                <w:lang w:val="uk-UA"/>
              </w:rPr>
              <w:t>+4</w:t>
            </w:r>
            <w:r w:rsidRPr="005F69DB">
              <w:rPr>
                <w:b w:val="0"/>
                <w:sz w:val="24"/>
                <w:szCs w:val="24"/>
                <w:lang w:val="uk-UA"/>
              </w:rPr>
              <w:t>)</w:t>
            </w:r>
          </w:p>
        </w:tc>
        <w:tc>
          <w:tcPr>
            <w:tcW w:w="2890" w:type="dxa"/>
          </w:tcPr>
          <w:p w14:paraId="23BDF965" w14:textId="5C416729" w:rsidR="00560210" w:rsidRPr="005F69DB" w:rsidRDefault="00EE3DCC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3833,1</w:t>
            </w:r>
            <w:r w:rsidR="0094182E">
              <w:rPr>
                <w:b w:val="0"/>
                <w:sz w:val="24"/>
                <w:szCs w:val="24"/>
                <w:lang w:val="uk-UA"/>
              </w:rPr>
              <w:t> </w:t>
            </w:r>
            <w:r w:rsidR="00560210" w:rsidRPr="005F69DB">
              <w:rPr>
                <w:b w:val="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348" w:type="dxa"/>
          </w:tcPr>
          <w:p w14:paraId="4A154CBE" w14:textId="72DCD867" w:rsidR="00560210" w:rsidRPr="005F69DB" w:rsidRDefault="007B3666" w:rsidP="00560210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1593,98</w:t>
            </w:r>
            <w:bookmarkStart w:id="0" w:name="_GoBack"/>
            <w:bookmarkEnd w:id="0"/>
            <w:r w:rsidR="00EE3DCC">
              <w:rPr>
                <w:b w:val="0"/>
                <w:sz w:val="24"/>
                <w:szCs w:val="24"/>
                <w:lang w:val="uk-UA"/>
              </w:rPr>
              <w:t> грн</w:t>
            </w:r>
          </w:p>
        </w:tc>
      </w:tr>
    </w:tbl>
    <w:p w14:paraId="34408C25" w14:textId="77777777" w:rsidR="00D35563" w:rsidRDefault="00D35563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4E8CCBD5" w14:textId="6B1C9F31" w:rsidR="00C3504A" w:rsidRPr="00182C6D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82C6D">
        <w:rPr>
          <w:sz w:val="28"/>
          <w:szCs w:val="28"/>
          <w:lang w:val="uk-UA"/>
        </w:rPr>
        <w:t xml:space="preserve">IV. Вибір найбільш оптимального альтернативного способу </w:t>
      </w:r>
    </w:p>
    <w:p w14:paraId="0A749BAD" w14:textId="553BED61" w:rsidR="009A4B38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182C6D">
        <w:rPr>
          <w:sz w:val="28"/>
          <w:szCs w:val="28"/>
          <w:lang w:val="uk-UA"/>
        </w:rPr>
        <w:t>досягнення цілей</w:t>
      </w:r>
    </w:p>
    <w:p w14:paraId="770E97DF" w14:textId="1D297C23" w:rsidR="00601E86" w:rsidRDefault="00601E86" w:rsidP="00601E86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B8C095B" w14:textId="77777777" w:rsidR="000E2524" w:rsidRDefault="000E2524" w:rsidP="00601E86">
      <w:pPr>
        <w:pStyle w:val="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122"/>
        <w:gridCol w:w="2976"/>
        <w:gridCol w:w="4678"/>
      </w:tblGrid>
      <w:tr w:rsidR="00601E86" w14:paraId="6A0B7588" w14:textId="77777777" w:rsidTr="00601E86">
        <w:tc>
          <w:tcPr>
            <w:tcW w:w="2122" w:type="dxa"/>
          </w:tcPr>
          <w:p w14:paraId="0836E772" w14:textId="7FB09EEB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976" w:type="dxa"/>
          </w:tcPr>
          <w:p w14:paraId="3D59B6DA" w14:textId="62BB2B08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678" w:type="dxa"/>
          </w:tcPr>
          <w:p w14:paraId="35C88E64" w14:textId="5D122ABA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601E86">
              <w:rPr>
                <w:b w:val="0"/>
                <w:sz w:val="24"/>
                <w:szCs w:val="24"/>
                <w:lang w:val="uk-UA"/>
              </w:rPr>
              <w:t>бала</w:t>
            </w:r>
            <w:proofErr w:type="spellEnd"/>
          </w:p>
        </w:tc>
      </w:tr>
      <w:tr w:rsidR="00601E86" w14:paraId="2B961401" w14:textId="77777777" w:rsidTr="00601E86">
        <w:tc>
          <w:tcPr>
            <w:tcW w:w="2122" w:type="dxa"/>
          </w:tcPr>
          <w:p w14:paraId="54A8CF20" w14:textId="55B67EE0" w:rsidR="00601E86" w:rsidRPr="00601E86" w:rsidRDefault="00601E86" w:rsidP="00601E8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976" w:type="dxa"/>
          </w:tcPr>
          <w:p w14:paraId="6B1EEDF7" w14:textId="56B05610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4678" w:type="dxa"/>
          </w:tcPr>
          <w:p w14:paraId="1C9C19CA" w14:textId="687A5BE5" w:rsidR="00601E86" w:rsidRPr="00601E86" w:rsidRDefault="00601E86" w:rsidP="00762BFC">
            <w:pPr>
              <w:pStyle w:val="3"/>
              <w:spacing w:before="40" w:beforeAutospacing="0" w:after="4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 xml:space="preserve">Цілі прийняття регуляторного </w:t>
            </w:r>
            <w:proofErr w:type="spellStart"/>
            <w:r w:rsidRPr="00601E86">
              <w:rPr>
                <w:b w:val="0"/>
                <w:sz w:val="24"/>
                <w:szCs w:val="24"/>
                <w:lang w:val="uk-UA"/>
              </w:rPr>
              <w:t>акта</w:t>
            </w:r>
            <w:proofErr w:type="spellEnd"/>
            <w:r w:rsidRPr="00601E86">
              <w:rPr>
                <w:b w:val="0"/>
                <w:sz w:val="24"/>
                <w:szCs w:val="24"/>
                <w:lang w:val="uk-UA"/>
              </w:rPr>
              <w:t xml:space="preserve"> можуть бути досягнути повною мірою</w:t>
            </w:r>
          </w:p>
        </w:tc>
      </w:tr>
      <w:tr w:rsidR="00601E86" w14:paraId="7E6E1F90" w14:textId="77777777" w:rsidTr="00601E86">
        <w:tc>
          <w:tcPr>
            <w:tcW w:w="2122" w:type="dxa"/>
          </w:tcPr>
          <w:p w14:paraId="378A37FD" w14:textId="5112F930" w:rsidR="00601E86" w:rsidRPr="00601E86" w:rsidRDefault="00601E86" w:rsidP="00601E8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2976" w:type="dxa"/>
          </w:tcPr>
          <w:p w14:paraId="4C92C5A4" w14:textId="33E7A7F8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4678" w:type="dxa"/>
          </w:tcPr>
          <w:p w14:paraId="79C5590B" w14:textId="12DED47D" w:rsidR="00601E86" w:rsidRPr="00601E86" w:rsidRDefault="00601E86" w:rsidP="00601E86">
            <w:pPr>
              <w:spacing w:before="40" w:after="40"/>
              <w:jc w:val="both"/>
              <w:rPr>
                <w:lang w:val="uk-UA"/>
              </w:rPr>
            </w:pPr>
            <w:r w:rsidRPr="00601E86">
              <w:rPr>
                <w:lang w:val="uk-UA"/>
              </w:rPr>
              <w:t xml:space="preserve">Не </w:t>
            </w:r>
            <w:r w:rsidR="00591A18">
              <w:rPr>
                <w:lang w:val="uk-UA"/>
              </w:rPr>
              <w:t>дає змоги</w:t>
            </w:r>
            <w:r w:rsidRPr="00601E86">
              <w:rPr>
                <w:lang w:val="uk-UA"/>
              </w:rPr>
              <w:t xml:space="preserve"> досягнути поставлених цілей державного регулювання. </w:t>
            </w:r>
          </w:p>
          <w:p w14:paraId="35B51186" w14:textId="301A0579" w:rsidR="00601E86" w:rsidRPr="00601E86" w:rsidRDefault="00601E86" w:rsidP="00591A18">
            <w:pPr>
              <w:pStyle w:val="3"/>
              <w:spacing w:before="40" w:beforeAutospacing="0" w:after="4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Проблема продовжує існувати</w:t>
            </w:r>
          </w:p>
        </w:tc>
      </w:tr>
    </w:tbl>
    <w:p w14:paraId="7B0BE0CC" w14:textId="06A9871C" w:rsidR="00601E86" w:rsidRDefault="00601E86"/>
    <w:p w14:paraId="212C0781" w14:textId="7E7ACB5F" w:rsidR="002E2081" w:rsidRDefault="002E2081"/>
    <w:p w14:paraId="47D8E709" w14:textId="77777777" w:rsidR="000E2524" w:rsidRDefault="000E2524"/>
    <w:tbl>
      <w:tblPr>
        <w:tblStyle w:val="a6"/>
        <w:tblW w:w="9784" w:type="dxa"/>
        <w:tblLook w:val="04A0" w:firstRow="1" w:lastRow="0" w:firstColumn="1" w:lastColumn="0" w:noHBand="0" w:noVBand="1"/>
      </w:tblPr>
      <w:tblGrid>
        <w:gridCol w:w="1972"/>
        <w:gridCol w:w="2940"/>
        <w:gridCol w:w="2313"/>
        <w:gridCol w:w="2559"/>
      </w:tblGrid>
      <w:tr w:rsidR="00601E86" w14:paraId="5E59AE28" w14:textId="77777777" w:rsidTr="001A1828">
        <w:tc>
          <w:tcPr>
            <w:tcW w:w="1972" w:type="dxa"/>
          </w:tcPr>
          <w:p w14:paraId="49DF2BF6" w14:textId="51962089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Рейтинг результативності</w:t>
            </w:r>
          </w:p>
        </w:tc>
        <w:tc>
          <w:tcPr>
            <w:tcW w:w="2940" w:type="dxa"/>
          </w:tcPr>
          <w:p w14:paraId="11A64EA4" w14:textId="2B6AB482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Вигоди (підсумок)</w:t>
            </w:r>
          </w:p>
        </w:tc>
        <w:tc>
          <w:tcPr>
            <w:tcW w:w="2313" w:type="dxa"/>
          </w:tcPr>
          <w:p w14:paraId="3423ADFD" w14:textId="75009B94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Витрати (підсумок)</w:t>
            </w:r>
          </w:p>
        </w:tc>
        <w:tc>
          <w:tcPr>
            <w:tcW w:w="2559" w:type="dxa"/>
          </w:tcPr>
          <w:p w14:paraId="57D69687" w14:textId="0EC42749" w:rsidR="00601E86" w:rsidRPr="00601E86" w:rsidRDefault="00601E86" w:rsidP="00601E86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01E86" w:rsidRPr="0036088B" w14:paraId="272A0A2E" w14:textId="77777777" w:rsidTr="001A1828">
        <w:tc>
          <w:tcPr>
            <w:tcW w:w="1972" w:type="dxa"/>
          </w:tcPr>
          <w:p w14:paraId="317B0AB3" w14:textId="60FF7030" w:rsidR="00601E86" w:rsidRPr="00601E86" w:rsidRDefault="00601E86" w:rsidP="00601E8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Альтернатива 1</w:t>
            </w:r>
          </w:p>
        </w:tc>
        <w:tc>
          <w:tcPr>
            <w:tcW w:w="2940" w:type="dxa"/>
          </w:tcPr>
          <w:p w14:paraId="24A4B5EA" w14:textId="3139AAAD" w:rsidR="00601E86" w:rsidRDefault="00601E86" w:rsidP="00591A1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 xml:space="preserve">Прийняття проекту </w:t>
            </w:r>
            <w:proofErr w:type="spellStart"/>
            <w:r w:rsidRPr="00601E86">
              <w:rPr>
                <w:b w:val="0"/>
                <w:sz w:val="24"/>
                <w:szCs w:val="24"/>
                <w:lang w:val="uk-UA"/>
              </w:rPr>
              <w:t>акта</w:t>
            </w:r>
            <w:proofErr w:type="spellEnd"/>
            <w:r w:rsidRPr="00601E86">
              <w:rPr>
                <w:b w:val="0"/>
                <w:sz w:val="24"/>
                <w:szCs w:val="24"/>
                <w:lang w:val="uk-UA"/>
              </w:rPr>
              <w:t xml:space="preserve"> удосконалить правове регулювання та сприятиме практичній взаємодії митних органів та суб’єктів господарювання </w:t>
            </w:r>
            <w:r w:rsidRPr="00601E86">
              <w:rPr>
                <w:b w:val="0"/>
                <w:sz w:val="24"/>
                <w:szCs w:val="24"/>
                <w:lang w:val="uk-UA"/>
              </w:rPr>
              <w:lastRenderedPageBreak/>
              <w:t>при наданні останніми послуг з перевезення товарів під митним контролем</w:t>
            </w:r>
          </w:p>
          <w:p w14:paraId="0C556BB1" w14:textId="1B791E41" w:rsidR="00A95296" w:rsidRDefault="00A95296" w:rsidP="00591A1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Реалізація можливості отримання спрощеного механізму при взаємодії з митними органами під час отримання Свідоцтва про допущення дорожнього транспортного засобу до перевезення товарів під митними печатками та пломбами</w:t>
            </w:r>
          </w:p>
          <w:p w14:paraId="58564A85" w14:textId="13B9E8BB" w:rsidR="00A95296" w:rsidRPr="00601E86" w:rsidRDefault="00FB0FA7" w:rsidP="00D2119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Нада</w:t>
            </w:r>
            <w:r w:rsidR="0058541A">
              <w:rPr>
                <w:b w:val="0"/>
                <w:sz w:val="24"/>
                <w:szCs w:val="24"/>
                <w:lang w:val="uk-UA"/>
              </w:rPr>
              <w:t xml:space="preserve">ння </w:t>
            </w:r>
            <w:r>
              <w:rPr>
                <w:b w:val="0"/>
                <w:sz w:val="24"/>
                <w:szCs w:val="24"/>
                <w:lang w:val="uk-UA"/>
              </w:rPr>
              <w:t>можливості отримати Свідоцтво про допущення та продовження його дії будь-яким митним органом України незалежно від місцезнаходження</w:t>
            </w:r>
            <w:r w:rsidR="00D21194">
              <w:rPr>
                <w:b w:val="0"/>
                <w:sz w:val="24"/>
                <w:szCs w:val="24"/>
                <w:lang w:val="uk-UA"/>
              </w:rPr>
              <w:t>/місце реєстрації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1A1828">
              <w:rPr>
                <w:b w:val="0"/>
                <w:sz w:val="24"/>
                <w:szCs w:val="24"/>
                <w:lang w:val="uk-UA"/>
              </w:rPr>
              <w:t>юридичної</w:t>
            </w:r>
            <w:r w:rsidR="00185D3F">
              <w:rPr>
                <w:b w:val="0"/>
                <w:sz w:val="24"/>
                <w:szCs w:val="24"/>
                <w:lang w:val="uk-UA"/>
              </w:rPr>
              <w:t xml:space="preserve"> особи</w:t>
            </w:r>
            <w:r w:rsidR="00D21194">
              <w:rPr>
                <w:b w:val="0"/>
                <w:sz w:val="24"/>
                <w:szCs w:val="24"/>
                <w:lang w:val="uk-UA"/>
              </w:rPr>
              <w:t>/</w:t>
            </w:r>
            <w:r w:rsidR="001A1828">
              <w:rPr>
                <w:b w:val="0"/>
                <w:sz w:val="24"/>
                <w:szCs w:val="24"/>
                <w:lang w:val="uk-UA"/>
              </w:rPr>
              <w:t>фізичної</w:t>
            </w:r>
            <w:r w:rsidR="00185D3F">
              <w:rPr>
                <w:b w:val="0"/>
                <w:sz w:val="24"/>
                <w:szCs w:val="24"/>
                <w:lang w:val="uk-UA"/>
              </w:rPr>
              <w:t xml:space="preserve"> особи - підприємця</w:t>
            </w:r>
          </w:p>
        </w:tc>
        <w:tc>
          <w:tcPr>
            <w:tcW w:w="2313" w:type="dxa"/>
          </w:tcPr>
          <w:p w14:paraId="0175B3D3" w14:textId="2E9EC413" w:rsidR="00601E86" w:rsidRPr="00601E86" w:rsidRDefault="00601E86" w:rsidP="00601E8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lastRenderedPageBreak/>
              <w:t>Витрати відсутні</w:t>
            </w:r>
          </w:p>
        </w:tc>
        <w:tc>
          <w:tcPr>
            <w:tcW w:w="2559" w:type="dxa"/>
          </w:tcPr>
          <w:p w14:paraId="1B806186" w14:textId="1E667C6A" w:rsidR="00601E86" w:rsidRPr="00601E86" w:rsidRDefault="00601E86" w:rsidP="006F2B47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 xml:space="preserve">Є найбільш оптимальною </w:t>
            </w:r>
            <w:r w:rsidR="006F2B47">
              <w:rPr>
                <w:b w:val="0"/>
                <w:sz w:val="24"/>
                <w:szCs w:val="24"/>
                <w:lang w:val="uk-UA"/>
              </w:rPr>
              <w:t xml:space="preserve">серед </w:t>
            </w:r>
            <w:r w:rsidRPr="00601E86">
              <w:rPr>
                <w:b w:val="0"/>
                <w:sz w:val="24"/>
                <w:szCs w:val="24"/>
                <w:lang w:val="uk-UA"/>
              </w:rPr>
              <w:t xml:space="preserve"> запропонованих альтернатив, оскільки </w:t>
            </w:r>
            <w:r w:rsidR="006F2B47">
              <w:rPr>
                <w:b w:val="0"/>
                <w:sz w:val="24"/>
                <w:szCs w:val="24"/>
                <w:lang w:val="uk-UA"/>
              </w:rPr>
              <w:t xml:space="preserve">дає змогу досягнути поставлених цілей </w:t>
            </w:r>
            <w:r w:rsidR="006F2B47">
              <w:rPr>
                <w:b w:val="0"/>
                <w:sz w:val="24"/>
                <w:szCs w:val="24"/>
                <w:lang w:val="uk-UA"/>
              </w:rPr>
              <w:lastRenderedPageBreak/>
              <w:t>державного регулювання з мінімальними витратами</w:t>
            </w:r>
            <w:r w:rsidRPr="00601E86">
              <w:rPr>
                <w:b w:val="0"/>
                <w:sz w:val="24"/>
                <w:szCs w:val="24"/>
                <w:lang w:val="uk-UA"/>
              </w:rPr>
              <w:t xml:space="preserve"> </w:t>
            </w:r>
          </w:p>
        </w:tc>
      </w:tr>
      <w:tr w:rsidR="00601E86" w14:paraId="1070C0E9" w14:textId="77777777" w:rsidTr="001A1828">
        <w:tc>
          <w:tcPr>
            <w:tcW w:w="1972" w:type="dxa"/>
          </w:tcPr>
          <w:p w14:paraId="12D5440B" w14:textId="5D4AE610" w:rsidR="00601E86" w:rsidRPr="00601E86" w:rsidRDefault="00601E86" w:rsidP="00601E8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lastRenderedPageBreak/>
              <w:t>Альтернатива 2</w:t>
            </w:r>
          </w:p>
        </w:tc>
        <w:tc>
          <w:tcPr>
            <w:tcW w:w="2940" w:type="dxa"/>
          </w:tcPr>
          <w:p w14:paraId="1AA0141B" w14:textId="55D70FE6" w:rsidR="00601E86" w:rsidRPr="00601E86" w:rsidRDefault="00601E86" w:rsidP="00591A1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rFonts w:eastAsia="Calibri"/>
                <w:b w:val="0"/>
                <w:sz w:val="24"/>
                <w:szCs w:val="24"/>
                <w:lang w:val="uk-UA" w:eastAsia="en-US"/>
              </w:rPr>
              <w:t>У разі залишення чинного регулювання без змін вигоди відсутні, оскільки проблема залишається невирішеною</w:t>
            </w:r>
          </w:p>
        </w:tc>
        <w:tc>
          <w:tcPr>
            <w:tcW w:w="2313" w:type="dxa"/>
          </w:tcPr>
          <w:p w14:paraId="52CB2C60" w14:textId="45705C9C" w:rsidR="00601E86" w:rsidRPr="00601E86" w:rsidRDefault="006F2B47" w:rsidP="00601E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 майбутньому не буде зменшено часових витрат на виконання підприємствами митних формальностей</w:t>
            </w:r>
          </w:p>
          <w:p w14:paraId="0A301130" w14:textId="77777777" w:rsidR="00601E86" w:rsidRPr="00601E86" w:rsidRDefault="00601E86" w:rsidP="00601E8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559" w:type="dxa"/>
          </w:tcPr>
          <w:p w14:paraId="71101133" w14:textId="53B2EB41" w:rsidR="00601E86" w:rsidRPr="00601E86" w:rsidRDefault="00601E86" w:rsidP="0083369F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  <w:lang w:val="uk-UA"/>
              </w:rPr>
            </w:pPr>
            <w:r w:rsidRPr="00601E86">
              <w:rPr>
                <w:b w:val="0"/>
                <w:sz w:val="24"/>
                <w:szCs w:val="24"/>
                <w:lang w:val="uk-UA"/>
              </w:rPr>
              <w:t>Є найгіршою</w:t>
            </w:r>
            <w:r w:rsidR="0083369F">
              <w:rPr>
                <w:b w:val="0"/>
                <w:sz w:val="24"/>
                <w:szCs w:val="24"/>
                <w:lang w:val="uk-UA"/>
              </w:rPr>
              <w:t xml:space="preserve">, оскільки на відміну від альтернативи 1 не дає змоги досягнути поставлених </w:t>
            </w:r>
            <w:r w:rsidRPr="00601E86">
              <w:rPr>
                <w:b w:val="0"/>
                <w:sz w:val="24"/>
                <w:szCs w:val="24"/>
                <w:lang w:val="uk-UA"/>
              </w:rPr>
              <w:t>цілей державного регулювання</w:t>
            </w:r>
          </w:p>
        </w:tc>
      </w:tr>
    </w:tbl>
    <w:p w14:paraId="01699CB1" w14:textId="77777777" w:rsidR="009D2C9A" w:rsidRDefault="009D2C9A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125A1091" w14:textId="3B95EB1D" w:rsidR="009A4B38" w:rsidRPr="00886C0B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86C0B">
        <w:rPr>
          <w:sz w:val="28"/>
          <w:szCs w:val="28"/>
          <w:lang w:val="uk-UA"/>
        </w:rPr>
        <w:t>V. Механізми та заходи, які забезпечать розв’язання визначеної проблеми</w:t>
      </w:r>
    </w:p>
    <w:p w14:paraId="243A47AB" w14:textId="77777777" w:rsidR="00B144C9" w:rsidRPr="00886C0B" w:rsidRDefault="00B144C9" w:rsidP="009A4B38">
      <w:pPr>
        <w:pStyle w:val="3"/>
        <w:spacing w:before="0" w:beforeAutospacing="0" w:after="0" w:afterAutospacing="0"/>
        <w:jc w:val="center"/>
        <w:rPr>
          <w:sz w:val="16"/>
          <w:szCs w:val="16"/>
          <w:lang w:val="uk-UA"/>
        </w:rPr>
      </w:pPr>
    </w:p>
    <w:p w14:paraId="7038E9BC" w14:textId="677B0992" w:rsidR="00886C0B" w:rsidRDefault="00886C0B" w:rsidP="00601E86">
      <w:pPr>
        <w:pStyle w:val="3"/>
        <w:spacing w:before="0" w:beforeAutospacing="0" w:after="6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1. Механізм дії регуляторного </w:t>
      </w:r>
      <w:proofErr w:type="spellStart"/>
      <w:r>
        <w:rPr>
          <w:b w:val="0"/>
          <w:sz w:val="28"/>
          <w:szCs w:val="28"/>
          <w:lang w:val="uk-UA"/>
        </w:rPr>
        <w:t>акта</w:t>
      </w:r>
      <w:proofErr w:type="spellEnd"/>
    </w:p>
    <w:p w14:paraId="38C38AF5" w14:textId="3CF20C61" w:rsidR="00886C0B" w:rsidRPr="00D04307" w:rsidRDefault="00886C0B" w:rsidP="00601E86">
      <w:pPr>
        <w:pStyle w:val="3"/>
        <w:spacing w:before="0" w:beforeAutospacing="0" w:after="6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86C0B">
        <w:rPr>
          <w:b w:val="0"/>
          <w:sz w:val="28"/>
          <w:szCs w:val="28"/>
          <w:lang w:val="uk-UA"/>
        </w:rPr>
        <w:t>Основним м</w:t>
      </w:r>
      <w:r w:rsidR="00AE4D58" w:rsidRPr="00886C0B">
        <w:rPr>
          <w:b w:val="0"/>
          <w:sz w:val="28"/>
          <w:szCs w:val="28"/>
          <w:lang w:val="uk-UA"/>
        </w:rPr>
        <w:t xml:space="preserve">еханізмом, </w:t>
      </w:r>
      <w:r w:rsidR="00B144C9" w:rsidRPr="00886C0B">
        <w:rPr>
          <w:b w:val="0"/>
          <w:sz w:val="28"/>
          <w:szCs w:val="28"/>
          <w:lang w:val="uk-UA"/>
        </w:rPr>
        <w:t>що</w:t>
      </w:r>
      <w:r w:rsidR="002152EF">
        <w:rPr>
          <w:b w:val="0"/>
          <w:sz w:val="28"/>
          <w:szCs w:val="28"/>
          <w:lang w:val="uk-UA"/>
        </w:rPr>
        <w:t xml:space="preserve"> </w:t>
      </w:r>
      <w:r w:rsidR="00AE4D58" w:rsidRPr="00886C0B">
        <w:rPr>
          <w:b w:val="0"/>
          <w:sz w:val="28"/>
          <w:szCs w:val="28"/>
          <w:lang w:val="uk-UA"/>
        </w:rPr>
        <w:t>забезпечить р</w:t>
      </w:r>
      <w:r w:rsidR="009A4B38" w:rsidRPr="00886C0B">
        <w:rPr>
          <w:b w:val="0"/>
          <w:sz w:val="28"/>
          <w:szCs w:val="28"/>
          <w:lang w:val="uk-UA"/>
        </w:rPr>
        <w:t xml:space="preserve">озв’язання </w:t>
      </w:r>
      <w:r w:rsidR="00AE4D58" w:rsidRPr="00886C0B">
        <w:rPr>
          <w:b w:val="0"/>
          <w:sz w:val="28"/>
          <w:szCs w:val="28"/>
          <w:lang w:val="uk-UA"/>
        </w:rPr>
        <w:t xml:space="preserve">визначеної </w:t>
      </w:r>
      <w:r w:rsidR="009A4B38" w:rsidRPr="00886C0B">
        <w:rPr>
          <w:b w:val="0"/>
          <w:sz w:val="28"/>
          <w:szCs w:val="28"/>
          <w:lang w:val="uk-UA"/>
        </w:rPr>
        <w:t>проблеми</w:t>
      </w:r>
      <w:r w:rsidR="00AE4D58" w:rsidRPr="00886C0B">
        <w:rPr>
          <w:b w:val="0"/>
          <w:sz w:val="28"/>
          <w:szCs w:val="28"/>
          <w:lang w:val="uk-UA"/>
        </w:rPr>
        <w:t>, є</w:t>
      </w:r>
      <w:r w:rsidR="009A4B38" w:rsidRPr="00886C0B">
        <w:rPr>
          <w:b w:val="0"/>
          <w:sz w:val="28"/>
          <w:szCs w:val="28"/>
          <w:lang w:val="uk-UA"/>
        </w:rPr>
        <w:t xml:space="preserve">  прийняття </w:t>
      </w:r>
      <w:r w:rsidRPr="00886C0B">
        <w:rPr>
          <w:b w:val="0"/>
          <w:sz w:val="28"/>
          <w:szCs w:val="28"/>
          <w:lang w:val="uk-UA"/>
        </w:rPr>
        <w:t xml:space="preserve">проекту наказу Міністерства фінансів України </w:t>
      </w:r>
      <w:r w:rsidR="00591A18">
        <w:rPr>
          <w:b w:val="0"/>
          <w:sz w:val="28"/>
          <w:szCs w:val="28"/>
          <w:lang w:val="uk-UA"/>
        </w:rPr>
        <w:t>«</w:t>
      </w:r>
      <w:r w:rsidRPr="00886C0B">
        <w:rPr>
          <w:b w:val="0"/>
          <w:sz w:val="28"/>
          <w:szCs w:val="28"/>
          <w:lang w:val="uk-UA"/>
        </w:rPr>
        <w:t xml:space="preserve">Про внесення змін </w:t>
      </w:r>
      <w:r w:rsidR="00D04307" w:rsidRPr="00D04307">
        <w:rPr>
          <w:b w:val="0"/>
          <w:sz w:val="28"/>
          <w:szCs w:val="28"/>
          <w:lang w:val="uk-UA"/>
        </w:rPr>
        <w:t>до наказу Міністерства фінансів України від 09 жовтня 2012 р</w:t>
      </w:r>
      <w:r w:rsidR="00B507D3">
        <w:rPr>
          <w:b w:val="0"/>
          <w:sz w:val="28"/>
          <w:szCs w:val="28"/>
          <w:lang w:val="uk-UA"/>
        </w:rPr>
        <w:t>оку</w:t>
      </w:r>
      <w:r w:rsidR="00591A18">
        <w:rPr>
          <w:b w:val="0"/>
          <w:sz w:val="28"/>
          <w:szCs w:val="28"/>
          <w:lang w:val="uk-UA"/>
        </w:rPr>
        <w:t xml:space="preserve"> № 1064»</w:t>
      </w:r>
      <w:r w:rsidR="009B2E48">
        <w:rPr>
          <w:b w:val="0"/>
          <w:sz w:val="28"/>
          <w:szCs w:val="28"/>
          <w:lang w:val="uk-UA"/>
        </w:rPr>
        <w:t>.</w:t>
      </w:r>
    </w:p>
    <w:p w14:paraId="4D38F98A" w14:textId="644DA4FB" w:rsidR="00FE7B3D" w:rsidRPr="00996449" w:rsidRDefault="00886C0B" w:rsidP="00FE7B3D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886C0B">
        <w:rPr>
          <w:b w:val="0"/>
          <w:sz w:val="28"/>
          <w:szCs w:val="28"/>
          <w:lang w:val="uk-UA"/>
        </w:rPr>
        <w:t xml:space="preserve">Реалізація положень наказу сприятиме </w:t>
      </w:r>
      <w:r w:rsidR="002D7274">
        <w:rPr>
          <w:b w:val="0"/>
          <w:sz w:val="28"/>
          <w:szCs w:val="28"/>
          <w:lang w:val="uk-UA"/>
        </w:rPr>
        <w:t>практичній</w:t>
      </w:r>
      <w:r w:rsidRPr="00886C0B">
        <w:rPr>
          <w:b w:val="0"/>
          <w:sz w:val="28"/>
          <w:szCs w:val="28"/>
          <w:lang w:val="uk-UA"/>
        </w:rPr>
        <w:t xml:space="preserve"> </w:t>
      </w:r>
      <w:r w:rsidR="007A39DF">
        <w:rPr>
          <w:b w:val="0"/>
          <w:sz w:val="28"/>
          <w:szCs w:val="28"/>
          <w:lang w:val="uk-UA"/>
        </w:rPr>
        <w:t>взаємо</w:t>
      </w:r>
      <w:r w:rsidR="00996449">
        <w:rPr>
          <w:b w:val="0"/>
          <w:sz w:val="28"/>
          <w:szCs w:val="28"/>
          <w:lang w:val="uk-UA"/>
        </w:rPr>
        <w:t>дії митних</w:t>
      </w:r>
      <w:r w:rsidR="007A39DF">
        <w:rPr>
          <w:b w:val="0"/>
          <w:sz w:val="28"/>
          <w:szCs w:val="28"/>
          <w:lang w:val="uk-UA"/>
        </w:rPr>
        <w:t xml:space="preserve"> органів з </w:t>
      </w:r>
      <w:proofErr w:type="spellStart"/>
      <w:r w:rsidR="007A39DF">
        <w:rPr>
          <w:b w:val="0"/>
          <w:sz w:val="28"/>
          <w:szCs w:val="28"/>
          <w:lang w:val="uk-UA"/>
        </w:rPr>
        <w:t>суб</w:t>
      </w:r>
      <w:proofErr w:type="spellEnd"/>
      <w:r w:rsidR="007A39DF" w:rsidRPr="007A39DF">
        <w:rPr>
          <w:b w:val="0"/>
          <w:sz w:val="28"/>
          <w:szCs w:val="28"/>
        </w:rPr>
        <w:t>’</w:t>
      </w:r>
      <w:proofErr w:type="spellStart"/>
      <w:r w:rsidR="00FE7B3D">
        <w:rPr>
          <w:b w:val="0"/>
          <w:sz w:val="28"/>
          <w:szCs w:val="28"/>
          <w:lang w:val="uk-UA"/>
        </w:rPr>
        <w:t>єктами</w:t>
      </w:r>
      <w:proofErr w:type="spellEnd"/>
      <w:r w:rsidR="00FE7B3D">
        <w:rPr>
          <w:b w:val="0"/>
          <w:sz w:val="28"/>
          <w:szCs w:val="28"/>
          <w:lang w:val="uk-UA"/>
        </w:rPr>
        <w:t xml:space="preserve"> господарюван</w:t>
      </w:r>
      <w:r w:rsidR="00996449">
        <w:rPr>
          <w:b w:val="0"/>
          <w:sz w:val="28"/>
          <w:szCs w:val="28"/>
          <w:lang w:val="uk-UA"/>
        </w:rPr>
        <w:t>н</w:t>
      </w:r>
      <w:r w:rsidR="00FE7B3D">
        <w:rPr>
          <w:b w:val="0"/>
          <w:sz w:val="28"/>
          <w:szCs w:val="28"/>
          <w:lang w:val="uk-UA"/>
        </w:rPr>
        <w:t>я</w:t>
      </w:r>
      <w:r w:rsidR="00996449">
        <w:rPr>
          <w:b w:val="0"/>
          <w:sz w:val="28"/>
          <w:szCs w:val="28"/>
          <w:lang w:val="uk-UA"/>
        </w:rPr>
        <w:t>, що с</w:t>
      </w:r>
      <w:r w:rsidR="00FE7B3D">
        <w:rPr>
          <w:b w:val="0"/>
          <w:sz w:val="28"/>
          <w:szCs w:val="28"/>
          <w:lang w:val="uk-UA"/>
        </w:rPr>
        <w:t xml:space="preserve">творить можливість </w:t>
      </w:r>
      <w:r w:rsidR="002D7274">
        <w:rPr>
          <w:b w:val="0"/>
          <w:sz w:val="28"/>
          <w:szCs w:val="28"/>
          <w:lang w:val="uk-UA"/>
        </w:rPr>
        <w:t xml:space="preserve">отримання спрощеного механізму при взаємодії з митними органами під час отримання </w:t>
      </w:r>
      <w:r w:rsidR="00FE7B3D">
        <w:rPr>
          <w:b w:val="0"/>
          <w:sz w:val="28"/>
          <w:szCs w:val="28"/>
          <w:lang w:val="uk-UA"/>
        </w:rPr>
        <w:t>Свідоцтва про допущення дорожнього транспортного засобу до перевезення товарів під митними печатками та пломбами</w:t>
      </w:r>
      <w:r w:rsidR="002D7274">
        <w:rPr>
          <w:b w:val="0"/>
          <w:sz w:val="28"/>
          <w:szCs w:val="28"/>
          <w:lang w:val="uk-UA"/>
        </w:rPr>
        <w:t>.</w:t>
      </w:r>
    </w:p>
    <w:p w14:paraId="33E67C50" w14:textId="0C127E88" w:rsidR="00886C0B" w:rsidRDefault="00886C0B" w:rsidP="00886C0B">
      <w:pPr>
        <w:pStyle w:val="3"/>
        <w:spacing w:before="0" w:beforeAutospacing="0" w:after="0" w:afterAutospacing="0"/>
        <w:ind w:left="567"/>
        <w:jc w:val="both"/>
        <w:rPr>
          <w:b w:val="0"/>
          <w:sz w:val="28"/>
          <w:szCs w:val="28"/>
          <w:lang w:val="uk-UA"/>
        </w:rPr>
      </w:pPr>
    </w:p>
    <w:p w14:paraId="78918173" w14:textId="77777777" w:rsidR="00FC4206" w:rsidRDefault="00AC7A3D" w:rsidP="00FC4206">
      <w:pPr>
        <w:pStyle w:val="3"/>
        <w:spacing w:before="0" w:beforeAutospacing="0" w:after="12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AC7A3D">
        <w:rPr>
          <w:b w:val="0"/>
          <w:sz w:val="28"/>
          <w:szCs w:val="28"/>
          <w:lang w:val="uk-UA"/>
        </w:rPr>
        <w:t>2.</w:t>
      </w:r>
      <w:r>
        <w:rPr>
          <w:b w:val="0"/>
          <w:sz w:val="28"/>
          <w:szCs w:val="28"/>
          <w:lang w:val="uk-UA"/>
        </w:rPr>
        <w:t xml:space="preserve"> Організаційні заходи впровадження регуляторного заходу в дію</w:t>
      </w:r>
      <w:r w:rsidR="00FC4206">
        <w:rPr>
          <w:b w:val="0"/>
          <w:sz w:val="28"/>
          <w:szCs w:val="28"/>
          <w:lang w:val="uk-UA"/>
        </w:rPr>
        <w:t xml:space="preserve">                   </w:t>
      </w:r>
    </w:p>
    <w:p w14:paraId="59457319" w14:textId="68457A9A" w:rsidR="00FC4206" w:rsidRDefault="00AC7A3D" w:rsidP="00FC4206">
      <w:pPr>
        <w:pStyle w:val="3"/>
        <w:spacing w:before="0" w:beforeAutospacing="0" w:after="12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Для впровадження цього проекту наказу необхідно забезпечити інформування </w:t>
      </w:r>
      <w:r w:rsidR="00FC4206">
        <w:rPr>
          <w:b w:val="0"/>
          <w:sz w:val="28"/>
          <w:szCs w:val="28"/>
          <w:lang w:val="uk-UA"/>
        </w:rPr>
        <w:t xml:space="preserve">  </w:t>
      </w:r>
      <w:r>
        <w:rPr>
          <w:b w:val="0"/>
          <w:sz w:val="28"/>
          <w:szCs w:val="28"/>
          <w:lang w:val="uk-UA"/>
        </w:rPr>
        <w:t>громадськості</w:t>
      </w:r>
      <w:r w:rsidR="00FC4206">
        <w:rPr>
          <w:b w:val="0"/>
          <w:sz w:val="28"/>
          <w:szCs w:val="28"/>
          <w:lang w:val="uk-UA"/>
        </w:rPr>
        <w:t xml:space="preserve">  </w:t>
      </w:r>
      <w:r>
        <w:rPr>
          <w:b w:val="0"/>
          <w:sz w:val="28"/>
          <w:szCs w:val="28"/>
          <w:lang w:val="uk-UA"/>
        </w:rPr>
        <w:t xml:space="preserve"> про </w:t>
      </w:r>
      <w:r w:rsidR="00FC420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вимоги</w:t>
      </w:r>
      <w:r w:rsidR="00FC420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регуляторного</w:t>
      </w:r>
      <w:r w:rsidR="00FC4206">
        <w:rPr>
          <w:b w:val="0"/>
          <w:sz w:val="28"/>
          <w:szCs w:val="28"/>
          <w:lang w:val="uk-UA"/>
        </w:rPr>
        <w:t xml:space="preserve">  </w:t>
      </w:r>
      <w:r>
        <w:rPr>
          <w:b w:val="0"/>
          <w:sz w:val="28"/>
          <w:szCs w:val="28"/>
          <w:lang w:val="uk-UA"/>
        </w:rPr>
        <w:t xml:space="preserve"> </w:t>
      </w:r>
      <w:proofErr w:type="spellStart"/>
      <w:r>
        <w:rPr>
          <w:b w:val="0"/>
          <w:sz w:val="28"/>
          <w:szCs w:val="28"/>
          <w:lang w:val="uk-UA"/>
        </w:rPr>
        <w:t>акта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="00FC420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шляхом</w:t>
      </w:r>
      <w:r w:rsidR="00FC420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 w:rsidR="00FC4206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його</w:t>
      </w:r>
    </w:p>
    <w:p w14:paraId="1A520E82" w14:textId="77777777" w:rsidR="00644664" w:rsidRDefault="00AC7A3D" w:rsidP="00644664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оприлюднення в засобах масової інформації та на офіційному </w:t>
      </w:r>
      <w:proofErr w:type="spellStart"/>
      <w:r>
        <w:rPr>
          <w:b w:val="0"/>
          <w:sz w:val="28"/>
          <w:szCs w:val="28"/>
          <w:lang w:val="uk-UA"/>
        </w:rPr>
        <w:t>вебсайті</w:t>
      </w:r>
      <w:proofErr w:type="spellEnd"/>
      <w:r>
        <w:rPr>
          <w:b w:val="0"/>
          <w:sz w:val="28"/>
          <w:szCs w:val="28"/>
          <w:lang w:val="uk-UA"/>
        </w:rPr>
        <w:t xml:space="preserve"> Міністерства фінансів України. </w:t>
      </w:r>
    </w:p>
    <w:p w14:paraId="7804151D" w14:textId="5AF8EABC" w:rsidR="001A1828" w:rsidRDefault="001A1828" w:rsidP="00644664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Доопрацювання журналу реєстрації </w:t>
      </w:r>
      <w:r w:rsidR="009504F0">
        <w:rPr>
          <w:b w:val="0"/>
          <w:sz w:val="28"/>
          <w:szCs w:val="28"/>
          <w:lang w:val="uk-UA"/>
        </w:rPr>
        <w:t>видачі с</w:t>
      </w:r>
      <w:r>
        <w:rPr>
          <w:b w:val="0"/>
          <w:sz w:val="28"/>
          <w:szCs w:val="28"/>
          <w:lang w:val="uk-UA"/>
        </w:rPr>
        <w:t>відоцтв</w:t>
      </w:r>
      <w:r w:rsidR="009504F0">
        <w:rPr>
          <w:b w:val="0"/>
          <w:sz w:val="28"/>
          <w:szCs w:val="28"/>
          <w:lang w:val="uk-UA"/>
        </w:rPr>
        <w:t>а</w:t>
      </w:r>
      <w:r>
        <w:rPr>
          <w:b w:val="0"/>
          <w:sz w:val="28"/>
          <w:szCs w:val="28"/>
          <w:lang w:val="uk-UA"/>
        </w:rPr>
        <w:t xml:space="preserve"> про допущення </w:t>
      </w:r>
      <w:r w:rsidR="009504F0">
        <w:rPr>
          <w:b w:val="0"/>
          <w:sz w:val="28"/>
          <w:szCs w:val="28"/>
          <w:lang w:val="uk-UA"/>
        </w:rPr>
        <w:t xml:space="preserve">дорожнього транспортного засобу до перевезення товарів під митними печатками та пломбами </w:t>
      </w:r>
      <w:r>
        <w:rPr>
          <w:b w:val="0"/>
          <w:sz w:val="28"/>
          <w:szCs w:val="28"/>
          <w:lang w:val="uk-UA"/>
        </w:rPr>
        <w:t>в інформаційних ресурсах Держмитслужби</w:t>
      </w:r>
      <w:r w:rsidR="00E32B0C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</w:t>
      </w:r>
    </w:p>
    <w:p w14:paraId="3646CAD5" w14:textId="36AFE7DF" w:rsidR="00AC7A3D" w:rsidRDefault="00AC7A3D" w:rsidP="00AC7A3D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Ризику впливу зовнішніх факторів на дію регуляторного </w:t>
      </w:r>
      <w:proofErr w:type="spellStart"/>
      <w:r>
        <w:rPr>
          <w:b w:val="0"/>
          <w:sz w:val="28"/>
          <w:szCs w:val="28"/>
          <w:lang w:val="uk-UA"/>
        </w:rPr>
        <w:t>акта</w:t>
      </w:r>
      <w:proofErr w:type="spellEnd"/>
      <w:r>
        <w:rPr>
          <w:b w:val="0"/>
          <w:sz w:val="28"/>
          <w:szCs w:val="28"/>
          <w:lang w:val="uk-UA"/>
        </w:rPr>
        <w:t xml:space="preserve"> немає.</w:t>
      </w:r>
    </w:p>
    <w:p w14:paraId="155F19C0" w14:textId="3CF1144C" w:rsidR="00AC7A3D" w:rsidRPr="00601E86" w:rsidRDefault="00AC7A3D" w:rsidP="00AC7A3D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Можлива </w:t>
      </w:r>
      <w:r w:rsidRPr="00601E86">
        <w:rPr>
          <w:b w:val="0"/>
          <w:sz w:val="28"/>
          <w:szCs w:val="28"/>
          <w:lang w:val="uk-UA"/>
        </w:rPr>
        <w:t xml:space="preserve">шкода у разі недосягнення мети регуляторного </w:t>
      </w:r>
      <w:proofErr w:type="spellStart"/>
      <w:r w:rsidRPr="00601E86">
        <w:rPr>
          <w:b w:val="0"/>
          <w:sz w:val="28"/>
          <w:szCs w:val="28"/>
          <w:lang w:val="uk-UA"/>
        </w:rPr>
        <w:t>акта</w:t>
      </w:r>
      <w:proofErr w:type="spellEnd"/>
      <w:r w:rsidRPr="00601E86">
        <w:rPr>
          <w:b w:val="0"/>
          <w:sz w:val="28"/>
          <w:szCs w:val="28"/>
          <w:lang w:val="uk-UA"/>
        </w:rPr>
        <w:t xml:space="preserve"> не прогнозується.</w:t>
      </w:r>
    </w:p>
    <w:p w14:paraId="3D29543B" w14:textId="4BB4D519" w:rsidR="009A4B38" w:rsidRDefault="009A4B38" w:rsidP="003646F8">
      <w:pPr>
        <w:ind w:firstLine="567"/>
        <w:jc w:val="both"/>
        <w:rPr>
          <w:sz w:val="28"/>
          <w:szCs w:val="28"/>
          <w:lang w:val="uk-UA"/>
        </w:rPr>
      </w:pPr>
    </w:p>
    <w:p w14:paraId="75911DBE" w14:textId="3A6A43F4" w:rsidR="009A4B38" w:rsidRPr="00601E86" w:rsidRDefault="00880043" w:rsidP="003646F8">
      <w:pPr>
        <w:ind w:firstLine="567"/>
        <w:jc w:val="center"/>
        <w:rPr>
          <w:b/>
          <w:sz w:val="28"/>
          <w:szCs w:val="28"/>
          <w:lang w:val="uk-UA"/>
        </w:rPr>
      </w:pPr>
      <w:r w:rsidRPr="00601E86">
        <w:rPr>
          <w:b/>
          <w:sz w:val="28"/>
          <w:szCs w:val="28"/>
          <w:lang w:val="en-US"/>
        </w:rPr>
        <w:t>VI</w:t>
      </w:r>
      <w:r w:rsidRPr="00601E86">
        <w:rPr>
          <w:b/>
          <w:sz w:val="28"/>
          <w:szCs w:val="28"/>
          <w:lang w:val="uk-UA"/>
        </w:rPr>
        <w:t xml:space="preserve">. Оцінка виконання вимог регуляторного </w:t>
      </w:r>
      <w:proofErr w:type="spellStart"/>
      <w:r w:rsidRPr="00601E86">
        <w:rPr>
          <w:b/>
          <w:sz w:val="28"/>
          <w:szCs w:val="28"/>
          <w:lang w:val="uk-UA"/>
        </w:rPr>
        <w:t>акта</w:t>
      </w:r>
      <w:proofErr w:type="spellEnd"/>
      <w:r w:rsidRPr="00601E86">
        <w:rPr>
          <w:b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</w:t>
      </w:r>
      <w:r w:rsidR="009F0493">
        <w:rPr>
          <w:b/>
          <w:sz w:val="28"/>
          <w:szCs w:val="28"/>
          <w:lang w:val="uk-UA"/>
        </w:rPr>
        <w:t>в</w:t>
      </w:r>
      <w:r w:rsidRPr="00601E86">
        <w:rPr>
          <w:b/>
          <w:sz w:val="28"/>
          <w:szCs w:val="28"/>
          <w:lang w:val="uk-UA"/>
        </w:rPr>
        <w:t xml:space="preserve">проваджувати або виконувати ці вимоги </w:t>
      </w:r>
    </w:p>
    <w:p w14:paraId="5B2EF8B5" w14:textId="77777777" w:rsidR="00B144C9" w:rsidRPr="00601E86" w:rsidRDefault="00B144C9" w:rsidP="003646F8">
      <w:pPr>
        <w:ind w:firstLine="567"/>
        <w:jc w:val="center"/>
        <w:rPr>
          <w:b/>
          <w:sz w:val="28"/>
          <w:szCs w:val="28"/>
          <w:lang w:val="uk-UA"/>
        </w:rPr>
      </w:pPr>
    </w:p>
    <w:p w14:paraId="34082D2B" w14:textId="6A93C106" w:rsidR="009A4B38" w:rsidRDefault="009A4B38" w:rsidP="003646F8">
      <w:pPr>
        <w:ind w:firstLine="567"/>
        <w:jc w:val="both"/>
        <w:rPr>
          <w:sz w:val="28"/>
          <w:szCs w:val="28"/>
          <w:lang w:val="uk-UA"/>
        </w:rPr>
      </w:pPr>
      <w:r w:rsidRPr="00601E86">
        <w:rPr>
          <w:sz w:val="28"/>
          <w:szCs w:val="28"/>
          <w:lang w:val="uk-UA"/>
        </w:rPr>
        <w:t xml:space="preserve">Для впровадження та виконання вимог регуляторного </w:t>
      </w:r>
      <w:proofErr w:type="spellStart"/>
      <w:r w:rsidRPr="00601E86">
        <w:rPr>
          <w:sz w:val="28"/>
          <w:szCs w:val="28"/>
          <w:lang w:val="uk-UA"/>
        </w:rPr>
        <w:t>акта</w:t>
      </w:r>
      <w:proofErr w:type="spellEnd"/>
      <w:r w:rsidRPr="00601E86">
        <w:rPr>
          <w:sz w:val="28"/>
          <w:szCs w:val="28"/>
          <w:lang w:val="uk-UA"/>
        </w:rPr>
        <w:t xml:space="preserve"> органи виконавчої влади</w:t>
      </w:r>
      <w:r w:rsidR="00B25A89" w:rsidRPr="00601E86">
        <w:rPr>
          <w:sz w:val="28"/>
          <w:szCs w:val="28"/>
          <w:lang w:val="uk-UA"/>
        </w:rPr>
        <w:t xml:space="preserve"> та </w:t>
      </w:r>
      <w:r w:rsidRPr="00601E86">
        <w:rPr>
          <w:sz w:val="28"/>
          <w:szCs w:val="28"/>
          <w:lang w:val="uk-UA"/>
        </w:rPr>
        <w:t>суб’єкти господарювання не нестимуть додаткових витрат.</w:t>
      </w:r>
    </w:p>
    <w:p w14:paraId="66AF97C3" w14:textId="3C48F0F3" w:rsidR="00E32B0C" w:rsidRPr="00897EAE" w:rsidRDefault="00897EAE" w:rsidP="003646F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Виконання вимог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забезпечується в межах кошторисних витрат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897EA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єктів</w:t>
      </w:r>
      <w:proofErr w:type="spellEnd"/>
      <w:r>
        <w:rPr>
          <w:sz w:val="28"/>
          <w:szCs w:val="28"/>
          <w:lang w:val="uk-UA"/>
        </w:rPr>
        <w:t xml:space="preserve"> господарювання.</w:t>
      </w:r>
    </w:p>
    <w:p w14:paraId="7C67D7F0" w14:textId="77777777" w:rsidR="00EC76A9" w:rsidRPr="00601E86" w:rsidRDefault="00EC76A9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42C7CCFB" w14:textId="77777777" w:rsidR="009A4B38" w:rsidRPr="00601E86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601E86">
        <w:rPr>
          <w:sz w:val="28"/>
          <w:szCs w:val="28"/>
          <w:lang w:val="uk-UA"/>
        </w:rPr>
        <w:t xml:space="preserve">VII. Обґрунтування запропонованого строку дії регуляторного </w:t>
      </w:r>
      <w:proofErr w:type="spellStart"/>
      <w:r w:rsidRPr="00601E86">
        <w:rPr>
          <w:sz w:val="28"/>
          <w:szCs w:val="28"/>
          <w:lang w:val="uk-UA"/>
        </w:rPr>
        <w:t>акта</w:t>
      </w:r>
      <w:proofErr w:type="spellEnd"/>
    </w:p>
    <w:p w14:paraId="060F9E31" w14:textId="77777777" w:rsidR="00B144C9" w:rsidRPr="00601E86" w:rsidRDefault="00B144C9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20346B96" w14:textId="77777777" w:rsidR="00BB2D47" w:rsidRPr="00601E86" w:rsidRDefault="00880043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1E86">
        <w:rPr>
          <w:sz w:val="28"/>
          <w:szCs w:val="28"/>
          <w:lang w:val="uk-UA"/>
        </w:rPr>
        <w:t>Строк</w:t>
      </w:r>
      <w:r w:rsidR="009A4B38" w:rsidRPr="00601E86">
        <w:rPr>
          <w:sz w:val="28"/>
          <w:szCs w:val="28"/>
          <w:lang w:val="uk-UA"/>
        </w:rPr>
        <w:t xml:space="preserve"> дії </w:t>
      </w:r>
      <w:r w:rsidR="00A75F41" w:rsidRPr="00601E86">
        <w:rPr>
          <w:sz w:val="28"/>
          <w:szCs w:val="28"/>
          <w:lang w:val="uk-UA"/>
        </w:rPr>
        <w:t xml:space="preserve">регуляторного </w:t>
      </w:r>
      <w:proofErr w:type="spellStart"/>
      <w:r w:rsidR="00A75F41" w:rsidRPr="00601E86">
        <w:rPr>
          <w:sz w:val="28"/>
          <w:szCs w:val="28"/>
          <w:lang w:val="uk-UA"/>
        </w:rPr>
        <w:t>акта</w:t>
      </w:r>
      <w:proofErr w:type="spellEnd"/>
      <w:r w:rsidR="00A75F41" w:rsidRPr="00601E86">
        <w:rPr>
          <w:sz w:val="28"/>
          <w:szCs w:val="28"/>
          <w:lang w:val="uk-UA"/>
        </w:rPr>
        <w:t xml:space="preserve"> </w:t>
      </w:r>
      <w:r w:rsidR="009A4B38" w:rsidRPr="00601E86">
        <w:rPr>
          <w:sz w:val="28"/>
          <w:szCs w:val="28"/>
          <w:lang w:val="uk-UA"/>
        </w:rPr>
        <w:t>є необмеженим, оскільки</w:t>
      </w:r>
      <w:r w:rsidRPr="00601E86">
        <w:rPr>
          <w:sz w:val="28"/>
          <w:szCs w:val="28"/>
          <w:lang w:val="uk-UA"/>
        </w:rPr>
        <w:t xml:space="preserve"> акти законодавства</w:t>
      </w:r>
      <w:r w:rsidR="009A4B38" w:rsidRPr="00601E86">
        <w:rPr>
          <w:sz w:val="28"/>
          <w:szCs w:val="28"/>
          <w:lang w:val="uk-UA"/>
        </w:rPr>
        <w:t xml:space="preserve">, на виконання яких </w:t>
      </w:r>
      <w:r w:rsidR="00B73D5F" w:rsidRPr="00601E86">
        <w:rPr>
          <w:sz w:val="28"/>
          <w:szCs w:val="28"/>
          <w:lang w:val="uk-UA"/>
        </w:rPr>
        <w:t xml:space="preserve">розроблено </w:t>
      </w:r>
      <w:r w:rsidR="00A75F41" w:rsidRPr="00601E86">
        <w:rPr>
          <w:sz w:val="28"/>
          <w:szCs w:val="28"/>
          <w:lang w:val="uk-UA"/>
        </w:rPr>
        <w:t>акт</w:t>
      </w:r>
      <w:r w:rsidR="009A4B38" w:rsidRPr="00601E86">
        <w:rPr>
          <w:sz w:val="28"/>
          <w:szCs w:val="28"/>
          <w:lang w:val="uk-UA"/>
        </w:rPr>
        <w:t xml:space="preserve">, мають необмежений </w:t>
      </w:r>
      <w:r w:rsidR="009A163F" w:rsidRPr="00601E86">
        <w:rPr>
          <w:sz w:val="28"/>
          <w:szCs w:val="28"/>
          <w:lang w:val="uk-UA"/>
        </w:rPr>
        <w:t>строк</w:t>
      </w:r>
      <w:r w:rsidR="009A4B38" w:rsidRPr="00601E86">
        <w:rPr>
          <w:sz w:val="28"/>
          <w:szCs w:val="28"/>
          <w:lang w:val="uk-UA"/>
        </w:rPr>
        <w:t xml:space="preserve"> дії.</w:t>
      </w:r>
      <w:r w:rsidR="004374B9" w:rsidRPr="00601E86">
        <w:rPr>
          <w:sz w:val="28"/>
          <w:szCs w:val="28"/>
          <w:lang w:val="uk-UA"/>
        </w:rPr>
        <w:t xml:space="preserve"> </w:t>
      </w:r>
    </w:p>
    <w:p w14:paraId="16100C4C" w14:textId="0EE9F059" w:rsidR="009A4B38" w:rsidRPr="00601E86" w:rsidRDefault="004374B9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01E86">
        <w:rPr>
          <w:sz w:val="28"/>
          <w:szCs w:val="28"/>
          <w:lang w:val="uk-UA"/>
        </w:rPr>
        <w:t xml:space="preserve">Зміна строку дії регуляторного </w:t>
      </w:r>
      <w:proofErr w:type="spellStart"/>
      <w:r w:rsidRPr="00601E86">
        <w:rPr>
          <w:sz w:val="28"/>
          <w:szCs w:val="28"/>
          <w:lang w:val="uk-UA"/>
        </w:rPr>
        <w:t>акт</w:t>
      </w:r>
      <w:r w:rsidR="00B144C9" w:rsidRPr="00601E86">
        <w:rPr>
          <w:sz w:val="28"/>
          <w:szCs w:val="28"/>
          <w:lang w:val="uk-UA"/>
        </w:rPr>
        <w:t>а</w:t>
      </w:r>
      <w:proofErr w:type="spellEnd"/>
      <w:r w:rsidRPr="00601E86">
        <w:rPr>
          <w:sz w:val="28"/>
          <w:szCs w:val="28"/>
          <w:lang w:val="uk-UA"/>
        </w:rPr>
        <w:t xml:space="preserve"> можлива в разі зміни положень актів законодавства, на виконання яких розроблен</w:t>
      </w:r>
      <w:r w:rsidR="00B144C9" w:rsidRPr="00601E86">
        <w:rPr>
          <w:sz w:val="28"/>
          <w:szCs w:val="28"/>
          <w:lang w:val="uk-UA"/>
        </w:rPr>
        <w:t>о</w:t>
      </w:r>
      <w:r w:rsidRPr="00601E86">
        <w:rPr>
          <w:sz w:val="28"/>
          <w:szCs w:val="28"/>
          <w:lang w:val="uk-UA"/>
        </w:rPr>
        <w:t xml:space="preserve"> регуляторний акт. </w:t>
      </w:r>
    </w:p>
    <w:p w14:paraId="1A2EAB67" w14:textId="77777777" w:rsidR="008A3A3D" w:rsidRDefault="008A3A3D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26901A94" w14:textId="77777777" w:rsidR="009A4B38" w:rsidRPr="00DF5ED9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DF5ED9">
        <w:rPr>
          <w:sz w:val="28"/>
          <w:szCs w:val="28"/>
          <w:lang w:val="uk-UA"/>
        </w:rPr>
        <w:t xml:space="preserve">VIII. Визначення показників результативності дії регуляторного </w:t>
      </w:r>
      <w:proofErr w:type="spellStart"/>
      <w:r w:rsidRPr="00DF5ED9">
        <w:rPr>
          <w:sz w:val="28"/>
          <w:szCs w:val="28"/>
          <w:lang w:val="uk-UA"/>
        </w:rPr>
        <w:t>акта</w:t>
      </w:r>
      <w:proofErr w:type="spellEnd"/>
    </w:p>
    <w:p w14:paraId="01586AA0" w14:textId="77777777" w:rsidR="00B144C9" w:rsidRPr="00DF5ED9" w:rsidRDefault="00B144C9" w:rsidP="003646F8">
      <w:pPr>
        <w:pStyle w:val="3"/>
        <w:spacing w:before="0" w:beforeAutospacing="0" w:after="0" w:afterAutospacing="0"/>
        <w:ind w:firstLine="567"/>
        <w:jc w:val="center"/>
        <w:rPr>
          <w:sz w:val="16"/>
          <w:szCs w:val="16"/>
        </w:rPr>
      </w:pPr>
    </w:p>
    <w:p w14:paraId="37FF2659" w14:textId="06D088DB" w:rsidR="009A4B38" w:rsidRDefault="00FC1FA2" w:rsidP="00BD06EF">
      <w:pPr>
        <w:pStyle w:val="3"/>
        <w:spacing w:before="0" w:beforeAutospacing="0" w:after="12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DF5ED9">
        <w:rPr>
          <w:b w:val="0"/>
          <w:sz w:val="28"/>
          <w:szCs w:val="28"/>
          <w:lang w:val="uk-UA"/>
        </w:rPr>
        <w:t xml:space="preserve">1. </w:t>
      </w:r>
      <w:r w:rsidR="009A4B38" w:rsidRPr="00DF5ED9">
        <w:rPr>
          <w:b w:val="0"/>
          <w:sz w:val="28"/>
          <w:szCs w:val="28"/>
          <w:lang w:val="uk-UA"/>
        </w:rPr>
        <w:t xml:space="preserve">Додаткових надходжень до держбюджету не передбачається, </w:t>
      </w:r>
      <w:r w:rsidRPr="00DF5ED9">
        <w:rPr>
          <w:b w:val="0"/>
          <w:sz w:val="28"/>
          <w:szCs w:val="28"/>
          <w:lang w:val="uk-UA"/>
        </w:rPr>
        <w:t>о</w:t>
      </w:r>
      <w:r w:rsidR="009A4B38" w:rsidRPr="00DF5ED9">
        <w:rPr>
          <w:b w:val="0"/>
          <w:sz w:val="28"/>
          <w:szCs w:val="28"/>
          <w:lang w:val="uk-UA"/>
        </w:rPr>
        <w:t>скільки регуляторн</w:t>
      </w:r>
      <w:r w:rsidR="00880043" w:rsidRPr="00DF5ED9">
        <w:rPr>
          <w:b w:val="0"/>
          <w:sz w:val="28"/>
          <w:szCs w:val="28"/>
          <w:lang w:val="uk-UA"/>
        </w:rPr>
        <w:t>им</w:t>
      </w:r>
      <w:r w:rsidR="009A4B38" w:rsidRPr="00DF5ED9">
        <w:rPr>
          <w:b w:val="0"/>
          <w:sz w:val="28"/>
          <w:szCs w:val="28"/>
          <w:lang w:val="uk-UA"/>
        </w:rPr>
        <w:t xml:space="preserve"> акт</w:t>
      </w:r>
      <w:r w:rsidR="00880043" w:rsidRPr="00DF5ED9">
        <w:rPr>
          <w:b w:val="0"/>
          <w:sz w:val="28"/>
          <w:szCs w:val="28"/>
          <w:lang w:val="uk-UA"/>
        </w:rPr>
        <w:t>ом</w:t>
      </w:r>
      <w:r w:rsidR="009A4B38" w:rsidRPr="00DF5ED9">
        <w:rPr>
          <w:b w:val="0"/>
          <w:sz w:val="28"/>
          <w:szCs w:val="28"/>
          <w:lang w:val="uk-UA"/>
        </w:rPr>
        <w:t xml:space="preserve"> не запроваджують</w:t>
      </w:r>
      <w:r w:rsidR="00880043" w:rsidRPr="00DF5ED9">
        <w:rPr>
          <w:b w:val="0"/>
          <w:sz w:val="28"/>
          <w:szCs w:val="28"/>
          <w:lang w:val="uk-UA"/>
        </w:rPr>
        <w:t>ся</w:t>
      </w:r>
      <w:r w:rsidR="009A4B38" w:rsidRPr="00DF5ED9">
        <w:rPr>
          <w:b w:val="0"/>
          <w:sz w:val="28"/>
          <w:szCs w:val="28"/>
          <w:lang w:val="uk-UA"/>
        </w:rPr>
        <w:t xml:space="preserve"> нов</w:t>
      </w:r>
      <w:r w:rsidR="00880043" w:rsidRPr="00DF5ED9">
        <w:rPr>
          <w:b w:val="0"/>
          <w:sz w:val="28"/>
          <w:szCs w:val="28"/>
          <w:lang w:val="uk-UA"/>
        </w:rPr>
        <w:t>і</w:t>
      </w:r>
      <w:r w:rsidR="009A4B38" w:rsidRPr="00DF5ED9">
        <w:rPr>
          <w:b w:val="0"/>
          <w:sz w:val="28"/>
          <w:szCs w:val="28"/>
          <w:lang w:val="uk-UA"/>
        </w:rPr>
        <w:t xml:space="preserve"> податк</w:t>
      </w:r>
      <w:r w:rsidR="00880043" w:rsidRPr="00DF5ED9">
        <w:rPr>
          <w:b w:val="0"/>
          <w:sz w:val="28"/>
          <w:szCs w:val="28"/>
          <w:lang w:val="uk-UA"/>
        </w:rPr>
        <w:t>и</w:t>
      </w:r>
      <w:r w:rsidR="009A4B38" w:rsidRPr="00DF5ED9">
        <w:rPr>
          <w:b w:val="0"/>
          <w:sz w:val="28"/>
          <w:szCs w:val="28"/>
          <w:lang w:val="uk-UA"/>
        </w:rPr>
        <w:t xml:space="preserve"> і збор</w:t>
      </w:r>
      <w:r w:rsidR="00880043" w:rsidRPr="00DF5ED9">
        <w:rPr>
          <w:b w:val="0"/>
          <w:sz w:val="28"/>
          <w:szCs w:val="28"/>
          <w:lang w:val="uk-UA"/>
        </w:rPr>
        <w:t>и</w:t>
      </w:r>
      <w:r w:rsidR="009A4B38" w:rsidRPr="00DF5ED9">
        <w:rPr>
          <w:b w:val="0"/>
          <w:sz w:val="28"/>
          <w:szCs w:val="28"/>
          <w:lang w:val="uk-UA"/>
        </w:rPr>
        <w:t xml:space="preserve"> (обов’язков</w:t>
      </w:r>
      <w:r w:rsidR="00880043" w:rsidRPr="00DF5ED9">
        <w:rPr>
          <w:b w:val="0"/>
          <w:sz w:val="28"/>
          <w:szCs w:val="28"/>
          <w:lang w:val="uk-UA"/>
        </w:rPr>
        <w:t>і</w:t>
      </w:r>
      <w:r w:rsidR="009A4B38" w:rsidRPr="00DF5ED9">
        <w:rPr>
          <w:b w:val="0"/>
          <w:sz w:val="28"/>
          <w:szCs w:val="28"/>
          <w:lang w:val="uk-UA"/>
        </w:rPr>
        <w:t xml:space="preserve"> платеж</w:t>
      </w:r>
      <w:r w:rsidR="00880043" w:rsidRPr="00DF5ED9">
        <w:rPr>
          <w:b w:val="0"/>
          <w:sz w:val="28"/>
          <w:szCs w:val="28"/>
          <w:lang w:val="uk-UA"/>
        </w:rPr>
        <w:t>і</w:t>
      </w:r>
      <w:r w:rsidR="009A4B38" w:rsidRPr="00DF5ED9">
        <w:rPr>
          <w:b w:val="0"/>
          <w:sz w:val="28"/>
          <w:szCs w:val="28"/>
          <w:lang w:val="uk-UA"/>
        </w:rPr>
        <w:t>).</w:t>
      </w:r>
      <w:r w:rsidR="00DF5ED9">
        <w:rPr>
          <w:b w:val="0"/>
          <w:sz w:val="28"/>
          <w:szCs w:val="28"/>
          <w:lang w:val="uk-UA"/>
        </w:rPr>
        <w:t xml:space="preserve"> </w:t>
      </w:r>
    </w:p>
    <w:p w14:paraId="526EF897" w14:textId="50F572E4" w:rsidR="009A4B38" w:rsidRPr="00601E86" w:rsidRDefault="00FC1FA2" w:rsidP="00601E86">
      <w:pPr>
        <w:pStyle w:val="3"/>
        <w:spacing w:before="0" w:beforeAutospacing="0" w:after="12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DF5ED9">
        <w:rPr>
          <w:b w:val="0"/>
          <w:sz w:val="28"/>
          <w:szCs w:val="28"/>
          <w:lang w:val="uk-UA"/>
        </w:rPr>
        <w:t xml:space="preserve">2. </w:t>
      </w:r>
      <w:r w:rsidR="00954D8D">
        <w:rPr>
          <w:b w:val="0"/>
          <w:sz w:val="28"/>
          <w:szCs w:val="28"/>
          <w:lang w:val="uk-UA"/>
        </w:rPr>
        <w:t>Під д</w:t>
      </w:r>
      <w:r w:rsidR="009A4B38" w:rsidRPr="00DF5ED9">
        <w:rPr>
          <w:b w:val="0"/>
          <w:sz w:val="28"/>
          <w:szCs w:val="28"/>
          <w:lang w:val="uk-UA"/>
        </w:rPr>
        <w:t>і</w:t>
      </w:r>
      <w:r w:rsidR="00954D8D">
        <w:rPr>
          <w:b w:val="0"/>
          <w:sz w:val="28"/>
          <w:szCs w:val="28"/>
          <w:lang w:val="uk-UA"/>
        </w:rPr>
        <w:t>ю</w:t>
      </w:r>
      <w:r w:rsidR="009A4B38" w:rsidRPr="00DF5ED9">
        <w:rPr>
          <w:b w:val="0"/>
          <w:sz w:val="28"/>
          <w:szCs w:val="28"/>
          <w:lang w:val="uk-UA"/>
        </w:rPr>
        <w:t xml:space="preserve"> </w:t>
      </w:r>
      <w:r w:rsidR="00954D8D">
        <w:rPr>
          <w:b w:val="0"/>
          <w:sz w:val="28"/>
          <w:szCs w:val="28"/>
          <w:lang w:val="uk-UA"/>
        </w:rPr>
        <w:t xml:space="preserve">регулювання </w:t>
      </w:r>
      <w:proofErr w:type="spellStart"/>
      <w:r w:rsidR="009A4B38" w:rsidRPr="00DF5ED9">
        <w:rPr>
          <w:b w:val="0"/>
          <w:sz w:val="28"/>
          <w:szCs w:val="28"/>
          <w:lang w:val="uk-UA"/>
        </w:rPr>
        <w:t>акта</w:t>
      </w:r>
      <w:proofErr w:type="spellEnd"/>
      <w:r w:rsidR="009A4B38" w:rsidRPr="00DF5ED9">
        <w:rPr>
          <w:b w:val="0"/>
          <w:sz w:val="28"/>
          <w:szCs w:val="28"/>
          <w:lang w:val="uk-UA"/>
        </w:rPr>
        <w:t xml:space="preserve"> </w:t>
      </w:r>
      <w:r w:rsidR="00897EAE">
        <w:rPr>
          <w:rFonts w:eastAsia="Calibri"/>
          <w:b w:val="0"/>
          <w:lang w:val="uk-UA" w:eastAsia="en-US"/>
        </w:rPr>
        <w:t>підпадають</w:t>
      </w:r>
      <w:r w:rsidR="00897EAE" w:rsidRPr="00DF5ED9">
        <w:rPr>
          <w:b w:val="0"/>
          <w:sz w:val="28"/>
          <w:szCs w:val="28"/>
          <w:lang w:val="uk-UA"/>
        </w:rPr>
        <w:t xml:space="preserve"> </w:t>
      </w:r>
      <w:r w:rsidR="00897EAE">
        <w:rPr>
          <w:rFonts w:eastAsia="Calibri"/>
          <w:b w:val="0"/>
          <w:lang w:val="uk-UA" w:eastAsia="en-US"/>
        </w:rPr>
        <w:t xml:space="preserve">всі </w:t>
      </w:r>
      <w:r w:rsidR="00954D8D">
        <w:rPr>
          <w:rFonts w:eastAsia="Calibri"/>
          <w:b w:val="0"/>
          <w:lang w:val="uk-UA" w:eastAsia="en-US"/>
        </w:rPr>
        <w:t>суб</w:t>
      </w:r>
      <w:r w:rsidR="00954D8D" w:rsidRPr="00DF6A15">
        <w:rPr>
          <w:rFonts w:eastAsia="Calibri"/>
          <w:b w:val="0"/>
          <w:lang w:val="uk-UA" w:eastAsia="en-US"/>
        </w:rPr>
        <w:t>’</w:t>
      </w:r>
      <w:r w:rsidR="00954D8D">
        <w:rPr>
          <w:rFonts w:eastAsia="Calibri"/>
          <w:b w:val="0"/>
          <w:lang w:val="uk-UA" w:eastAsia="en-US"/>
        </w:rPr>
        <w:t>єкт</w:t>
      </w:r>
      <w:r w:rsidR="00897EAE">
        <w:rPr>
          <w:rFonts w:eastAsia="Calibri"/>
          <w:b w:val="0"/>
          <w:lang w:val="uk-UA" w:eastAsia="en-US"/>
        </w:rPr>
        <w:t>и</w:t>
      </w:r>
      <w:r w:rsidR="00954D8D">
        <w:rPr>
          <w:rFonts w:eastAsia="Calibri"/>
          <w:b w:val="0"/>
          <w:lang w:val="uk-UA" w:eastAsia="en-US"/>
        </w:rPr>
        <w:t xml:space="preserve"> господарювання, які займаються міжнародними </w:t>
      </w:r>
      <w:r w:rsidR="0002762C">
        <w:rPr>
          <w:rFonts w:eastAsia="Calibri"/>
          <w:b w:val="0"/>
          <w:lang w:val="uk-UA" w:eastAsia="en-US"/>
        </w:rPr>
        <w:t xml:space="preserve">автомобільним </w:t>
      </w:r>
      <w:r w:rsidR="00954D8D">
        <w:rPr>
          <w:rFonts w:eastAsia="Calibri"/>
          <w:b w:val="0"/>
          <w:lang w:val="uk-UA" w:eastAsia="en-US"/>
        </w:rPr>
        <w:t>перевезеннями</w:t>
      </w:r>
      <w:r w:rsidR="00897EAE">
        <w:rPr>
          <w:rFonts w:eastAsia="Calibri"/>
          <w:b w:val="0"/>
          <w:lang w:val="uk-UA" w:eastAsia="en-US"/>
        </w:rPr>
        <w:t>, утому числі</w:t>
      </w:r>
      <w:r w:rsidR="009B2E48">
        <w:rPr>
          <w:rFonts w:eastAsia="Calibri"/>
          <w:b w:val="0"/>
          <w:lang w:val="uk-UA" w:eastAsia="en-US"/>
        </w:rPr>
        <w:t>,</w:t>
      </w:r>
      <w:r w:rsidR="00897EAE">
        <w:rPr>
          <w:rFonts w:eastAsia="Calibri"/>
          <w:b w:val="0"/>
          <w:lang w:val="uk-UA" w:eastAsia="en-US"/>
        </w:rPr>
        <w:t xml:space="preserve"> які виконують перевезення на умовах Конвенції МДП.</w:t>
      </w:r>
    </w:p>
    <w:p w14:paraId="5DFED48A" w14:textId="77777777" w:rsidR="00853EC7" w:rsidRDefault="00FC1FA2" w:rsidP="00853EC7">
      <w:pPr>
        <w:pStyle w:val="3"/>
        <w:spacing w:before="0" w:beforeAutospacing="0" w:after="12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02B6D">
        <w:rPr>
          <w:b w:val="0"/>
          <w:sz w:val="28"/>
          <w:szCs w:val="28"/>
          <w:lang w:val="uk-UA"/>
        </w:rPr>
        <w:t>3.</w:t>
      </w:r>
      <w:r w:rsidR="00B144C9" w:rsidRPr="00302B6D">
        <w:rPr>
          <w:b w:val="0"/>
          <w:sz w:val="28"/>
          <w:szCs w:val="28"/>
          <w:lang w:val="uk-UA"/>
        </w:rPr>
        <w:t> </w:t>
      </w:r>
      <w:r w:rsidR="00302B6D" w:rsidRPr="00302B6D">
        <w:rPr>
          <w:b w:val="0"/>
          <w:sz w:val="28"/>
          <w:szCs w:val="28"/>
          <w:lang w:val="uk-UA"/>
        </w:rPr>
        <w:t xml:space="preserve">У зв’язку з прийняттям проекту </w:t>
      </w:r>
      <w:proofErr w:type="spellStart"/>
      <w:r w:rsidR="00302B6D" w:rsidRPr="00302B6D">
        <w:rPr>
          <w:b w:val="0"/>
          <w:sz w:val="28"/>
          <w:szCs w:val="28"/>
          <w:lang w:val="uk-UA"/>
        </w:rPr>
        <w:t>акта</w:t>
      </w:r>
      <w:proofErr w:type="spellEnd"/>
      <w:r w:rsidR="00302B6D" w:rsidRPr="00302B6D">
        <w:rPr>
          <w:b w:val="0"/>
          <w:sz w:val="28"/>
          <w:szCs w:val="28"/>
          <w:lang w:val="uk-UA"/>
        </w:rPr>
        <w:t xml:space="preserve"> держава та суб’єкти господарювання не витрачатимуть додаткових коштів та часу на реалізацію його норм.</w:t>
      </w:r>
      <w:r w:rsidR="009A163F" w:rsidRPr="00302B6D">
        <w:rPr>
          <w:b w:val="0"/>
          <w:sz w:val="28"/>
          <w:szCs w:val="28"/>
          <w:lang w:val="uk-UA"/>
        </w:rPr>
        <w:t xml:space="preserve"> </w:t>
      </w:r>
    </w:p>
    <w:p w14:paraId="69B004B6" w14:textId="19229019" w:rsidR="009A4B38" w:rsidRPr="00302B6D" w:rsidRDefault="00601E86" w:rsidP="00853EC7">
      <w:pPr>
        <w:pStyle w:val="3"/>
        <w:spacing w:before="0" w:beforeAutospacing="0" w:after="12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4. </w:t>
      </w:r>
      <w:r w:rsidR="009A4B38" w:rsidRPr="00302B6D">
        <w:rPr>
          <w:b w:val="0"/>
          <w:sz w:val="28"/>
          <w:szCs w:val="28"/>
          <w:lang w:val="uk-UA"/>
        </w:rPr>
        <w:t xml:space="preserve">Рівень поінформованості </w:t>
      </w:r>
      <w:r w:rsidR="003646F8" w:rsidRPr="00302B6D">
        <w:rPr>
          <w:b w:val="0"/>
          <w:sz w:val="28"/>
          <w:szCs w:val="28"/>
          <w:lang w:val="uk-UA"/>
        </w:rPr>
        <w:t>суб’єктів господарювання що</w:t>
      </w:r>
      <w:r w:rsidR="00A93341">
        <w:rPr>
          <w:b w:val="0"/>
          <w:sz w:val="28"/>
          <w:szCs w:val="28"/>
          <w:lang w:val="uk-UA"/>
        </w:rPr>
        <w:t xml:space="preserve">до проекту </w:t>
      </w:r>
      <w:proofErr w:type="spellStart"/>
      <w:r w:rsidR="00A93341">
        <w:rPr>
          <w:b w:val="0"/>
          <w:sz w:val="28"/>
          <w:szCs w:val="28"/>
          <w:lang w:val="uk-UA"/>
        </w:rPr>
        <w:t>акта</w:t>
      </w:r>
      <w:proofErr w:type="spellEnd"/>
      <w:r w:rsidR="009A4B38" w:rsidRPr="00302B6D">
        <w:rPr>
          <w:b w:val="0"/>
          <w:sz w:val="28"/>
          <w:szCs w:val="28"/>
          <w:lang w:val="uk-UA"/>
        </w:rPr>
        <w:t xml:space="preserve"> оцінюється як </w:t>
      </w:r>
      <w:r w:rsidR="00302B6D" w:rsidRPr="00302B6D">
        <w:rPr>
          <w:b w:val="0"/>
          <w:sz w:val="28"/>
          <w:szCs w:val="28"/>
          <w:lang w:val="uk-UA"/>
        </w:rPr>
        <w:t xml:space="preserve">високий, </w:t>
      </w:r>
      <w:r w:rsidR="00302B6D" w:rsidRPr="00B507D3">
        <w:rPr>
          <w:b w:val="0"/>
          <w:sz w:val="28"/>
          <w:szCs w:val="28"/>
          <w:lang w:val="uk-UA"/>
        </w:rPr>
        <w:t xml:space="preserve">оскільки його оприлюднено на офіційному </w:t>
      </w:r>
      <w:proofErr w:type="spellStart"/>
      <w:r w:rsidR="00302B6D" w:rsidRPr="00B507D3">
        <w:rPr>
          <w:b w:val="0"/>
          <w:sz w:val="28"/>
          <w:szCs w:val="28"/>
          <w:lang w:val="uk-UA"/>
        </w:rPr>
        <w:t>вебсайті</w:t>
      </w:r>
      <w:proofErr w:type="spellEnd"/>
      <w:r w:rsidR="00302B6D" w:rsidRPr="00B507D3">
        <w:rPr>
          <w:b w:val="0"/>
          <w:sz w:val="28"/>
          <w:szCs w:val="28"/>
          <w:lang w:val="uk-UA"/>
        </w:rPr>
        <w:t xml:space="preserve"> Міністерства фінансів України</w:t>
      </w:r>
      <w:r w:rsidR="009A4B38" w:rsidRPr="00302B6D">
        <w:rPr>
          <w:b w:val="0"/>
          <w:sz w:val="28"/>
          <w:szCs w:val="28"/>
          <w:lang w:val="uk-UA"/>
        </w:rPr>
        <w:t xml:space="preserve">. </w:t>
      </w:r>
    </w:p>
    <w:p w14:paraId="5D28EEC1" w14:textId="3858E147" w:rsidR="009A4B38" w:rsidRPr="00302B6D" w:rsidRDefault="009A4B38" w:rsidP="00601E86">
      <w:pPr>
        <w:pStyle w:val="3"/>
        <w:tabs>
          <w:tab w:val="left" w:pos="851"/>
        </w:tabs>
        <w:spacing w:before="0" w:beforeAutospacing="0" w:after="6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02B6D">
        <w:rPr>
          <w:b w:val="0"/>
          <w:sz w:val="28"/>
          <w:szCs w:val="28"/>
          <w:lang w:val="uk-UA"/>
        </w:rPr>
        <w:t>Після прийняття про</w:t>
      </w:r>
      <w:r w:rsidR="00B144C9" w:rsidRPr="00302B6D">
        <w:rPr>
          <w:b w:val="0"/>
          <w:sz w:val="28"/>
          <w:szCs w:val="28"/>
          <w:lang w:val="uk-UA"/>
        </w:rPr>
        <w:t>е</w:t>
      </w:r>
      <w:r w:rsidR="000F626C" w:rsidRPr="00302B6D">
        <w:rPr>
          <w:b w:val="0"/>
          <w:sz w:val="28"/>
          <w:szCs w:val="28"/>
          <w:lang w:val="uk-UA"/>
        </w:rPr>
        <w:t xml:space="preserve">кту </w:t>
      </w:r>
      <w:proofErr w:type="spellStart"/>
      <w:r w:rsidR="00DF5ED9" w:rsidRPr="00302B6D">
        <w:rPr>
          <w:b w:val="0"/>
          <w:sz w:val="28"/>
          <w:szCs w:val="28"/>
          <w:lang w:val="uk-UA"/>
        </w:rPr>
        <w:t>акта</w:t>
      </w:r>
      <w:proofErr w:type="spellEnd"/>
      <w:r w:rsidRPr="00302B6D">
        <w:rPr>
          <w:b w:val="0"/>
          <w:sz w:val="28"/>
          <w:szCs w:val="28"/>
          <w:lang w:val="uk-UA"/>
        </w:rPr>
        <w:t xml:space="preserve"> він буде оприлюднений в установленому законодавством порядку. </w:t>
      </w:r>
    </w:p>
    <w:p w14:paraId="0FAA290B" w14:textId="77777777" w:rsidR="002D7274" w:rsidRDefault="009A4B38" w:rsidP="00BD06EF">
      <w:pPr>
        <w:pStyle w:val="3"/>
        <w:tabs>
          <w:tab w:val="left" w:pos="851"/>
        </w:tabs>
        <w:spacing w:before="0" w:beforeAutospacing="0" w:after="60" w:afterAutospacing="0"/>
        <w:ind w:firstLine="567"/>
        <w:jc w:val="both"/>
        <w:rPr>
          <w:b w:val="0"/>
          <w:sz w:val="28"/>
          <w:szCs w:val="28"/>
          <w:lang w:val="uk-UA"/>
        </w:rPr>
      </w:pPr>
      <w:r w:rsidRPr="00302B6D">
        <w:rPr>
          <w:b w:val="0"/>
          <w:sz w:val="28"/>
          <w:szCs w:val="28"/>
          <w:lang w:val="uk-UA"/>
        </w:rPr>
        <w:t xml:space="preserve">Прогнозні значення показників результативності </w:t>
      </w:r>
      <w:r w:rsidR="009C6BBF">
        <w:rPr>
          <w:b w:val="0"/>
          <w:sz w:val="28"/>
          <w:szCs w:val="28"/>
          <w:lang w:val="uk-UA"/>
        </w:rPr>
        <w:t xml:space="preserve">регуляторного </w:t>
      </w:r>
      <w:proofErr w:type="spellStart"/>
      <w:r w:rsidR="009C6BBF">
        <w:rPr>
          <w:b w:val="0"/>
          <w:sz w:val="28"/>
          <w:szCs w:val="28"/>
          <w:lang w:val="uk-UA"/>
        </w:rPr>
        <w:t>акта</w:t>
      </w:r>
      <w:proofErr w:type="spellEnd"/>
      <w:r w:rsidRPr="00302B6D">
        <w:rPr>
          <w:b w:val="0"/>
          <w:sz w:val="28"/>
          <w:szCs w:val="28"/>
          <w:lang w:val="uk-UA"/>
        </w:rPr>
        <w:t xml:space="preserve"> будуть виражені у кількісній</w:t>
      </w:r>
      <w:r w:rsidR="007B78C8" w:rsidRPr="00302B6D">
        <w:rPr>
          <w:b w:val="0"/>
          <w:sz w:val="28"/>
          <w:szCs w:val="28"/>
          <w:lang w:val="uk-UA"/>
        </w:rPr>
        <w:t xml:space="preserve"> </w:t>
      </w:r>
      <w:r w:rsidRPr="00D86B37">
        <w:rPr>
          <w:b w:val="0"/>
          <w:sz w:val="28"/>
          <w:szCs w:val="28"/>
          <w:lang w:val="uk-UA"/>
        </w:rPr>
        <w:t>форм</w:t>
      </w:r>
      <w:r w:rsidR="00302B6D" w:rsidRPr="00D86B37">
        <w:rPr>
          <w:b w:val="0"/>
          <w:sz w:val="28"/>
          <w:szCs w:val="28"/>
          <w:lang w:val="uk-UA"/>
        </w:rPr>
        <w:t>і</w:t>
      </w:r>
      <w:r w:rsidR="00591A18">
        <w:rPr>
          <w:b w:val="0"/>
          <w:sz w:val="28"/>
          <w:szCs w:val="28"/>
          <w:lang w:val="uk-UA"/>
        </w:rPr>
        <w:t>, а саме</w:t>
      </w:r>
      <w:r w:rsidR="0058541A" w:rsidRPr="0058541A">
        <w:rPr>
          <w:b w:val="0"/>
          <w:sz w:val="28"/>
          <w:szCs w:val="28"/>
          <w:lang w:val="uk-UA"/>
        </w:rPr>
        <w:t>:</w:t>
      </w:r>
    </w:p>
    <w:p w14:paraId="1BDC1BDA" w14:textId="77777777" w:rsidR="002D7274" w:rsidRDefault="00591A18" w:rsidP="00BD06EF">
      <w:pPr>
        <w:pStyle w:val="3"/>
        <w:tabs>
          <w:tab w:val="left" w:pos="851"/>
        </w:tabs>
        <w:spacing w:before="0" w:beforeAutospacing="0" w:after="6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lastRenderedPageBreak/>
        <w:t xml:space="preserve"> </w:t>
      </w:r>
      <w:r w:rsidR="00302B6D" w:rsidRPr="00D86B37">
        <w:rPr>
          <w:b w:val="0"/>
          <w:sz w:val="28"/>
          <w:szCs w:val="28"/>
          <w:lang w:val="uk-UA"/>
        </w:rPr>
        <w:t xml:space="preserve">кількість виданих </w:t>
      </w:r>
      <w:proofErr w:type="spellStart"/>
      <w:r w:rsidR="00302B6D" w:rsidRPr="00D86B37">
        <w:rPr>
          <w:b w:val="0"/>
          <w:sz w:val="28"/>
          <w:szCs w:val="28"/>
          <w:lang w:val="uk-UA"/>
        </w:rPr>
        <w:t>Свідоцтв</w:t>
      </w:r>
      <w:proofErr w:type="spellEnd"/>
      <w:r w:rsidR="00302B6D" w:rsidRPr="00D86B37">
        <w:rPr>
          <w:b w:val="0"/>
          <w:sz w:val="28"/>
          <w:szCs w:val="28"/>
          <w:lang w:val="uk-UA"/>
        </w:rPr>
        <w:t xml:space="preserve"> про допущення</w:t>
      </w:r>
      <w:r w:rsidR="002D7274" w:rsidRPr="002D7274">
        <w:rPr>
          <w:b w:val="0"/>
          <w:sz w:val="28"/>
          <w:szCs w:val="28"/>
          <w:lang w:val="uk-UA"/>
        </w:rPr>
        <w:t xml:space="preserve"> </w:t>
      </w:r>
      <w:r w:rsidR="002D7274">
        <w:rPr>
          <w:b w:val="0"/>
          <w:sz w:val="28"/>
          <w:szCs w:val="28"/>
          <w:lang w:val="uk-UA"/>
        </w:rPr>
        <w:t>дорожнього транспортного засобу до перевезення товарів під митними печатками та пломбами</w:t>
      </w:r>
      <w:r w:rsidR="006C7A80">
        <w:rPr>
          <w:b w:val="0"/>
          <w:sz w:val="28"/>
          <w:szCs w:val="28"/>
          <w:lang w:val="uk-UA"/>
        </w:rPr>
        <w:t>,</w:t>
      </w:r>
      <w:r w:rsidR="00302B6D" w:rsidRPr="00D86B37">
        <w:rPr>
          <w:b w:val="0"/>
          <w:sz w:val="28"/>
          <w:szCs w:val="28"/>
          <w:lang w:val="uk-UA"/>
        </w:rPr>
        <w:t xml:space="preserve"> </w:t>
      </w:r>
    </w:p>
    <w:p w14:paraId="67242F4B" w14:textId="77777777" w:rsidR="002D7274" w:rsidRDefault="002D7274" w:rsidP="00BD06EF">
      <w:pPr>
        <w:pStyle w:val="3"/>
        <w:tabs>
          <w:tab w:val="left" w:pos="851"/>
        </w:tabs>
        <w:spacing w:before="0" w:beforeAutospacing="0" w:after="60" w:afterAutospacing="0"/>
        <w:ind w:firstLine="567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кількість </w:t>
      </w:r>
      <w:proofErr w:type="spellStart"/>
      <w:r w:rsidR="00302B6D" w:rsidRPr="00D86B37">
        <w:rPr>
          <w:b w:val="0"/>
          <w:sz w:val="28"/>
          <w:szCs w:val="28"/>
          <w:lang w:val="uk-UA"/>
        </w:rPr>
        <w:t>Свідоцтв</w:t>
      </w:r>
      <w:proofErr w:type="spellEnd"/>
      <w:r w:rsidR="00302B6D" w:rsidRPr="00D86B37">
        <w:rPr>
          <w:b w:val="0"/>
          <w:sz w:val="28"/>
          <w:szCs w:val="28"/>
          <w:lang w:val="uk-UA"/>
        </w:rPr>
        <w:t xml:space="preserve"> про</w:t>
      </w:r>
      <w:r w:rsidR="0058541A">
        <w:rPr>
          <w:b w:val="0"/>
          <w:sz w:val="28"/>
          <w:szCs w:val="28"/>
          <w:lang w:val="uk-UA"/>
        </w:rPr>
        <w:t xml:space="preserve"> допущення</w:t>
      </w:r>
      <w:r w:rsidRPr="002D7274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дорожнього транспортного засобу до перевезення товарів під митними печатками та пломбами</w:t>
      </w:r>
      <w:r w:rsidR="0058541A">
        <w:rPr>
          <w:b w:val="0"/>
          <w:sz w:val="28"/>
          <w:szCs w:val="28"/>
          <w:lang w:val="uk-UA"/>
        </w:rPr>
        <w:t>, дію яких продовжено</w:t>
      </w:r>
      <w:r w:rsidR="006C7A80" w:rsidRPr="006C7A80">
        <w:rPr>
          <w:b w:val="0"/>
          <w:sz w:val="28"/>
          <w:szCs w:val="28"/>
          <w:lang w:val="uk-UA"/>
        </w:rPr>
        <w:t>;</w:t>
      </w:r>
      <w:r w:rsidR="00162152">
        <w:rPr>
          <w:b w:val="0"/>
          <w:sz w:val="28"/>
          <w:szCs w:val="28"/>
          <w:lang w:val="uk-UA"/>
        </w:rPr>
        <w:t xml:space="preserve"> </w:t>
      </w:r>
    </w:p>
    <w:p w14:paraId="3D6702E7" w14:textId="01830561" w:rsidR="009A4B38" w:rsidRPr="00601E86" w:rsidRDefault="00162152" w:rsidP="008C7784">
      <w:pPr>
        <w:pStyle w:val="3"/>
        <w:tabs>
          <w:tab w:val="left" w:pos="851"/>
        </w:tabs>
        <w:spacing w:before="0" w:beforeAutospacing="0" w:after="60" w:afterAutospacing="0"/>
        <w:ind w:firstLine="567"/>
        <w:jc w:val="both"/>
        <w:rPr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кількість перевізників</w:t>
      </w:r>
      <w:r w:rsidR="006C7A80">
        <w:rPr>
          <w:b w:val="0"/>
          <w:sz w:val="28"/>
          <w:szCs w:val="28"/>
          <w:lang w:val="uk-UA"/>
        </w:rPr>
        <w:t xml:space="preserve">, які </w:t>
      </w:r>
      <w:r w:rsidR="008C7784">
        <w:rPr>
          <w:b w:val="0"/>
          <w:sz w:val="28"/>
          <w:szCs w:val="28"/>
          <w:lang w:val="uk-UA"/>
        </w:rPr>
        <w:t xml:space="preserve">отримали </w:t>
      </w:r>
      <w:r w:rsidR="008C7784" w:rsidRPr="00D86B37">
        <w:rPr>
          <w:b w:val="0"/>
          <w:sz w:val="28"/>
          <w:szCs w:val="28"/>
          <w:lang w:val="uk-UA"/>
        </w:rPr>
        <w:t>Свідоцтв</w:t>
      </w:r>
      <w:r w:rsidR="008C7784">
        <w:rPr>
          <w:b w:val="0"/>
          <w:sz w:val="28"/>
          <w:szCs w:val="28"/>
          <w:lang w:val="uk-UA"/>
        </w:rPr>
        <w:t>а</w:t>
      </w:r>
      <w:r w:rsidR="008C7784" w:rsidRPr="00D86B37">
        <w:rPr>
          <w:b w:val="0"/>
          <w:sz w:val="28"/>
          <w:szCs w:val="28"/>
          <w:lang w:val="uk-UA"/>
        </w:rPr>
        <w:t xml:space="preserve"> про</w:t>
      </w:r>
      <w:r w:rsidR="008C7784">
        <w:rPr>
          <w:b w:val="0"/>
          <w:sz w:val="28"/>
          <w:szCs w:val="28"/>
          <w:lang w:val="uk-UA"/>
        </w:rPr>
        <w:t xml:space="preserve"> допущення</w:t>
      </w:r>
      <w:r w:rsidR="008C7784" w:rsidRPr="002D7274">
        <w:rPr>
          <w:b w:val="0"/>
          <w:sz w:val="28"/>
          <w:szCs w:val="28"/>
          <w:lang w:val="uk-UA"/>
        </w:rPr>
        <w:t xml:space="preserve"> </w:t>
      </w:r>
      <w:r w:rsidR="008C7784">
        <w:rPr>
          <w:b w:val="0"/>
          <w:sz w:val="28"/>
          <w:szCs w:val="28"/>
          <w:lang w:val="uk-UA"/>
        </w:rPr>
        <w:t xml:space="preserve">дорожнього транспортного засобу до перевезення товарів під митними печатками та пломбами залежно кількості транспортних засобів, що існують у володінні. </w:t>
      </w:r>
    </w:p>
    <w:p w14:paraId="3BB4D537" w14:textId="77777777" w:rsidR="008C7784" w:rsidRDefault="008C7784" w:rsidP="00601E86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0249ECE7" w14:textId="77777777" w:rsidR="008C7784" w:rsidRDefault="008C7784" w:rsidP="00601E86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33E72804" w14:textId="09544E3B" w:rsidR="009A4B38" w:rsidRPr="00601E86" w:rsidRDefault="009A4B38" w:rsidP="00601E86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  <w:r w:rsidRPr="00601E86">
        <w:rPr>
          <w:sz w:val="28"/>
          <w:szCs w:val="28"/>
          <w:lang w:val="uk-UA"/>
        </w:rPr>
        <w:t xml:space="preserve">IX. Визначення заходів, за допомогою яких здійснюватиметься </w:t>
      </w:r>
      <w:r w:rsidR="001F60F0">
        <w:rPr>
          <w:sz w:val="28"/>
          <w:szCs w:val="28"/>
          <w:lang w:val="uk-UA"/>
        </w:rPr>
        <w:t xml:space="preserve"> </w:t>
      </w:r>
      <w:r w:rsidRPr="00601E86">
        <w:rPr>
          <w:sz w:val="28"/>
          <w:szCs w:val="28"/>
          <w:lang w:val="uk-UA"/>
        </w:rPr>
        <w:t xml:space="preserve">відстеження результативності дії регуляторного </w:t>
      </w:r>
      <w:proofErr w:type="spellStart"/>
      <w:r w:rsidRPr="00601E86">
        <w:rPr>
          <w:sz w:val="28"/>
          <w:szCs w:val="28"/>
          <w:lang w:val="uk-UA"/>
        </w:rPr>
        <w:t>акта</w:t>
      </w:r>
      <w:proofErr w:type="spellEnd"/>
    </w:p>
    <w:p w14:paraId="45F701F6" w14:textId="77777777" w:rsidR="00B144C9" w:rsidRPr="00601E86" w:rsidRDefault="00B144C9" w:rsidP="00601E86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  <w:lang w:val="uk-UA"/>
        </w:rPr>
      </w:pPr>
    </w:p>
    <w:p w14:paraId="5FA6480B" w14:textId="27A59427" w:rsidR="00992880" w:rsidRPr="00992880" w:rsidRDefault="00992880" w:rsidP="00992880">
      <w:pPr>
        <w:widowControl w:val="0"/>
        <w:spacing w:after="60"/>
        <w:ind w:firstLine="567"/>
        <w:jc w:val="both"/>
        <w:rPr>
          <w:sz w:val="28"/>
          <w:szCs w:val="28"/>
          <w:lang w:val="uk-UA"/>
        </w:rPr>
      </w:pPr>
      <w:r w:rsidRPr="00992880">
        <w:rPr>
          <w:sz w:val="28"/>
          <w:szCs w:val="28"/>
          <w:lang w:val="uk-UA"/>
        </w:rPr>
        <w:t xml:space="preserve">Стосовно регуляторного </w:t>
      </w:r>
      <w:proofErr w:type="spellStart"/>
      <w:r w:rsidRPr="00992880">
        <w:rPr>
          <w:sz w:val="28"/>
          <w:szCs w:val="28"/>
          <w:lang w:val="uk-UA"/>
        </w:rPr>
        <w:t>акта</w:t>
      </w:r>
      <w:proofErr w:type="spellEnd"/>
      <w:r w:rsidRPr="00992880">
        <w:rPr>
          <w:sz w:val="28"/>
          <w:szCs w:val="28"/>
          <w:lang w:val="uk-UA"/>
        </w:rPr>
        <w:t xml:space="preserve"> уповноважений орган виконавчої влади здійснюватиме базове, повторне та періодичне відстеження результативності регуляторного </w:t>
      </w:r>
      <w:proofErr w:type="spellStart"/>
      <w:r w:rsidRPr="00992880">
        <w:rPr>
          <w:sz w:val="28"/>
          <w:szCs w:val="28"/>
          <w:lang w:val="uk-UA"/>
        </w:rPr>
        <w:t>акта</w:t>
      </w:r>
      <w:proofErr w:type="spellEnd"/>
      <w:r w:rsidRPr="00992880">
        <w:rPr>
          <w:sz w:val="28"/>
          <w:szCs w:val="28"/>
          <w:lang w:val="uk-UA"/>
        </w:rPr>
        <w:t xml:space="preserve"> у строки, встановлені статтею 10 Закону України </w:t>
      </w:r>
      <w:r w:rsidR="00591A18">
        <w:rPr>
          <w:sz w:val="28"/>
          <w:szCs w:val="28"/>
          <w:lang w:val="uk-UA"/>
        </w:rPr>
        <w:t>«</w:t>
      </w:r>
      <w:r w:rsidRPr="00992880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591A18">
        <w:rPr>
          <w:sz w:val="28"/>
          <w:szCs w:val="28"/>
          <w:lang w:val="uk-UA"/>
        </w:rPr>
        <w:t>»</w:t>
      </w:r>
      <w:r w:rsidRPr="00992880">
        <w:rPr>
          <w:sz w:val="28"/>
          <w:szCs w:val="28"/>
          <w:lang w:val="uk-UA"/>
        </w:rPr>
        <w:t>, шляхом аналізу статистичних даних за допомогою інформаційних систем Держмитслужби та звітної інформації, яка надходить до Держмитслужби від митних органів.</w:t>
      </w:r>
    </w:p>
    <w:p w14:paraId="0926AE5C" w14:textId="77777777" w:rsidR="00992880" w:rsidRPr="00992880" w:rsidRDefault="00992880" w:rsidP="00992880">
      <w:pPr>
        <w:widowControl w:val="0"/>
        <w:spacing w:after="60"/>
        <w:ind w:firstLine="567"/>
        <w:jc w:val="both"/>
        <w:rPr>
          <w:sz w:val="28"/>
          <w:szCs w:val="28"/>
          <w:lang w:val="uk-UA"/>
        </w:rPr>
      </w:pPr>
      <w:r w:rsidRPr="00992880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992880">
        <w:rPr>
          <w:sz w:val="28"/>
          <w:szCs w:val="28"/>
          <w:lang w:val="uk-UA"/>
        </w:rPr>
        <w:t>акта</w:t>
      </w:r>
      <w:proofErr w:type="spellEnd"/>
      <w:r w:rsidRPr="00992880">
        <w:rPr>
          <w:sz w:val="28"/>
          <w:szCs w:val="28"/>
          <w:lang w:val="uk-UA"/>
        </w:rPr>
        <w:t xml:space="preserve"> буде проводитись через рік після набрання чинності наказом.</w:t>
      </w:r>
    </w:p>
    <w:p w14:paraId="17FDA41E" w14:textId="77777777" w:rsidR="00992880" w:rsidRDefault="00992880" w:rsidP="00992880">
      <w:pPr>
        <w:widowControl w:val="0"/>
        <w:spacing w:after="60"/>
        <w:ind w:firstLine="567"/>
        <w:jc w:val="both"/>
        <w:rPr>
          <w:sz w:val="28"/>
          <w:szCs w:val="28"/>
          <w:lang w:val="uk-UA"/>
        </w:rPr>
      </w:pPr>
      <w:r w:rsidRPr="00992880">
        <w:rPr>
          <w:sz w:val="28"/>
          <w:szCs w:val="28"/>
          <w:lang w:val="uk-UA"/>
        </w:rPr>
        <w:t>Повторне відстеження буде здійснюватися через два роки після набрання чинності наказом.</w:t>
      </w:r>
    </w:p>
    <w:p w14:paraId="02DD83C6" w14:textId="3E951DB1" w:rsidR="0003032F" w:rsidRPr="009F2FB9" w:rsidRDefault="00992880" w:rsidP="00601E86">
      <w:pPr>
        <w:widowControl w:val="0"/>
        <w:spacing w:after="60"/>
        <w:ind w:firstLine="567"/>
        <w:jc w:val="both"/>
        <w:rPr>
          <w:sz w:val="28"/>
          <w:szCs w:val="28"/>
          <w:lang w:val="uk-UA"/>
        </w:rPr>
      </w:pPr>
      <w:r w:rsidRPr="00992880">
        <w:rPr>
          <w:sz w:val="28"/>
          <w:szCs w:val="28"/>
          <w:lang w:val="uk-UA"/>
        </w:rPr>
        <w:t>Періодичне відстеження здійснюватиметься раз на три роки, починаючи з дня виконання заходів з повторного відстеження результативності.</w:t>
      </w:r>
      <w:r w:rsidR="00591A18">
        <w:rPr>
          <w:sz w:val="28"/>
          <w:szCs w:val="28"/>
          <w:lang w:val="uk-UA"/>
        </w:rPr>
        <w:t xml:space="preserve"> </w:t>
      </w:r>
    </w:p>
    <w:p w14:paraId="0714F01E" w14:textId="7FEF06F7" w:rsidR="009A4B38" w:rsidRPr="009F2FB9" w:rsidRDefault="009F2FB9" w:rsidP="00601E86">
      <w:pPr>
        <w:widowControl w:val="0"/>
        <w:spacing w:after="60"/>
        <w:ind w:firstLine="567"/>
        <w:jc w:val="both"/>
        <w:rPr>
          <w:sz w:val="28"/>
          <w:szCs w:val="28"/>
          <w:lang w:val="uk-UA"/>
        </w:rPr>
      </w:pPr>
      <w:r w:rsidRPr="009F2FB9">
        <w:rPr>
          <w:sz w:val="28"/>
          <w:szCs w:val="28"/>
          <w:lang w:val="uk-UA"/>
        </w:rPr>
        <w:t xml:space="preserve">Метод проведення </w:t>
      </w:r>
      <w:r w:rsidR="000924B2" w:rsidRPr="009F2FB9">
        <w:rPr>
          <w:sz w:val="28"/>
          <w:szCs w:val="28"/>
          <w:lang w:val="uk-UA"/>
        </w:rPr>
        <w:t>відстеження результативності</w:t>
      </w:r>
      <w:r w:rsidR="0003032F" w:rsidRPr="009F2FB9">
        <w:rPr>
          <w:sz w:val="28"/>
          <w:szCs w:val="28"/>
          <w:lang w:val="uk-UA"/>
        </w:rPr>
        <w:t xml:space="preserve"> </w:t>
      </w:r>
      <w:r w:rsidR="000924B2" w:rsidRPr="009F2FB9">
        <w:rPr>
          <w:sz w:val="28"/>
          <w:szCs w:val="28"/>
          <w:lang w:val="uk-UA"/>
        </w:rPr>
        <w:t>– статистичн</w:t>
      </w:r>
      <w:r w:rsidRPr="009F2FB9">
        <w:rPr>
          <w:sz w:val="28"/>
          <w:szCs w:val="28"/>
          <w:lang w:val="uk-UA"/>
        </w:rPr>
        <w:t>ий</w:t>
      </w:r>
      <w:r w:rsidR="000924B2" w:rsidRPr="009F2FB9">
        <w:rPr>
          <w:sz w:val="28"/>
          <w:szCs w:val="28"/>
          <w:lang w:val="uk-UA"/>
        </w:rPr>
        <w:t>.</w:t>
      </w:r>
      <w:r w:rsidR="009A4B38" w:rsidRPr="009F2FB9">
        <w:rPr>
          <w:sz w:val="28"/>
          <w:szCs w:val="28"/>
          <w:lang w:val="uk-UA"/>
        </w:rPr>
        <w:t xml:space="preserve"> </w:t>
      </w:r>
    </w:p>
    <w:p w14:paraId="494C5052" w14:textId="79440FEA" w:rsidR="003646F8" w:rsidRPr="009F2FB9" w:rsidRDefault="009A4B38" w:rsidP="00601E86">
      <w:pPr>
        <w:pStyle w:val="a3"/>
        <w:spacing w:before="0" w:beforeAutospacing="0" w:after="60" w:afterAutospacing="0"/>
        <w:ind w:firstLine="567"/>
        <w:jc w:val="both"/>
        <w:rPr>
          <w:sz w:val="28"/>
          <w:szCs w:val="28"/>
          <w:lang w:val="uk-UA"/>
        </w:rPr>
      </w:pPr>
      <w:r w:rsidRPr="009F2FB9">
        <w:rPr>
          <w:sz w:val="28"/>
          <w:szCs w:val="28"/>
          <w:lang w:val="uk-UA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03032F" w:rsidRPr="009F2FB9">
        <w:rPr>
          <w:sz w:val="28"/>
          <w:szCs w:val="28"/>
          <w:lang w:val="uk-UA"/>
        </w:rPr>
        <w:t xml:space="preserve"> </w:t>
      </w:r>
      <w:r w:rsidR="00B144C9" w:rsidRPr="009F2FB9">
        <w:rPr>
          <w:sz w:val="28"/>
          <w:szCs w:val="28"/>
          <w:lang w:val="uk-UA"/>
        </w:rPr>
        <w:t>і</w:t>
      </w:r>
      <w:r w:rsidR="0003032F" w:rsidRPr="009F2FB9">
        <w:rPr>
          <w:sz w:val="28"/>
          <w:szCs w:val="28"/>
          <w:lang w:val="uk-UA"/>
        </w:rPr>
        <w:t xml:space="preserve"> </w:t>
      </w:r>
      <w:r w:rsidRPr="009F2FB9">
        <w:rPr>
          <w:sz w:val="28"/>
          <w:szCs w:val="28"/>
          <w:lang w:val="uk-UA"/>
        </w:rPr>
        <w:t xml:space="preserve">суб’єктів господарювання ці питання будуть врегульовані шляхом </w:t>
      </w:r>
      <w:r w:rsidR="009B2E48">
        <w:rPr>
          <w:sz w:val="28"/>
          <w:szCs w:val="28"/>
          <w:lang w:val="uk-UA"/>
        </w:rPr>
        <w:t>в</w:t>
      </w:r>
      <w:r w:rsidRPr="009F2FB9">
        <w:rPr>
          <w:sz w:val="28"/>
          <w:szCs w:val="28"/>
          <w:lang w:val="uk-UA"/>
        </w:rPr>
        <w:t>несення відповідних змін.</w:t>
      </w:r>
    </w:p>
    <w:p w14:paraId="0FB224B6" w14:textId="7C3C33F0" w:rsidR="009A4B38" w:rsidRPr="009F2FB9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F2FB9">
        <w:rPr>
          <w:sz w:val="28"/>
          <w:szCs w:val="28"/>
          <w:lang w:val="uk-UA"/>
        </w:rPr>
        <w:t>Виконавц</w:t>
      </w:r>
      <w:r w:rsidR="009F2FB9" w:rsidRPr="009F2FB9">
        <w:rPr>
          <w:sz w:val="28"/>
          <w:szCs w:val="28"/>
          <w:lang w:val="uk-UA"/>
        </w:rPr>
        <w:t>ями</w:t>
      </w:r>
      <w:r w:rsidRPr="009F2FB9">
        <w:rPr>
          <w:sz w:val="28"/>
          <w:szCs w:val="28"/>
          <w:lang w:val="uk-UA"/>
        </w:rPr>
        <w:t xml:space="preserve"> заходів з відстеження </w:t>
      </w:r>
      <w:r w:rsidR="00A75F41" w:rsidRPr="009F2FB9">
        <w:rPr>
          <w:sz w:val="28"/>
          <w:szCs w:val="28"/>
          <w:lang w:val="uk-UA"/>
        </w:rPr>
        <w:t xml:space="preserve">результативності дії регуляторного </w:t>
      </w:r>
      <w:proofErr w:type="spellStart"/>
      <w:r w:rsidR="00A75F41" w:rsidRPr="009F2FB9">
        <w:rPr>
          <w:sz w:val="28"/>
          <w:szCs w:val="28"/>
          <w:lang w:val="uk-UA"/>
        </w:rPr>
        <w:t>акта</w:t>
      </w:r>
      <w:proofErr w:type="spellEnd"/>
      <w:r w:rsidR="00A75F41" w:rsidRPr="009F2FB9">
        <w:rPr>
          <w:sz w:val="28"/>
          <w:szCs w:val="28"/>
          <w:lang w:val="uk-UA"/>
        </w:rPr>
        <w:t xml:space="preserve"> </w:t>
      </w:r>
      <w:r w:rsidRPr="009F2FB9">
        <w:rPr>
          <w:sz w:val="28"/>
          <w:szCs w:val="28"/>
          <w:lang w:val="uk-UA"/>
        </w:rPr>
        <w:t>є Міністерство фінансів України</w:t>
      </w:r>
      <w:r w:rsidR="009F2FB9" w:rsidRPr="009F2FB9">
        <w:rPr>
          <w:sz w:val="28"/>
          <w:szCs w:val="28"/>
          <w:lang w:val="uk-UA"/>
        </w:rPr>
        <w:t xml:space="preserve"> та Державна митна служба України</w:t>
      </w:r>
      <w:r w:rsidRPr="009F2FB9">
        <w:rPr>
          <w:sz w:val="28"/>
          <w:szCs w:val="28"/>
          <w:lang w:val="uk-UA"/>
        </w:rPr>
        <w:t>.</w:t>
      </w:r>
    </w:p>
    <w:p w14:paraId="403716E2" w14:textId="77777777" w:rsidR="009A4B38" w:rsidRPr="009F2FB9" w:rsidRDefault="009A4B38" w:rsidP="009A4B38">
      <w:pPr>
        <w:rPr>
          <w:sz w:val="28"/>
          <w:szCs w:val="28"/>
          <w:lang w:val="uk-UA"/>
        </w:rPr>
      </w:pPr>
    </w:p>
    <w:p w14:paraId="1C75C1DB" w14:textId="77777777" w:rsidR="00C3504A" w:rsidRPr="009F2FB9" w:rsidRDefault="00C3504A" w:rsidP="009A4B38">
      <w:pPr>
        <w:rPr>
          <w:sz w:val="28"/>
          <w:szCs w:val="28"/>
          <w:lang w:val="uk-UA"/>
        </w:rPr>
      </w:pPr>
    </w:p>
    <w:p w14:paraId="01AB2371" w14:textId="741D84F8" w:rsidR="002C23AD" w:rsidRPr="002C23AD" w:rsidRDefault="002F0AB3" w:rsidP="00F058F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 о. </w:t>
      </w:r>
      <w:r w:rsidR="00F96C49">
        <w:rPr>
          <w:b/>
          <w:sz w:val="28"/>
          <w:szCs w:val="28"/>
          <w:lang w:val="uk-UA"/>
        </w:rPr>
        <w:t>Голов</w:t>
      </w:r>
      <w:r>
        <w:rPr>
          <w:b/>
          <w:sz w:val="28"/>
          <w:szCs w:val="28"/>
          <w:lang w:val="uk-UA"/>
        </w:rPr>
        <w:t>и</w:t>
      </w:r>
      <w:r w:rsidR="002C23AD" w:rsidRPr="002C23AD">
        <w:rPr>
          <w:b/>
          <w:sz w:val="28"/>
          <w:szCs w:val="28"/>
          <w:lang w:val="uk-UA"/>
        </w:rPr>
        <w:t xml:space="preserve"> Державної митної</w:t>
      </w:r>
    </w:p>
    <w:p w14:paraId="55B66584" w14:textId="5CC3C678" w:rsidR="002C23AD" w:rsidRDefault="002C23AD" w:rsidP="00F058F8">
      <w:pPr>
        <w:jc w:val="both"/>
        <w:rPr>
          <w:b/>
          <w:sz w:val="28"/>
          <w:szCs w:val="28"/>
          <w:lang w:val="uk-UA"/>
        </w:rPr>
      </w:pPr>
      <w:r w:rsidRPr="002C23AD">
        <w:rPr>
          <w:b/>
          <w:sz w:val="28"/>
          <w:szCs w:val="28"/>
          <w:lang w:val="uk-UA"/>
        </w:rPr>
        <w:t xml:space="preserve">служби </w:t>
      </w:r>
      <w:r w:rsidR="00F058F8" w:rsidRPr="002C23AD">
        <w:rPr>
          <w:b/>
          <w:sz w:val="28"/>
          <w:szCs w:val="28"/>
          <w:lang w:val="uk-UA"/>
        </w:rPr>
        <w:t xml:space="preserve">України                            </w:t>
      </w:r>
      <w:r w:rsidR="0038053C" w:rsidRPr="002C23AD">
        <w:rPr>
          <w:b/>
          <w:sz w:val="28"/>
          <w:szCs w:val="28"/>
          <w:lang w:val="uk-UA"/>
        </w:rPr>
        <w:t xml:space="preserve">    </w:t>
      </w:r>
      <w:r w:rsidR="00F058F8" w:rsidRPr="002C23AD">
        <w:rPr>
          <w:b/>
          <w:sz w:val="28"/>
          <w:szCs w:val="28"/>
          <w:lang w:val="uk-UA"/>
        </w:rPr>
        <w:t xml:space="preserve">        </w:t>
      </w:r>
      <w:r w:rsidRPr="002C23AD">
        <w:rPr>
          <w:b/>
          <w:sz w:val="28"/>
          <w:szCs w:val="28"/>
          <w:lang w:val="uk-UA"/>
        </w:rPr>
        <w:t xml:space="preserve">                            </w:t>
      </w:r>
      <w:r w:rsidR="002F0AB3">
        <w:rPr>
          <w:b/>
          <w:sz w:val="28"/>
          <w:szCs w:val="28"/>
          <w:lang w:val="uk-UA"/>
        </w:rPr>
        <w:t xml:space="preserve">      </w:t>
      </w:r>
      <w:proofErr w:type="spellStart"/>
      <w:r w:rsidR="002F0AB3">
        <w:rPr>
          <w:b/>
          <w:sz w:val="28"/>
          <w:szCs w:val="28"/>
          <w:lang w:val="uk-UA"/>
        </w:rPr>
        <w:t>Вячеслав</w:t>
      </w:r>
      <w:proofErr w:type="spellEnd"/>
      <w:r w:rsidR="002F0AB3">
        <w:rPr>
          <w:b/>
          <w:sz w:val="28"/>
          <w:szCs w:val="28"/>
          <w:lang w:val="uk-UA"/>
        </w:rPr>
        <w:t xml:space="preserve"> ДЕМЧЕНКО</w:t>
      </w:r>
    </w:p>
    <w:p w14:paraId="20AE8DA1" w14:textId="77777777" w:rsidR="00341CE4" w:rsidRDefault="00341CE4" w:rsidP="00341CE4">
      <w:pPr>
        <w:jc w:val="both"/>
        <w:rPr>
          <w:b/>
          <w:sz w:val="27"/>
          <w:szCs w:val="27"/>
          <w:lang w:val="uk-UA"/>
        </w:rPr>
      </w:pPr>
    </w:p>
    <w:p w14:paraId="071E18B7" w14:textId="3642647B" w:rsidR="00F058F8" w:rsidRPr="002C23AD" w:rsidRDefault="00F058F8" w:rsidP="00341CE4">
      <w:pPr>
        <w:jc w:val="both"/>
        <w:rPr>
          <w:sz w:val="20"/>
          <w:szCs w:val="20"/>
          <w:lang w:val="uk-UA"/>
        </w:rPr>
      </w:pPr>
      <w:r w:rsidRPr="009F2FB9">
        <w:rPr>
          <w:b/>
          <w:sz w:val="27"/>
          <w:szCs w:val="27"/>
          <w:lang w:val="uk-UA"/>
        </w:rPr>
        <w:t>___  _____________</w:t>
      </w:r>
      <w:r w:rsidRPr="009F2FB9">
        <w:rPr>
          <w:sz w:val="27"/>
          <w:szCs w:val="27"/>
          <w:lang w:val="uk-UA"/>
        </w:rPr>
        <w:t xml:space="preserve"> 202</w:t>
      </w:r>
      <w:r w:rsidR="009B2E48">
        <w:rPr>
          <w:sz w:val="27"/>
          <w:szCs w:val="27"/>
          <w:lang w:val="uk-UA"/>
        </w:rPr>
        <w:t>2</w:t>
      </w:r>
      <w:r w:rsidRPr="009F2FB9">
        <w:rPr>
          <w:sz w:val="27"/>
          <w:szCs w:val="27"/>
          <w:lang w:val="uk-UA"/>
        </w:rPr>
        <w:t xml:space="preserve"> р.</w:t>
      </w:r>
      <w:r w:rsidRPr="009F2FB9">
        <w:rPr>
          <w:b/>
          <w:sz w:val="28"/>
          <w:szCs w:val="28"/>
          <w:lang w:val="uk-UA"/>
        </w:rPr>
        <w:t xml:space="preserve">                                    </w:t>
      </w:r>
    </w:p>
    <w:sectPr w:rsidR="00F058F8" w:rsidRPr="002C23AD" w:rsidSect="00FC4206">
      <w:headerReference w:type="default" r:id="rId8"/>
      <w:pgSz w:w="11906" w:h="16838"/>
      <w:pgMar w:top="1135" w:right="566" w:bottom="1276" w:left="1701" w:header="28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AE53" w14:textId="77777777" w:rsidR="002271F1" w:rsidRDefault="002271F1">
      <w:r>
        <w:separator/>
      </w:r>
    </w:p>
  </w:endnote>
  <w:endnote w:type="continuationSeparator" w:id="0">
    <w:p w14:paraId="7C10AAB5" w14:textId="77777777" w:rsidR="002271F1" w:rsidRDefault="0022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2BC29" w14:textId="77777777" w:rsidR="002271F1" w:rsidRDefault="002271F1">
      <w:r>
        <w:separator/>
      </w:r>
    </w:p>
  </w:footnote>
  <w:footnote w:type="continuationSeparator" w:id="0">
    <w:p w14:paraId="4A6A1F14" w14:textId="77777777" w:rsidR="002271F1" w:rsidRDefault="0022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1387"/>
      <w:docPartObj>
        <w:docPartGallery w:val="Page Numbers (Top of Page)"/>
        <w:docPartUnique/>
      </w:docPartObj>
    </w:sdtPr>
    <w:sdtEndPr/>
    <w:sdtContent>
      <w:p w14:paraId="32CF33A1" w14:textId="3E2AC7C5" w:rsidR="00560210" w:rsidRDefault="0056021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666">
          <w:rPr>
            <w:noProof/>
          </w:rPr>
          <w:t>9</w:t>
        </w:r>
        <w:r>
          <w:fldChar w:fldCharType="end"/>
        </w:r>
      </w:p>
    </w:sdtContent>
  </w:sdt>
  <w:p w14:paraId="51FC7C3B" w14:textId="77777777" w:rsidR="00560210" w:rsidRDefault="005602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095B"/>
    <w:multiLevelType w:val="hybridMultilevel"/>
    <w:tmpl w:val="252A2A0A"/>
    <w:lvl w:ilvl="0" w:tplc="2FEA72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C67B8"/>
    <w:multiLevelType w:val="hybridMultilevel"/>
    <w:tmpl w:val="C928923A"/>
    <w:lvl w:ilvl="0" w:tplc="6B204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4651F1"/>
    <w:multiLevelType w:val="hybridMultilevel"/>
    <w:tmpl w:val="D8745784"/>
    <w:lvl w:ilvl="0" w:tplc="CDD03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5B30DD1"/>
    <w:multiLevelType w:val="hybridMultilevel"/>
    <w:tmpl w:val="7438FE5C"/>
    <w:lvl w:ilvl="0" w:tplc="901C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5D5284"/>
    <w:multiLevelType w:val="hybridMultilevel"/>
    <w:tmpl w:val="CAD62A9E"/>
    <w:lvl w:ilvl="0" w:tplc="65B06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692288"/>
    <w:multiLevelType w:val="hybridMultilevel"/>
    <w:tmpl w:val="29F05A4A"/>
    <w:lvl w:ilvl="0" w:tplc="42E4AF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47B0313"/>
    <w:multiLevelType w:val="hybridMultilevel"/>
    <w:tmpl w:val="452E4BBE"/>
    <w:lvl w:ilvl="0" w:tplc="5C26AFE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F4A4C33"/>
    <w:multiLevelType w:val="hybridMultilevel"/>
    <w:tmpl w:val="A9D84D86"/>
    <w:lvl w:ilvl="0" w:tplc="CD885C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9377F9C"/>
    <w:multiLevelType w:val="hybridMultilevel"/>
    <w:tmpl w:val="8FAA000C"/>
    <w:lvl w:ilvl="0" w:tplc="FDD4661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38"/>
    <w:rsid w:val="0000283C"/>
    <w:rsid w:val="00023B7F"/>
    <w:rsid w:val="0002762C"/>
    <w:rsid w:val="0003032F"/>
    <w:rsid w:val="00032A04"/>
    <w:rsid w:val="000464BD"/>
    <w:rsid w:val="0005639A"/>
    <w:rsid w:val="000579FE"/>
    <w:rsid w:val="0006600A"/>
    <w:rsid w:val="00070635"/>
    <w:rsid w:val="00071A2F"/>
    <w:rsid w:val="0009227F"/>
    <w:rsid w:val="000924B2"/>
    <w:rsid w:val="000C2FA0"/>
    <w:rsid w:val="000C6717"/>
    <w:rsid w:val="000D459B"/>
    <w:rsid w:val="000E17D9"/>
    <w:rsid w:val="000E2524"/>
    <w:rsid w:val="000F19F4"/>
    <w:rsid w:val="000F626C"/>
    <w:rsid w:val="00100A77"/>
    <w:rsid w:val="00100C24"/>
    <w:rsid w:val="001611DD"/>
    <w:rsid w:val="00162152"/>
    <w:rsid w:val="00164730"/>
    <w:rsid w:val="00166597"/>
    <w:rsid w:val="0017069D"/>
    <w:rsid w:val="00171631"/>
    <w:rsid w:val="00171C4E"/>
    <w:rsid w:val="00182C6D"/>
    <w:rsid w:val="00184687"/>
    <w:rsid w:val="00185503"/>
    <w:rsid w:val="001858F8"/>
    <w:rsid w:val="00185D3F"/>
    <w:rsid w:val="00195233"/>
    <w:rsid w:val="0019576D"/>
    <w:rsid w:val="001A1828"/>
    <w:rsid w:val="001A5749"/>
    <w:rsid w:val="001A6333"/>
    <w:rsid w:val="001D7D08"/>
    <w:rsid w:val="001E279F"/>
    <w:rsid w:val="001E2C6D"/>
    <w:rsid w:val="001F60F0"/>
    <w:rsid w:val="002152EF"/>
    <w:rsid w:val="002271F1"/>
    <w:rsid w:val="002311BD"/>
    <w:rsid w:val="00255B8A"/>
    <w:rsid w:val="00261609"/>
    <w:rsid w:val="002727EE"/>
    <w:rsid w:val="00277C0C"/>
    <w:rsid w:val="002841E0"/>
    <w:rsid w:val="0029452F"/>
    <w:rsid w:val="002C1F6E"/>
    <w:rsid w:val="002C23AD"/>
    <w:rsid w:val="002C4A79"/>
    <w:rsid w:val="002C4AFB"/>
    <w:rsid w:val="002D7274"/>
    <w:rsid w:val="002E2081"/>
    <w:rsid w:val="002E317D"/>
    <w:rsid w:val="002E40B9"/>
    <w:rsid w:val="002F0AB3"/>
    <w:rsid w:val="002F399D"/>
    <w:rsid w:val="00302B6D"/>
    <w:rsid w:val="00307826"/>
    <w:rsid w:val="0031005A"/>
    <w:rsid w:val="00317ADF"/>
    <w:rsid w:val="00323674"/>
    <w:rsid w:val="00331474"/>
    <w:rsid w:val="003403EB"/>
    <w:rsid w:val="00341CE4"/>
    <w:rsid w:val="0036088B"/>
    <w:rsid w:val="003646F8"/>
    <w:rsid w:val="0038053C"/>
    <w:rsid w:val="00380542"/>
    <w:rsid w:val="00380EBA"/>
    <w:rsid w:val="003938CB"/>
    <w:rsid w:val="0039624A"/>
    <w:rsid w:val="003A0B73"/>
    <w:rsid w:val="003A516F"/>
    <w:rsid w:val="003A76C6"/>
    <w:rsid w:val="003B742C"/>
    <w:rsid w:val="003C1E97"/>
    <w:rsid w:val="003C5037"/>
    <w:rsid w:val="003D5F1D"/>
    <w:rsid w:val="00400E32"/>
    <w:rsid w:val="00403B59"/>
    <w:rsid w:val="004063BE"/>
    <w:rsid w:val="004107ED"/>
    <w:rsid w:val="00432EF0"/>
    <w:rsid w:val="004374B9"/>
    <w:rsid w:val="004A019C"/>
    <w:rsid w:val="004A3107"/>
    <w:rsid w:val="004A6257"/>
    <w:rsid w:val="004A775F"/>
    <w:rsid w:val="004A7DBC"/>
    <w:rsid w:val="004C0F37"/>
    <w:rsid w:val="004F7D99"/>
    <w:rsid w:val="00507330"/>
    <w:rsid w:val="00525FB1"/>
    <w:rsid w:val="005343D6"/>
    <w:rsid w:val="005427D9"/>
    <w:rsid w:val="00560210"/>
    <w:rsid w:val="005635C4"/>
    <w:rsid w:val="00563604"/>
    <w:rsid w:val="0058541A"/>
    <w:rsid w:val="00591584"/>
    <w:rsid w:val="00591A18"/>
    <w:rsid w:val="005B7939"/>
    <w:rsid w:val="005C6BE0"/>
    <w:rsid w:val="005C7ED8"/>
    <w:rsid w:val="005D491A"/>
    <w:rsid w:val="005E3329"/>
    <w:rsid w:val="005E41D7"/>
    <w:rsid w:val="005F69DB"/>
    <w:rsid w:val="00601E86"/>
    <w:rsid w:val="006029C9"/>
    <w:rsid w:val="00604426"/>
    <w:rsid w:val="00612680"/>
    <w:rsid w:val="00616E74"/>
    <w:rsid w:val="00631A79"/>
    <w:rsid w:val="00633467"/>
    <w:rsid w:val="00644664"/>
    <w:rsid w:val="00674EC9"/>
    <w:rsid w:val="00681B2B"/>
    <w:rsid w:val="006B5834"/>
    <w:rsid w:val="006B7D4D"/>
    <w:rsid w:val="006C1833"/>
    <w:rsid w:val="006C4CAD"/>
    <w:rsid w:val="006C7A80"/>
    <w:rsid w:val="006D4973"/>
    <w:rsid w:val="006F2B47"/>
    <w:rsid w:val="007040C0"/>
    <w:rsid w:val="00707417"/>
    <w:rsid w:val="00732178"/>
    <w:rsid w:val="00750D5B"/>
    <w:rsid w:val="00762BFC"/>
    <w:rsid w:val="00766302"/>
    <w:rsid w:val="00767AAE"/>
    <w:rsid w:val="00774BEF"/>
    <w:rsid w:val="007962F6"/>
    <w:rsid w:val="007A39DF"/>
    <w:rsid w:val="007B3666"/>
    <w:rsid w:val="007B78C8"/>
    <w:rsid w:val="007F2D59"/>
    <w:rsid w:val="007F5444"/>
    <w:rsid w:val="007F5731"/>
    <w:rsid w:val="00832D56"/>
    <w:rsid w:val="0083369F"/>
    <w:rsid w:val="008468A0"/>
    <w:rsid w:val="00852007"/>
    <w:rsid w:val="00853EC7"/>
    <w:rsid w:val="00860821"/>
    <w:rsid w:val="00880043"/>
    <w:rsid w:val="00884E1D"/>
    <w:rsid w:val="00885E8F"/>
    <w:rsid w:val="00885F6B"/>
    <w:rsid w:val="00886C0B"/>
    <w:rsid w:val="00891048"/>
    <w:rsid w:val="00897EAE"/>
    <w:rsid w:val="008A28CB"/>
    <w:rsid w:val="008A3A3D"/>
    <w:rsid w:val="008A65EB"/>
    <w:rsid w:val="008C7784"/>
    <w:rsid w:val="008D4896"/>
    <w:rsid w:val="00907935"/>
    <w:rsid w:val="00917F7E"/>
    <w:rsid w:val="00924752"/>
    <w:rsid w:val="009251FE"/>
    <w:rsid w:val="00925EF8"/>
    <w:rsid w:val="00935E37"/>
    <w:rsid w:val="0094182E"/>
    <w:rsid w:val="009477F7"/>
    <w:rsid w:val="009504F0"/>
    <w:rsid w:val="0095242B"/>
    <w:rsid w:val="00954D8D"/>
    <w:rsid w:val="00960AC8"/>
    <w:rsid w:val="00961983"/>
    <w:rsid w:val="009820DB"/>
    <w:rsid w:val="00985F3C"/>
    <w:rsid w:val="00992880"/>
    <w:rsid w:val="00996449"/>
    <w:rsid w:val="009A163F"/>
    <w:rsid w:val="009A4B38"/>
    <w:rsid w:val="009B1E42"/>
    <w:rsid w:val="009B27AB"/>
    <w:rsid w:val="009B2E48"/>
    <w:rsid w:val="009C6BBF"/>
    <w:rsid w:val="009D2C9A"/>
    <w:rsid w:val="009F0493"/>
    <w:rsid w:val="009F2FB9"/>
    <w:rsid w:val="00A01461"/>
    <w:rsid w:val="00A044B4"/>
    <w:rsid w:val="00A22423"/>
    <w:rsid w:val="00A26FB4"/>
    <w:rsid w:val="00A40E2A"/>
    <w:rsid w:val="00A55E8C"/>
    <w:rsid w:val="00A62DD3"/>
    <w:rsid w:val="00A7006E"/>
    <w:rsid w:val="00A75F41"/>
    <w:rsid w:val="00A77B71"/>
    <w:rsid w:val="00A811A4"/>
    <w:rsid w:val="00A841D4"/>
    <w:rsid w:val="00A91D31"/>
    <w:rsid w:val="00A93341"/>
    <w:rsid w:val="00A95296"/>
    <w:rsid w:val="00A9602D"/>
    <w:rsid w:val="00AA18E7"/>
    <w:rsid w:val="00AB54BB"/>
    <w:rsid w:val="00AB5A19"/>
    <w:rsid w:val="00AC30E8"/>
    <w:rsid w:val="00AC4379"/>
    <w:rsid w:val="00AC7A3D"/>
    <w:rsid w:val="00AE0D9A"/>
    <w:rsid w:val="00AE4D58"/>
    <w:rsid w:val="00AE765B"/>
    <w:rsid w:val="00AF3415"/>
    <w:rsid w:val="00B000F0"/>
    <w:rsid w:val="00B05282"/>
    <w:rsid w:val="00B059C8"/>
    <w:rsid w:val="00B07E4B"/>
    <w:rsid w:val="00B144C9"/>
    <w:rsid w:val="00B203C4"/>
    <w:rsid w:val="00B2226A"/>
    <w:rsid w:val="00B2365E"/>
    <w:rsid w:val="00B25A68"/>
    <w:rsid w:val="00B25A89"/>
    <w:rsid w:val="00B27964"/>
    <w:rsid w:val="00B504C6"/>
    <w:rsid w:val="00B507D3"/>
    <w:rsid w:val="00B73D5F"/>
    <w:rsid w:val="00B85763"/>
    <w:rsid w:val="00B85EC8"/>
    <w:rsid w:val="00B93995"/>
    <w:rsid w:val="00B93C1E"/>
    <w:rsid w:val="00BA7240"/>
    <w:rsid w:val="00BB02D4"/>
    <w:rsid w:val="00BB2D47"/>
    <w:rsid w:val="00BB6637"/>
    <w:rsid w:val="00BC2D1A"/>
    <w:rsid w:val="00BC7168"/>
    <w:rsid w:val="00BD06EF"/>
    <w:rsid w:val="00BD441C"/>
    <w:rsid w:val="00BD6ECE"/>
    <w:rsid w:val="00BF3A1F"/>
    <w:rsid w:val="00BF75A6"/>
    <w:rsid w:val="00C16CE3"/>
    <w:rsid w:val="00C20D12"/>
    <w:rsid w:val="00C22CF6"/>
    <w:rsid w:val="00C23DA5"/>
    <w:rsid w:val="00C25BB3"/>
    <w:rsid w:val="00C3187E"/>
    <w:rsid w:val="00C33F6F"/>
    <w:rsid w:val="00C3504A"/>
    <w:rsid w:val="00C4195E"/>
    <w:rsid w:val="00C626EA"/>
    <w:rsid w:val="00C81479"/>
    <w:rsid w:val="00C86D46"/>
    <w:rsid w:val="00CA0555"/>
    <w:rsid w:val="00CA11CC"/>
    <w:rsid w:val="00CB2D54"/>
    <w:rsid w:val="00CB7862"/>
    <w:rsid w:val="00CC734B"/>
    <w:rsid w:val="00CD5785"/>
    <w:rsid w:val="00CD6D9E"/>
    <w:rsid w:val="00CD79E8"/>
    <w:rsid w:val="00CE0BC9"/>
    <w:rsid w:val="00CF2BA8"/>
    <w:rsid w:val="00CF48F7"/>
    <w:rsid w:val="00D04307"/>
    <w:rsid w:val="00D04F73"/>
    <w:rsid w:val="00D06AAF"/>
    <w:rsid w:val="00D06B27"/>
    <w:rsid w:val="00D103AA"/>
    <w:rsid w:val="00D12631"/>
    <w:rsid w:val="00D21194"/>
    <w:rsid w:val="00D23E68"/>
    <w:rsid w:val="00D33F6E"/>
    <w:rsid w:val="00D35563"/>
    <w:rsid w:val="00D40C12"/>
    <w:rsid w:val="00D43F84"/>
    <w:rsid w:val="00D701C6"/>
    <w:rsid w:val="00D7787F"/>
    <w:rsid w:val="00D86B37"/>
    <w:rsid w:val="00D944D0"/>
    <w:rsid w:val="00DB3855"/>
    <w:rsid w:val="00DC523F"/>
    <w:rsid w:val="00DD1C6F"/>
    <w:rsid w:val="00DD612D"/>
    <w:rsid w:val="00DF5ED9"/>
    <w:rsid w:val="00DF6A15"/>
    <w:rsid w:val="00E03C0A"/>
    <w:rsid w:val="00E040C4"/>
    <w:rsid w:val="00E06B41"/>
    <w:rsid w:val="00E10018"/>
    <w:rsid w:val="00E226A3"/>
    <w:rsid w:val="00E27828"/>
    <w:rsid w:val="00E30958"/>
    <w:rsid w:val="00E32B0C"/>
    <w:rsid w:val="00E42C8E"/>
    <w:rsid w:val="00E44F57"/>
    <w:rsid w:val="00E507CC"/>
    <w:rsid w:val="00E5648A"/>
    <w:rsid w:val="00E756AB"/>
    <w:rsid w:val="00E76D1A"/>
    <w:rsid w:val="00E813C5"/>
    <w:rsid w:val="00E81E84"/>
    <w:rsid w:val="00E85E0A"/>
    <w:rsid w:val="00E86F39"/>
    <w:rsid w:val="00E95870"/>
    <w:rsid w:val="00E95E7D"/>
    <w:rsid w:val="00EA121C"/>
    <w:rsid w:val="00EA5690"/>
    <w:rsid w:val="00EB2B2C"/>
    <w:rsid w:val="00EC76A9"/>
    <w:rsid w:val="00EE3DCC"/>
    <w:rsid w:val="00EE5083"/>
    <w:rsid w:val="00F01018"/>
    <w:rsid w:val="00F058F8"/>
    <w:rsid w:val="00F11021"/>
    <w:rsid w:val="00F217F7"/>
    <w:rsid w:val="00F3250A"/>
    <w:rsid w:val="00F32A53"/>
    <w:rsid w:val="00F42442"/>
    <w:rsid w:val="00F45E35"/>
    <w:rsid w:val="00F51D0E"/>
    <w:rsid w:val="00F7217B"/>
    <w:rsid w:val="00F8591F"/>
    <w:rsid w:val="00F9310C"/>
    <w:rsid w:val="00F954B5"/>
    <w:rsid w:val="00F96C49"/>
    <w:rsid w:val="00F9738A"/>
    <w:rsid w:val="00FA1D73"/>
    <w:rsid w:val="00FB0FA7"/>
    <w:rsid w:val="00FC1FA2"/>
    <w:rsid w:val="00FC4206"/>
    <w:rsid w:val="00FC56A3"/>
    <w:rsid w:val="00FE7B3D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7B30"/>
  <w15:docId w15:val="{C8D1F4C2-6801-417C-90D0-6EA7597C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9A4B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B3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rsid w:val="009A4B38"/>
    <w:pPr>
      <w:spacing w:before="100" w:beforeAutospacing="1" w:after="100" w:afterAutospacing="1"/>
    </w:p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A4B3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Default">
    <w:name w:val="Default"/>
    <w:rsid w:val="009A4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9A4B3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9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4B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46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8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9">
    <w:name w:val="Основной текст (9)_"/>
    <w:basedOn w:val="a0"/>
    <w:link w:val="90"/>
    <w:rsid w:val="00B2365E"/>
    <w:rPr>
      <w:rFonts w:ascii="Times New Roman" w:eastAsia="Times New Roman" w:hAnsi="Times New Roman" w:cs="Times New Roman"/>
      <w:spacing w:val="-6"/>
      <w:sz w:val="26"/>
      <w:szCs w:val="26"/>
    </w:rPr>
  </w:style>
  <w:style w:type="paragraph" w:customStyle="1" w:styleId="90">
    <w:name w:val="Основной текст (9)"/>
    <w:basedOn w:val="a"/>
    <w:link w:val="9"/>
    <w:rsid w:val="00B2365E"/>
    <w:pPr>
      <w:widowControl w:val="0"/>
      <w:spacing w:before="300" w:after="420" w:line="0" w:lineRule="atLeast"/>
      <w:jc w:val="center"/>
    </w:pPr>
    <w:rPr>
      <w:spacing w:val="-6"/>
      <w:sz w:val="26"/>
      <w:szCs w:val="26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17069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069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0DAF-C968-44D2-A43A-910A558A9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11881</TotalTime>
  <Pages>9</Pages>
  <Words>10598</Words>
  <Characters>6042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ОНИЩЕНКО РИММА ОЛЕКСАНДРІВНА</dc:creator>
  <cp:lastModifiedBy>HP Inc.</cp:lastModifiedBy>
  <cp:revision>29</cp:revision>
  <cp:lastPrinted>2022-01-19T09:02:00Z</cp:lastPrinted>
  <dcterms:created xsi:type="dcterms:W3CDTF">2021-10-19T14:11:00Z</dcterms:created>
  <dcterms:modified xsi:type="dcterms:W3CDTF">2022-01-19T09:06:00Z</dcterms:modified>
</cp:coreProperties>
</file>