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22" w:rsidRPr="00004B5D" w:rsidRDefault="001A5730" w:rsidP="00F85B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04B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="00480BCC" w:rsidRPr="00004B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НАЛІЗ РЕГУЛЯТОРНОГО ВПЛИВУ</w:t>
      </w:r>
    </w:p>
    <w:p w:rsidR="00F40E3A" w:rsidRPr="00004B5D" w:rsidRDefault="00FD1E1D" w:rsidP="00F40E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до про</w:t>
      </w:r>
      <w:r w:rsidR="004320DA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е</w:t>
      </w: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кту наказу</w:t>
      </w:r>
      <w:r w:rsidR="007D33EF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F40E3A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Міністерства фінансів України </w:t>
      </w:r>
    </w:p>
    <w:p w:rsidR="00F40E3A" w:rsidRPr="00004B5D" w:rsidRDefault="004370CE" w:rsidP="00F40E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«Про затвердження </w:t>
      </w:r>
      <w:r w:rsidR="005827FF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т</w:t>
      </w: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ипової форми, за якою здійснюється облік доходів і витрат фізичними особами</w:t>
      </w:r>
      <w:r w:rsidR="00931D49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– </w:t>
      </w: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підприємцями</w:t>
      </w:r>
      <w:r w:rsidR="00F618B0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і фізичними особами, які провадять незалежну професійну діяльність</w:t>
      </w:r>
      <w:r w:rsidR="00EE45B8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,</w:t>
      </w: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та Поряд</w:t>
      </w:r>
      <w:r w:rsidR="00F618B0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ку</w:t>
      </w:r>
      <w:r w:rsidR="00EE45B8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,</w:t>
      </w: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5827FF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її</w:t>
      </w:r>
      <w:r w:rsidR="0028320D"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ведення</w:t>
      </w: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»</w:t>
      </w:r>
    </w:p>
    <w:p w:rsidR="0084206C" w:rsidRPr="00004B5D" w:rsidRDefault="0084206C" w:rsidP="00F85BC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968D8" w:rsidRPr="00004B5D" w:rsidRDefault="002968D8" w:rsidP="00443FB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b/>
          <w:color w:val="000000" w:themeColor="text1"/>
          <w:sz w:val="28"/>
          <w:szCs w:val="28"/>
        </w:rPr>
        <w:t>І. Визначення проблеми</w:t>
      </w:r>
    </w:p>
    <w:p w:rsidR="00070DA5" w:rsidRPr="00004B5D" w:rsidRDefault="00070DA5" w:rsidP="00443FB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714C0" w:rsidRPr="00004B5D" w:rsidRDefault="00070DA5" w:rsidP="00443FB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</w:t>
      </w:r>
      <w:r w:rsidR="00E90E86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вимог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пункту 177.10 статті 177 та пункту 178.6 статті 178 розділу ІV Податкового кодексу України (далі – Кодекс) фізичні особи – підприємці</w:t>
      </w:r>
      <w:r w:rsidR="00F618B0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та фізичні особи, які провадять незалежну професійну діяльність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зобов’язані вести облік доходів і витрат від такої діяльності. </w:t>
      </w:r>
    </w:p>
    <w:p w:rsidR="00070DA5" w:rsidRPr="00004B5D" w:rsidRDefault="00070DA5" w:rsidP="00443FB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>На сьогодні фізичні особи – підприємці та фізичні особи, які провадять незалежну професійну діяльність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для ведення обліку доходів і витрат використовують Книг</w:t>
      </w:r>
      <w:r w:rsidR="00BE5454" w:rsidRPr="00004B5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обліку доходів і витрат, яку ведуть фізичні особи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підприємці</w:t>
      </w:r>
      <w:r w:rsidR="00F618B0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і фізичні особи, які провадять незалежну професійну діяльність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(далі – Книга)</w:t>
      </w:r>
      <w:r w:rsidR="00BE5454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. Форма Книги та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Порядок її ведення затверджені наказом Міністерства доходів і зборів України від 16.09.2013 № 481 (далі – наказ № 481) та зареєстрован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в Міністерстві юстиції України 01.10.2013 за №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1686/24218.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4C0" w:rsidRPr="00004B5D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ведення Книги у паперовому вигляді фізичні особи </w:t>
      </w:r>
      <w:r w:rsidR="002A022C" w:rsidRPr="00004B5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підприємці подають до контролюючого органу за місцем </w:t>
      </w:r>
      <w:r w:rsidR="008F2E2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свого 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обліку </w:t>
      </w:r>
      <w:r w:rsidR="00755A0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прошнурований 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>примірник Книги для її реєстрації.</w:t>
      </w:r>
    </w:p>
    <w:p w:rsidR="00B57F86" w:rsidRPr="00004B5D" w:rsidRDefault="00FD7252" w:rsidP="00443FB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>Законом України від 14 липня 2020 року № 786-IX «Про внесення змін до Податкового кодексу України щодо функціонування електронного кабінету та спрощення роботи фізичних осіб підприємців» (далі – Закон № 786) внесені зміни до Кодексу в частині ведення обліку доходів і витрат фізични</w:t>
      </w:r>
      <w:r w:rsidR="000037A9" w:rsidRPr="00004B5D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ос</w:t>
      </w:r>
      <w:r w:rsidR="000037A9" w:rsidRPr="00004B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0037A9" w:rsidRPr="00004B5D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підприємц</w:t>
      </w:r>
      <w:r w:rsidR="000037A9" w:rsidRPr="00004B5D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450FD0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4C0" w:rsidRPr="00004B5D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фізичн</w:t>
      </w:r>
      <w:r w:rsidR="008714C0" w:rsidRPr="00004B5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037A9" w:rsidRPr="00004B5D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ос</w:t>
      </w:r>
      <w:r w:rsidR="000037A9" w:rsidRPr="00004B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0037A9" w:rsidRPr="00004B5D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, які провадять незалежну професійну діяльність</w:t>
      </w:r>
      <w:r w:rsidR="000037A9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50FD0" w:rsidRPr="00004B5D" w:rsidRDefault="000037A9" w:rsidP="00443FB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Зокрема, 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>передбачено, що з 01.01.</w:t>
      </w:r>
      <w:r w:rsidR="00954BAB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2021 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>фізичні особи</w:t>
      </w:r>
      <w:r w:rsidR="00031D11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31D11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>підприємці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>і фізичні особи, які провадять незалежну професійну діяльність</w:t>
      </w:r>
      <w:r w:rsidR="00B57F86" w:rsidRPr="00004B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зобов’язані вести облік доходів і витрат за </w:t>
      </w:r>
      <w:r w:rsidR="005827FF" w:rsidRPr="00004B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D7252" w:rsidRPr="00004B5D">
        <w:rPr>
          <w:rFonts w:ascii="Times New Roman" w:hAnsi="Times New Roman"/>
          <w:color w:val="000000" w:themeColor="text1"/>
          <w:sz w:val="28"/>
          <w:szCs w:val="28"/>
        </w:rPr>
        <w:t>иповою формою.</w:t>
      </w:r>
      <w:r w:rsidR="008714C0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3FD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Облік доходів і витрат може вестися в паперовому та/або електронному  вигляді, у тому числі через електронний кабінет. </w:t>
      </w:r>
    </w:p>
    <w:p w:rsidR="00FD7252" w:rsidRPr="00004B5D" w:rsidRDefault="00C03C70" w:rsidP="00443FB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Типова форма обліку та порядок </w:t>
      </w:r>
      <w:r w:rsidR="005827FF" w:rsidRPr="00004B5D">
        <w:rPr>
          <w:rFonts w:ascii="Times New Roman" w:hAnsi="Times New Roman"/>
          <w:color w:val="000000" w:themeColor="text1"/>
          <w:sz w:val="28"/>
          <w:szCs w:val="28"/>
        </w:rPr>
        <w:t>її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ведення визначаються центральним органом виконавчої влади, що забезпечує формування та реалізує державну фінансову політику. </w:t>
      </w:r>
    </w:p>
    <w:p w:rsidR="00C03C70" w:rsidRPr="00004B5D" w:rsidRDefault="00C03C70" w:rsidP="00443FB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Разом з тим норми щодо </w:t>
      </w:r>
      <w:r w:rsidR="00C5594F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ведення обліку доходів та витрат у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форм</w:t>
      </w:r>
      <w:r w:rsidR="00C5594F" w:rsidRPr="00004B5D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Книги, її порядку ведення Законом № 786 </w:t>
      </w:r>
      <w:r w:rsidR="00AA36BA" w:rsidRPr="00004B5D">
        <w:rPr>
          <w:rFonts w:ascii="Times New Roman" w:hAnsi="Times New Roman"/>
          <w:color w:val="000000" w:themeColor="text1"/>
          <w:sz w:val="28"/>
          <w:szCs w:val="28"/>
        </w:rPr>
        <w:t>виключено з Кодексу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3C70" w:rsidRPr="00004B5D" w:rsidRDefault="00C03C70" w:rsidP="00443FB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викладене, виникла необхідність розроблення </w:t>
      </w:r>
      <w:r w:rsidR="005827FF" w:rsidRPr="00004B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ипової форми обліку доходів і витрат та порядок </w:t>
      </w:r>
      <w:r w:rsidR="005827FF" w:rsidRPr="00004B5D">
        <w:rPr>
          <w:rFonts w:ascii="Times New Roman" w:hAnsi="Times New Roman"/>
          <w:color w:val="000000" w:themeColor="text1"/>
          <w:sz w:val="28"/>
          <w:szCs w:val="28"/>
        </w:rPr>
        <w:t>її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ведення.</w:t>
      </w:r>
    </w:p>
    <w:p w:rsidR="008F2E25" w:rsidRPr="00004B5D" w:rsidRDefault="00F964CA" w:rsidP="00450FD0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З метою приведення у відповідність нормативно-правової бази Міністерства фінансів України </w:t>
      </w:r>
      <w:r w:rsidR="004326AF" w:rsidRPr="00004B5D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6AF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Кодексу та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 w:rsidR="004326AF" w:rsidRPr="00004B5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№ 786 Міністерством фінансів України за участю Державної податкової служби України розроблений п</w:t>
      </w:r>
      <w:r w:rsidR="00A85658" w:rsidRPr="00004B5D">
        <w:rPr>
          <w:rFonts w:ascii="Times New Roman" w:hAnsi="Times New Roman"/>
          <w:color w:val="000000" w:themeColor="text1"/>
          <w:sz w:val="28"/>
          <w:szCs w:val="28"/>
        </w:rPr>
        <w:t>ро</w:t>
      </w:r>
      <w:r w:rsidR="00585708" w:rsidRPr="00004B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85658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кт наказу Міністерства фінансів України </w:t>
      </w:r>
      <w:r w:rsidR="00D87559" w:rsidRPr="00004B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70CE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Про затвердження </w:t>
      </w:r>
      <w:r w:rsidR="005827FF" w:rsidRPr="00004B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370CE" w:rsidRPr="00004B5D">
        <w:rPr>
          <w:rFonts w:ascii="Times New Roman" w:hAnsi="Times New Roman"/>
          <w:color w:val="000000" w:themeColor="text1"/>
          <w:sz w:val="28"/>
          <w:szCs w:val="28"/>
        </w:rPr>
        <w:t>ипової форми, за якою здійснюється облік доходів і витрат фізичними особами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4370CE" w:rsidRPr="00004B5D">
        <w:rPr>
          <w:rFonts w:ascii="Times New Roman" w:hAnsi="Times New Roman"/>
          <w:color w:val="000000" w:themeColor="text1"/>
          <w:sz w:val="28"/>
          <w:szCs w:val="28"/>
        </w:rPr>
        <w:t>підприємцями</w:t>
      </w:r>
      <w:r w:rsidR="00F618B0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70CE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і фізичними особами, які провадять незалежну професійну діяльність та Порядок </w:t>
      </w:r>
      <w:r w:rsidR="005827FF" w:rsidRPr="00004B5D">
        <w:rPr>
          <w:rFonts w:ascii="Times New Roman" w:hAnsi="Times New Roman"/>
          <w:color w:val="000000" w:themeColor="text1"/>
          <w:sz w:val="28"/>
          <w:szCs w:val="28"/>
        </w:rPr>
        <w:t>її</w:t>
      </w:r>
      <w:r w:rsidR="004370CE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4482" w:rsidRPr="00004B5D">
        <w:rPr>
          <w:rFonts w:ascii="Times New Roman" w:hAnsi="Times New Roman"/>
          <w:color w:val="000000" w:themeColor="text1"/>
          <w:sz w:val="28"/>
          <w:szCs w:val="28"/>
        </w:rPr>
        <w:t>ведення</w:t>
      </w:r>
      <w:r w:rsidR="00D87559" w:rsidRPr="00004B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85658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(далі – про</w:t>
      </w:r>
      <w:r w:rsidR="00585708" w:rsidRPr="00004B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85658" w:rsidRPr="00004B5D">
        <w:rPr>
          <w:rFonts w:ascii="Times New Roman" w:hAnsi="Times New Roman"/>
          <w:color w:val="000000" w:themeColor="text1"/>
          <w:sz w:val="28"/>
          <w:szCs w:val="28"/>
        </w:rPr>
        <w:t>кт наказу)</w:t>
      </w:r>
      <w:r w:rsidR="00450FD0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F2E25" w:rsidRPr="00004B5D" w:rsidRDefault="008F2E25" w:rsidP="008F2E25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585708" w:rsidRPr="00004B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ктом наказу </w:t>
      </w:r>
      <w:r w:rsidR="00450FD0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пропонується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затверд</w:t>
      </w:r>
      <w:r w:rsidR="00450FD0" w:rsidRPr="00004B5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50FD0" w:rsidRPr="00004B5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C717E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ти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пов</w:t>
      </w:r>
      <w:r w:rsidR="00843863" w:rsidRPr="00004B5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форм</w:t>
      </w:r>
      <w:r w:rsidR="00843863" w:rsidRPr="00004B5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, за якою здійсню</w:t>
      </w:r>
      <w:r w:rsidR="00843863" w:rsidRPr="00004B5D">
        <w:rPr>
          <w:rFonts w:ascii="Times New Roman" w:hAnsi="Times New Roman"/>
          <w:color w:val="000000" w:themeColor="text1"/>
          <w:sz w:val="28"/>
          <w:szCs w:val="28"/>
        </w:rPr>
        <w:t>ватиметься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облік доходів і витрат, та порядок ведення такого обліку для відповідних категорій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самозайнятих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осіб. </w:t>
      </w:r>
    </w:p>
    <w:p w:rsidR="008F2E25" w:rsidRPr="00004B5D" w:rsidRDefault="008F2E25" w:rsidP="008F2E25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>Водночас про</w:t>
      </w:r>
      <w:r w:rsidR="00585708" w:rsidRPr="00004B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кт наказу передбачає визнання таким, що втратив чинність, наказ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№ 481.</w:t>
      </w:r>
    </w:p>
    <w:p w:rsidR="008F2E25" w:rsidRPr="00004B5D" w:rsidRDefault="008F2E25" w:rsidP="008F2E25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DC717E" w:rsidRPr="00004B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иповій формі враховано наявність обов’язкових відомостей, визначених у  статтях 177 та 178 Кодексу.</w:t>
      </w:r>
    </w:p>
    <w:p w:rsidR="008F2E25" w:rsidRPr="00004B5D" w:rsidRDefault="008F2E25" w:rsidP="008F2E25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>Крім того, у про</w:t>
      </w:r>
      <w:r w:rsidR="00585708" w:rsidRPr="00004B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кті наказу пропонується забезпечити реалізацію окремих положень Кодексу для фізичних осіб – підприємців 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A14496" w:rsidRPr="00004B5D">
        <w:rPr>
          <w:rFonts w:ascii="Times New Roman" w:hAnsi="Times New Roman"/>
          <w:color w:val="000000" w:themeColor="text1"/>
          <w:sz w:val="28"/>
          <w:szCs w:val="28"/>
        </w:rPr>
        <w:t>частині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включення до складу витрат амортизаційних відрахувань з веденням їх обліку та відображенням у </w:t>
      </w:r>
      <w:r w:rsidR="00DC717E" w:rsidRPr="00004B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иповій формі, що дасть 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змогу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платнику податку реалізувати свої законодавчі права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а контролюючим органам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покращити рівень адміністрування податків для вказаної категорії платників.</w:t>
      </w:r>
    </w:p>
    <w:p w:rsidR="00E678CC" w:rsidRPr="00004B5D" w:rsidRDefault="00E072D3" w:rsidP="00D141D7">
      <w:pPr>
        <w:pStyle w:val="ab"/>
        <w:widowControl w:val="0"/>
        <w:ind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Водночас </w:t>
      </w:r>
      <w:r w:rsidR="00F3184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норми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</w:t>
      </w:r>
      <w:r w:rsidR="00585708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кту наказу не передбача</w:t>
      </w:r>
      <w:r w:rsidR="00F3184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ють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будь-яких додаткових дій </w:t>
      </w:r>
      <w:r w:rsidR="004D79C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фізичних</w:t>
      </w:r>
      <w:r w:rsidR="00E7520A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</w:t>
      </w:r>
      <w:r w:rsidR="004D79C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E7520A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б – підприємці</w:t>
      </w:r>
      <w:r w:rsidR="004D79C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E7520A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фізичн</w:t>
      </w:r>
      <w:r w:rsidR="004D79C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их</w:t>
      </w:r>
      <w:r w:rsidR="00E7520A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</w:t>
      </w:r>
      <w:r w:rsidR="004D79C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E7520A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б, які провадять незалежну професійну діяльність</w:t>
      </w:r>
      <w:r w:rsidR="005D3D65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E7520A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D79C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використання</w:t>
      </w:r>
      <w:r w:rsidR="00A14496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C717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A14496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ипової форми</w:t>
      </w:r>
      <w:r w:rsidR="00260C40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, окрім виконання вимог Кодексу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A14496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275CC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Також</w:t>
      </w:r>
      <w:r w:rsidR="00A14496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A14496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разі прийняття рішення фізичною особою – підприємцем вести облік за </w:t>
      </w:r>
      <w:r w:rsidR="00DC717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A14496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иповою формою на паперових носіях </w:t>
      </w:r>
      <w:r w:rsidR="00A275CC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Кодексі відсутні вимоги щодо </w:t>
      </w:r>
      <w:r w:rsidR="00D3420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шнурування та </w:t>
      </w:r>
      <w:r w:rsidR="00A275CC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здійснення </w:t>
      </w:r>
      <w:r w:rsidR="00D3420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реєстраці</w:t>
      </w:r>
      <w:r w:rsidR="00A275CC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ї</w:t>
      </w:r>
      <w:r w:rsidR="00D3420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275CC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такої </w:t>
      </w:r>
      <w:r w:rsidR="00DC717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D3420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ипової форми в контролюючому орган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D3420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3C3B9D" w:rsidRPr="00004B5D" w:rsidRDefault="003C3B9D" w:rsidP="00D141D7">
      <w:pPr>
        <w:pStyle w:val="ab"/>
        <w:widowControl w:val="0"/>
        <w:ind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Положення про</w:t>
      </w:r>
      <w:r w:rsidR="00585708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кту наказу є сприятливими для платників податків, оскільки надають змогу повною мірою реалізувати норми Кодексу щодо забезпечення прав та обов’язків платників податків.</w:t>
      </w:r>
    </w:p>
    <w:p w:rsidR="00E7520A" w:rsidRPr="00004B5D" w:rsidRDefault="00E7520A" w:rsidP="00E7520A">
      <w:pPr>
        <w:pStyle w:val="ab"/>
        <w:widowControl w:val="0"/>
        <w:ind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Затвердження </w:t>
      </w:r>
      <w:r w:rsidR="00DC717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ипової форми для відповідних категорій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самозайнятих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осіб сприятиме недопущенню порушень норм податкового законодавства та створить умови для дотримання вимог платниками податків Кодексу без додаткових витрат матеріальних ресурсів та часу на його впровадження.</w:t>
      </w:r>
      <w:r w:rsidR="001A5730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E7520A" w:rsidRPr="00004B5D" w:rsidRDefault="00E7520A" w:rsidP="00E7520A">
      <w:pPr>
        <w:pStyle w:val="ab"/>
        <w:widowControl w:val="0"/>
        <w:ind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</w:t>
      </w:r>
      <w:r w:rsidR="00680310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кт наказу відповідає нормам Кодексу та іншого законодавства, контроль за дотриманням якого покладено на Мінфін та органи ДПС.</w:t>
      </w:r>
    </w:p>
    <w:p w:rsidR="00C22A2B" w:rsidRPr="00004B5D" w:rsidRDefault="00C22A2B" w:rsidP="00D141D7">
      <w:pPr>
        <w:pStyle w:val="ab"/>
        <w:widowControl w:val="0"/>
        <w:ind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Основні групи (підгрупи), на які проблема справляє вплив:</w:t>
      </w:r>
    </w:p>
    <w:p w:rsidR="00004B5D" w:rsidRPr="00004B5D" w:rsidRDefault="00004B5D" w:rsidP="00D141D7">
      <w:pPr>
        <w:pStyle w:val="ab"/>
        <w:widowControl w:val="0"/>
        <w:ind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312"/>
      </w:tblGrid>
      <w:tr w:rsidR="00004B5D" w:rsidRPr="00004B5D" w:rsidTr="00004B5D">
        <w:trPr>
          <w:cantSplit/>
          <w:trHeight w:val="479"/>
        </w:trPr>
        <w:tc>
          <w:tcPr>
            <w:tcW w:w="3107" w:type="dxa"/>
            <w:shd w:val="clear" w:color="auto" w:fill="auto"/>
            <w:vAlign w:val="center"/>
          </w:tcPr>
          <w:p w:rsidR="00C22A2B" w:rsidRPr="00004B5D" w:rsidRDefault="00C22A2B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Групи (підгрупи)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C22A2B" w:rsidRPr="00004B5D" w:rsidRDefault="00C22A2B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C22A2B" w:rsidRPr="00004B5D" w:rsidRDefault="00C22A2B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Ні</w:t>
            </w:r>
          </w:p>
        </w:tc>
      </w:tr>
      <w:tr w:rsidR="00004B5D" w:rsidRPr="00004B5D" w:rsidTr="00004B5D">
        <w:trPr>
          <w:cantSplit/>
          <w:trHeight w:val="415"/>
        </w:trPr>
        <w:tc>
          <w:tcPr>
            <w:tcW w:w="3107" w:type="dxa"/>
            <w:shd w:val="clear" w:color="auto" w:fill="auto"/>
          </w:tcPr>
          <w:p w:rsidR="00C22A2B" w:rsidRPr="00004B5D" w:rsidRDefault="00C22A2B" w:rsidP="00F85BC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Громадяни </w:t>
            </w:r>
          </w:p>
        </w:tc>
        <w:tc>
          <w:tcPr>
            <w:tcW w:w="3107" w:type="dxa"/>
            <w:shd w:val="clear" w:color="auto" w:fill="auto"/>
          </w:tcPr>
          <w:p w:rsidR="00C22A2B" w:rsidRPr="00004B5D" w:rsidRDefault="00C22A2B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312" w:type="dxa"/>
            <w:shd w:val="clear" w:color="auto" w:fill="auto"/>
          </w:tcPr>
          <w:p w:rsidR="00C22A2B" w:rsidRPr="00004B5D" w:rsidRDefault="004D79C7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004B5D" w:rsidRPr="00004B5D" w:rsidTr="00004B5D">
        <w:trPr>
          <w:cantSplit/>
          <w:trHeight w:val="421"/>
        </w:trPr>
        <w:tc>
          <w:tcPr>
            <w:tcW w:w="3107" w:type="dxa"/>
            <w:shd w:val="clear" w:color="auto" w:fill="auto"/>
          </w:tcPr>
          <w:p w:rsidR="00C22A2B" w:rsidRPr="00004B5D" w:rsidRDefault="00C22A2B" w:rsidP="00F85BC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Держава</w:t>
            </w:r>
          </w:p>
        </w:tc>
        <w:tc>
          <w:tcPr>
            <w:tcW w:w="3107" w:type="dxa"/>
            <w:shd w:val="clear" w:color="auto" w:fill="auto"/>
          </w:tcPr>
          <w:p w:rsidR="00C22A2B" w:rsidRPr="00004B5D" w:rsidRDefault="00351767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B"/>
            </w:r>
          </w:p>
        </w:tc>
        <w:tc>
          <w:tcPr>
            <w:tcW w:w="3312" w:type="dxa"/>
            <w:shd w:val="clear" w:color="auto" w:fill="auto"/>
          </w:tcPr>
          <w:p w:rsidR="00C22A2B" w:rsidRPr="00004B5D" w:rsidRDefault="00C22A2B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004B5D" w:rsidRPr="00004B5D" w:rsidTr="00004B5D">
        <w:trPr>
          <w:cantSplit/>
          <w:trHeight w:val="413"/>
        </w:trPr>
        <w:tc>
          <w:tcPr>
            <w:tcW w:w="3107" w:type="dxa"/>
            <w:shd w:val="clear" w:color="auto" w:fill="auto"/>
          </w:tcPr>
          <w:p w:rsidR="00C22A2B" w:rsidRPr="00004B5D" w:rsidRDefault="00C22A2B" w:rsidP="00F85BC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3107" w:type="dxa"/>
            <w:shd w:val="clear" w:color="auto" w:fill="auto"/>
          </w:tcPr>
          <w:p w:rsidR="00C22A2B" w:rsidRPr="00004B5D" w:rsidRDefault="00C22A2B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12" w:type="dxa"/>
            <w:shd w:val="clear" w:color="auto" w:fill="auto"/>
          </w:tcPr>
          <w:p w:rsidR="00C22A2B" w:rsidRPr="00004B5D" w:rsidRDefault="00DA7795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D"/>
            </w:r>
          </w:p>
        </w:tc>
      </w:tr>
      <w:tr w:rsidR="00004B5D" w:rsidRPr="00004B5D" w:rsidTr="00004B5D">
        <w:trPr>
          <w:cantSplit/>
          <w:trHeight w:val="562"/>
        </w:trPr>
        <w:tc>
          <w:tcPr>
            <w:tcW w:w="3107" w:type="dxa"/>
            <w:shd w:val="clear" w:color="auto" w:fill="auto"/>
          </w:tcPr>
          <w:p w:rsidR="00C22A2B" w:rsidRPr="00004B5D" w:rsidRDefault="00A44726" w:rsidP="00F85BCA">
            <w:pPr>
              <w:widowControl w:val="0"/>
              <w:spacing w:before="120"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C22A2B"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тому числі суб’єкти малого підприємництва</w:t>
            </w:r>
          </w:p>
        </w:tc>
        <w:tc>
          <w:tcPr>
            <w:tcW w:w="3107" w:type="dxa"/>
            <w:shd w:val="clear" w:color="auto" w:fill="auto"/>
          </w:tcPr>
          <w:p w:rsidR="00C22A2B" w:rsidRPr="00004B5D" w:rsidRDefault="004012A3" w:rsidP="00F85BCA">
            <w:pPr>
              <w:widowControl w:val="0"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312" w:type="dxa"/>
            <w:shd w:val="clear" w:color="auto" w:fill="auto"/>
          </w:tcPr>
          <w:p w:rsidR="00C22A2B" w:rsidRPr="00004B5D" w:rsidRDefault="004012A3" w:rsidP="00F85BCA">
            <w:pPr>
              <w:widowControl w:val="0"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</w:tbl>
    <w:p w:rsidR="00351767" w:rsidRPr="00004B5D" w:rsidRDefault="00351767" w:rsidP="00812343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</w:p>
    <w:p w:rsidR="001A6929" w:rsidRPr="00004B5D" w:rsidRDefault="001A6929" w:rsidP="005224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04B5D">
        <w:rPr>
          <w:color w:val="000000" w:themeColor="text1"/>
          <w:sz w:val="28"/>
          <w:szCs w:val="28"/>
        </w:rPr>
        <w:t>Врегулювання зазначених питан</w:t>
      </w:r>
      <w:r w:rsidR="001C1CFD" w:rsidRPr="00004B5D">
        <w:rPr>
          <w:color w:val="000000" w:themeColor="text1"/>
          <w:sz w:val="28"/>
          <w:szCs w:val="28"/>
        </w:rPr>
        <w:t>ь</w:t>
      </w:r>
      <w:r w:rsidRPr="00004B5D">
        <w:rPr>
          <w:color w:val="000000" w:themeColor="text1"/>
          <w:sz w:val="28"/>
          <w:szCs w:val="28"/>
        </w:rPr>
        <w:t xml:space="preserve"> </w:t>
      </w:r>
      <w:r w:rsidR="004D79C7" w:rsidRPr="00004B5D">
        <w:rPr>
          <w:color w:val="000000" w:themeColor="text1"/>
          <w:sz w:val="28"/>
          <w:szCs w:val="28"/>
        </w:rPr>
        <w:t xml:space="preserve">щодо </w:t>
      </w:r>
      <w:r w:rsidRPr="00004B5D">
        <w:rPr>
          <w:color w:val="000000" w:themeColor="text1"/>
          <w:sz w:val="28"/>
          <w:szCs w:val="28"/>
        </w:rPr>
        <w:t xml:space="preserve">запровадження </w:t>
      </w:r>
      <w:r w:rsidR="00DC717E" w:rsidRPr="00004B5D">
        <w:rPr>
          <w:color w:val="000000" w:themeColor="text1"/>
          <w:sz w:val="28"/>
          <w:szCs w:val="28"/>
        </w:rPr>
        <w:t>т</w:t>
      </w:r>
      <w:r w:rsidR="004D79C7" w:rsidRPr="00004B5D">
        <w:rPr>
          <w:color w:val="000000" w:themeColor="text1"/>
          <w:sz w:val="28"/>
          <w:szCs w:val="28"/>
        </w:rPr>
        <w:t xml:space="preserve">ипової форми, </w:t>
      </w:r>
      <w:r w:rsidR="001A43E8" w:rsidRPr="00004B5D">
        <w:rPr>
          <w:color w:val="000000" w:themeColor="text1"/>
          <w:sz w:val="28"/>
          <w:szCs w:val="28"/>
        </w:rPr>
        <w:t xml:space="preserve">розробка якої визначена положеннями Кодексу та Закону № 786, </w:t>
      </w:r>
      <w:r w:rsidRPr="00004B5D">
        <w:rPr>
          <w:color w:val="000000" w:themeColor="text1"/>
          <w:sz w:val="28"/>
          <w:szCs w:val="28"/>
        </w:rPr>
        <w:t>не може бути здійснено за допомогою:</w:t>
      </w:r>
    </w:p>
    <w:p w:rsidR="001A6929" w:rsidRPr="00004B5D" w:rsidRDefault="001A6929" w:rsidP="005224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04B5D">
        <w:rPr>
          <w:color w:val="000000" w:themeColor="text1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1A6929" w:rsidRPr="00004B5D" w:rsidRDefault="001A6929" w:rsidP="005224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04B5D">
        <w:rPr>
          <w:color w:val="000000" w:themeColor="text1"/>
          <w:sz w:val="28"/>
          <w:szCs w:val="28"/>
        </w:rPr>
        <w:t>чинних регуляторних актів, оскільки відсутній нормативно-правовий акт, який дає змогу виконати вимоги Кодексу.</w:t>
      </w:r>
    </w:p>
    <w:p w:rsidR="00812343" w:rsidRPr="00004B5D" w:rsidRDefault="00812343" w:rsidP="005224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C22A2B" w:rsidRPr="00004B5D" w:rsidRDefault="00C22A2B" w:rsidP="00522440">
      <w:pPr>
        <w:pStyle w:val="a3"/>
        <w:widowControl w:val="0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004B5D">
        <w:rPr>
          <w:b/>
          <w:color w:val="000000" w:themeColor="text1"/>
          <w:sz w:val="28"/>
          <w:szCs w:val="28"/>
        </w:rPr>
        <w:t>ІІ. Цілі державного регулювання</w:t>
      </w:r>
    </w:p>
    <w:p w:rsidR="00A17891" w:rsidRPr="00004B5D" w:rsidRDefault="00A17891" w:rsidP="00812343">
      <w:pPr>
        <w:pStyle w:val="a3"/>
        <w:widowControl w:val="0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83649A" w:rsidRPr="00004B5D" w:rsidRDefault="00FA5980" w:rsidP="00812343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04B5D">
        <w:rPr>
          <w:color w:val="000000" w:themeColor="text1"/>
          <w:sz w:val="28"/>
          <w:szCs w:val="28"/>
        </w:rPr>
        <w:t>Основною ціллю є забезпечення реалізації норм пунктів 177.10 статті 177 та пункту 178.6 статті 178 розділу ІV Кодексу (</w:t>
      </w:r>
      <w:r w:rsidR="00931D49" w:rsidRPr="00004B5D">
        <w:rPr>
          <w:color w:val="000000" w:themeColor="text1"/>
          <w:sz w:val="28"/>
          <w:szCs w:val="28"/>
        </w:rPr>
        <w:t xml:space="preserve">у </w:t>
      </w:r>
      <w:r w:rsidRPr="00004B5D">
        <w:rPr>
          <w:color w:val="000000" w:themeColor="text1"/>
          <w:sz w:val="28"/>
          <w:szCs w:val="28"/>
        </w:rPr>
        <w:t xml:space="preserve">редакції Закону № 786) </w:t>
      </w:r>
      <w:r w:rsidR="00931D49" w:rsidRPr="00004B5D">
        <w:rPr>
          <w:color w:val="000000" w:themeColor="text1"/>
          <w:sz w:val="28"/>
          <w:szCs w:val="28"/>
        </w:rPr>
        <w:t xml:space="preserve">у </w:t>
      </w:r>
      <w:r w:rsidRPr="00004B5D">
        <w:rPr>
          <w:color w:val="000000" w:themeColor="text1"/>
          <w:sz w:val="28"/>
          <w:szCs w:val="28"/>
        </w:rPr>
        <w:t xml:space="preserve">частині ведення обліку доходів і втрат фізичними особами – підприємцями та фізичними особами, які провадять незалежну професійну діяльність за </w:t>
      </w:r>
      <w:r w:rsidR="00DC717E" w:rsidRPr="00004B5D">
        <w:rPr>
          <w:color w:val="000000" w:themeColor="text1"/>
          <w:sz w:val="28"/>
          <w:szCs w:val="28"/>
        </w:rPr>
        <w:t>т</w:t>
      </w:r>
      <w:r w:rsidRPr="00004B5D">
        <w:rPr>
          <w:color w:val="000000" w:themeColor="text1"/>
          <w:sz w:val="28"/>
          <w:szCs w:val="28"/>
        </w:rPr>
        <w:t xml:space="preserve">иповою формою </w:t>
      </w:r>
      <w:r w:rsidR="002B0860" w:rsidRPr="00004B5D">
        <w:rPr>
          <w:color w:val="000000" w:themeColor="text1"/>
          <w:sz w:val="28"/>
          <w:szCs w:val="28"/>
        </w:rPr>
        <w:t xml:space="preserve">      </w:t>
      </w:r>
      <w:r w:rsidRPr="00004B5D">
        <w:rPr>
          <w:color w:val="000000" w:themeColor="text1"/>
          <w:sz w:val="28"/>
          <w:szCs w:val="28"/>
        </w:rPr>
        <w:t>(з 01.01.2020).</w:t>
      </w:r>
      <w:r w:rsidRPr="00004B5D">
        <w:rPr>
          <w:color w:val="000000" w:themeColor="text1"/>
        </w:rPr>
        <w:t xml:space="preserve"> </w:t>
      </w:r>
      <w:r w:rsidRPr="00004B5D">
        <w:rPr>
          <w:color w:val="000000" w:themeColor="text1"/>
          <w:sz w:val="28"/>
          <w:szCs w:val="28"/>
        </w:rPr>
        <w:t>Запропоновані про</w:t>
      </w:r>
      <w:r w:rsidR="00680310" w:rsidRPr="00004B5D">
        <w:rPr>
          <w:color w:val="000000" w:themeColor="text1"/>
          <w:sz w:val="28"/>
          <w:szCs w:val="28"/>
        </w:rPr>
        <w:t>е</w:t>
      </w:r>
      <w:r w:rsidRPr="00004B5D">
        <w:rPr>
          <w:color w:val="000000" w:themeColor="text1"/>
          <w:sz w:val="28"/>
          <w:szCs w:val="28"/>
        </w:rPr>
        <w:t xml:space="preserve">ктом наказу норми спрямовані на спрощення процедури ведення господарської діяльності зазначеними вище категоріями </w:t>
      </w:r>
      <w:proofErr w:type="spellStart"/>
      <w:r w:rsidRPr="00004B5D">
        <w:rPr>
          <w:color w:val="000000" w:themeColor="text1"/>
          <w:sz w:val="28"/>
          <w:szCs w:val="28"/>
        </w:rPr>
        <w:t>самозайнятих</w:t>
      </w:r>
      <w:proofErr w:type="spellEnd"/>
      <w:r w:rsidRPr="00004B5D">
        <w:rPr>
          <w:color w:val="000000" w:themeColor="text1"/>
          <w:sz w:val="28"/>
          <w:szCs w:val="28"/>
        </w:rPr>
        <w:t xml:space="preserve"> осіб шляхом використання </w:t>
      </w:r>
      <w:r w:rsidR="00DC717E" w:rsidRPr="00004B5D">
        <w:rPr>
          <w:color w:val="000000" w:themeColor="text1"/>
          <w:sz w:val="28"/>
          <w:szCs w:val="28"/>
        </w:rPr>
        <w:t>т</w:t>
      </w:r>
      <w:r w:rsidRPr="00004B5D">
        <w:rPr>
          <w:color w:val="000000" w:themeColor="text1"/>
          <w:sz w:val="28"/>
          <w:szCs w:val="28"/>
        </w:rPr>
        <w:t>ипової форми.</w:t>
      </w:r>
    </w:p>
    <w:p w:rsidR="0083649A" w:rsidRPr="00004B5D" w:rsidRDefault="00FA5980" w:rsidP="0081234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>Прийняття</w:t>
      </w:r>
      <w:r w:rsidR="0083649A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про</w:t>
      </w:r>
      <w:r w:rsidR="00680310" w:rsidRPr="00004B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3649A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кту наказу дасть змогу реалізувати фізичним особам – підприємцям та фізичним особам, які провадять незалежну професійну діяльність, право на ведення обліку доходів і витрат </w:t>
      </w:r>
      <w:r w:rsidR="00931D49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83649A" w:rsidRPr="00004B5D">
        <w:rPr>
          <w:rFonts w:ascii="Times New Roman" w:hAnsi="Times New Roman"/>
          <w:color w:val="000000" w:themeColor="text1"/>
          <w:sz w:val="28"/>
          <w:szCs w:val="28"/>
        </w:rPr>
        <w:t>паперовому та/або електронному вигляді, у тому числі через електронний кабінет, відповідно до Закону № 786.</w:t>
      </w:r>
    </w:p>
    <w:p w:rsidR="00931D49" w:rsidRPr="00004B5D" w:rsidRDefault="00931D49" w:rsidP="0081234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2A2B" w:rsidRPr="00004B5D" w:rsidRDefault="00C22A2B" w:rsidP="0081234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b/>
          <w:color w:val="000000" w:themeColor="text1"/>
          <w:sz w:val="28"/>
          <w:szCs w:val="28"/>
        </w:rPr>
        <w:t>ІІІ. Визначення та оцінка альтернативних способів досягнення цілей</w:t>
      </w:r>
    </w:p>
    <w:p w:rsidR="00E07D3A" w:rsidRPr="00004B5D" w:rsidRDefault="00E07D3A" w:rsidP="0081234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2A2B" w:rsidRPr="00004B5D" w:rsidRDefault="00C22A2B" w:rsidP="00EE72E0">
      <w:pPr>
        <w:widowControl w:val="0"/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b/>
          <w:color w:val="000000" w:themeColor="text1"/>
          <w:sz w:val="28"/>
          <w:szCs w:val="28"/>
        </w:rPr>
        <w:t>Визначення альтернативних способів</w:t>
      </w:r>
    </w:p>
    <w:p w:rsidR="00EE72E0" w:rsidRPr="00004B5D" w:rsidRDefault="00EE72E0" w:rsidP="00731299">
      <w:pPr>
        <w:widowControl w:val="0"/>
        <w:spacing w:after="0" w:line="240" w:lineRule="auto"/>
        <w:ind w:left="106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825"/>
      </w:tblGrid>
      <w:tr w:rsidR="00004B5D" w:rsidRPr="00004B5D" w:rsidTr="00004B5D">
        <w:trPr>
          <w:cantSplit/>
          <w:trHeight w:val="656"/>
        </w:trPr>
        <w:tc>
          <w:tcPr>
            <w:tcW w:w="2376" w:type="dxa"/>
            <w:shd w:val="clear" w:color="auto" w:fill="auto"/>
            <w:vAlign w:val="center"/>
          </w:tcPr>
          <w:p w:rsidR="00C22A2B" w:rsidRPr="00004B5D" w:rsidRDefault="00C22A2B" w:rsidP="00F85B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альтернативи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C22A2B" w:rsidRPr="00004B5D" w:rsidRDefault="00C22A2B" w:rsidP="00F85BCA">
            <w:pPr>
              <w:widowControl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 альтернативи</w:t>
            </w:r>
          </w:p>
        </w:tc>
      </w:tr>
      <w:tr w:rsidR="00004B5D" w:rsidRPr="00004B5D" w:rsidTr="00004B5D">
        <w:trPr>
          <w:trHeight w:val="563"/>
        </w:trPr>
        <w:tc>
          <w:tcPr>
            <w:tcW w:w="2376" w:type="dxa"/>
            <w:shd w:val="clear" w:color="auto" w:fill="auto"/>
          </w:tcPr>
          <w:p w:rsidR="00C22A2B" w:rsidRPr="00004B5D" w:rsidRDefault="00C22A2B" w:rsidP="00F85BCA">
            <w:pPr>
              <w:pStyle w:val="a3"/>
              <w:widowControl w:val="0"/>
              <w:spacing w:before="0" w:beforeAutospacing="0" w:after="0" w:afterAutospacing="0"/>
              <w:ind w:right="-68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Альтернатива 1</w:t>
            </w:r>
          </w:p>
        </w:tc>
        <w:tc>
          <w:tcPr>
            <w:tcW w:w="7825" w:type="dxa"/>
            <w:shd w:val="clear" w:color="auto" w:fill="auto"/>
          </w:tcPr>
          <w:p w:rsidR="00C22A2B" w:rsidRPr="00004B5D" w:rsidRDefault="00E302DF" w:rsidP="00D60FF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Залишити</w:t>
            </w:r>
            <w:r w:rsidR="008F50B7" w:rsidRPr="00004B5D">
              <w:rPr>
                <w:color w:val="000000" w:themeColor="text1"/>
                <w:sz w:val="28"/>
                <w:szCs w:val="28"/>
              </w:rPr>
              <w:t xml:space="preserve"> існуюч</w:t>
            </w:r>
            <w:r w:rsidRPr="00004B5D">
              <w:rPr>
                <w:color w:val="000000" w:themeColor="text1"/>
                <w:sz w:val="28"/>
                <w:szCs w:val="28"/>
              </w:rPr>
              <w:t>у</w:t>
            </w:r>
            <w:r w:rsidR="008F50B7" w:rsidRPr="00004B5D">
              <w:rPr>
                <w:color w:val="000000" w:themeColor="text1"/>
                <w:sz w:val="28"/>
                <w:szCs w:val="28"/>
              </w:rPr>
              <w:t xml:space="preserve"> нормативно-правов</w:t>
            </w:r>
            <w:r w:rsidRPr="00004B5D">
              <w:rPr>
                <w:color w:val="000000" w:themeColor="text1"/>
                <w:sz w:val="28"/>
                <w:szCs w:val="28"/>
              </w:rPr>
              <w:t>у</w:t>
            </w:r>
            <w:r w:rsidR="008F50B7" w:rsidRPr="00004B5D">
              <w:rPr>
                <w:color w:val="000000" w:themeColor="text1"/>
                <w:sz w:val="28"/>
                <w:szCs w:val="28"/>
              </w:rPr>
              <w:t xml:space="preserve"> баз</w:t>
            </w:r>
            <w:r w:rsidRPr="00004B5D">
              <w:rPr>
                <w:color w:val="000000" w:themeColor="text1"/>
                <w:sz w:val="28"/>
                <w:szCs w:val="28"/>
              </w:rPr>
              <w:t>у</w:t>
            </w:r>
            <w:r w:rsidR="008F50B7" w:rsidRPr="00004B5D">
              <w:rPr>
                <w:color w:val="000000" w:themeColor="text1"/>
                <w:sz w:val="28"/>
                <w:szCs w:val="28"/>
              </w:rPr>
              <w:t xml:space="preserve"> без змін</w:t>
            </w:r>
          </w:p>
        </w:tc>
      </w:tr>
      <w:tr w:rsidR="00004B5D" w:rsidRPr="00004B5D" w:rsidTr="00AD2C93">
        <w:trPr>
          <w:trHeight w:val="1695"/>
        </w:trPr>
        <w:tc>
          <w:tcPr>
            <w:tcW w:w="2376" w:type="dxa"/>
            <w:shd w:val="clear" w:color="auto" w:fill="auto"/>
          </w:tcPr>
          <w:p w:rsidR="00C22A2B" w:rsidRPr="00004B5D" w:rsidRDefault="00C22A2B" w:rsidP="00F85BCA">
            <w:pPr>
              <w:pStyle w:val="a3"/>
              <w:widowControl w:val="0"/>
              <w:spacing w:before="120" w:beforeAutospacing="0" w:after="0" w:afterAutospacing="0"/>
              <w:ind w:right="-67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Альтернатива 2</w:t>
            </w:r>
          </w:p>
        </w:tc>
        <w:tc>
          <w:tcPr>
            <w:tcW w:w="7825" w:type="dxa"/>
            <w:shd w:val="clear" w:color="auto" w:fill="auto"/>
          </w:tcPr>
          <w:p w:rsidR="00493219" w:rsidRPr="00004B5D" w:rsidRDefault="00C22A2B" w:rsidP="00F618B0">
            <w:pPr>
              <w:pStyle w:val="a3"/>
              <w:widowControl w:val="0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 xml:space="preserve">Затвердити </w:t>
            </w:r>
            <w:r w:rsidR="001D0884" w:rsidRPr="00004B5D">
              <w:rPr>
                <w:color w:val="000000" w:themeColor="text1"/>
                <w:sz w:val="28"/>
                <w:szCs w:val="28"/>
              </w:rPr>
              <w:t>про</w:t>
            </w:r>
            <w:r w:rsidR="00680310" w:rsidRPr="00004B5D">
              <w:rPr>
                <w:color w:val="000000" w:themeColor="text1"/>
                <w:sz w:val="28"/>
                <w:szCs w:val="28"/>
              </w:rPr>
              <w:t>е</w:t>
            </w:r>
            <w:r w:rsidR="001D0884" w:rsidRPr="00004B5D">
              <w:rPr>
                <w:color w:val="000000" w:themeColor="text1"/>
                <w:sz w:val="28"/>
                <w:szCs w:val="28"/>
              </w:rPr>
              <w:t xml:space="preserve">кт наказу Міністерства </w:t>
            </w:r>
            <w:r w:rsidR="003529E8" w:rsidRPr="00004B5D">
              <w:rPr>
                <w:color w:val="000000" w:themeColor="text1"/>
                <w:sz w:val="28"/>
                <w:szCs w:val="28"/>
              </w:rPr>
              <w:t xml:space="preserve">фінансів України </w:t>
            </w:r>
            <w:r w:rsidR="002B0860" w:rsidRPr="00004B5D">
              <w:rPr>
                <w:color w:val="000000" w:themeColor="text1"/>
                <w:sz w:val="28"/>
                <w:szCs w:val="28"/>
              </w:rPr>
              <w:t xml:space="preserve">«Про затвердження </w:t>
            </w:r>
            <w:r w:rsidR="00DC717E" w:rsidRPr="00004B5D">
              <w:rPr>
                <w:color w:val="000000" w:themeColor="text1"/>
                <w:sz w:val="28"/>
                <w:szCs w:val="28"/>
              </w:rPr>
              <w:t>т</w:t>
            </w:r>
            <w:r w:rsidR="002B0860" w:rsidRPr="00004B5D">
              <w:rPr>
                <w:color w:val="000000" w:themeColor="text1"/>
                <w:sz w:val="28"/>
                <w:szCs w:val="28"/>
              </w:rPr>
              <w:t>ипової форми, за якою здійснюється облік доходів і витрат фізичними особами</w:t>
            </w:r>
            <w:r w:rsidR="00931D49" w:rsidRPr="00004B5D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2B0860" w:rsidRPr="00004B5D">
              <w:rPr>
                <w:color w:val="000000" w:themeColor="text1"/>
                <w:sz w:val="28"/>
                <w:szCs w:val="28"/>
              </w:rPr>
              <w:t>підприємцями і фізичними особами, які провадять незалежну професійну діяльність</w:t>
            </w:r>
            <w:r w:rsidR="00931D49" w:rsidRPr="00004B5D">
              <w:rPr>
                <w:color w:val="000000" w:themeColor="text1"/>
                <w:sz w:val="28"/>
                <w:szCs w:val="28"/>
              </w:rPr>
              <w:t>,</w:t>
            </w:r>
            <w:r w:rsidR="002B0860" w:rsidRPr="00004B5D">
              <w:rPr>
                <w:color w:val="000000" w:themeColor="text1"/>
                <w:sz w:val="28"/>
                <w:szCs w:val="28"/>
              </w:rPr>
              <w:t xml:space="preserve"> та Поряд</w:t>
            </w:r>
            <w:r w:rsidR="00F618B0" w:rsidRPr="00004B5D">
              <w:rPr>
                <w:color w:val="000000" w:themeColor="text1"/>
                <w:sz w:val="28"/>
                <w:szCs w:val="28"/>
              </w:rPr>
              <w:t>ку</w:t>
            </w:r>
            <w:r w:rsidR="002B0860" w:rsidRPr="00004B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C717E" w:rsidRPr="00004B5D">
              <w:rPr>
                <w:color w:val="000000" w:themeColor="text1"/>
                <w:sz w:val="28"/>
                <w:szCs w:val="28"/>
              </w:rPr>
              <w:t>її</w:t>
            </w:r>
            <w:r w:rsidR="005439DF" w:rsidRPr="00004B5D">
              <w:rPr>
                <w:color w:val="000000" w:themeColor="text1"/>
                <w:sz w:val="28"/>
                <w:szCs w:val="28"/>
              </w:rPr>
              <w:t xml:space="preserve"> ведення</w:t>
            </w:r>
            <w:r w:rsidR="002B0860" w:rsidRPr="00004B5D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67BD9" w:rsidRPr="00004B5D" w:rsidRDefault="00967BD9" w:rsidP="00EE72E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22A2B" w:rsidRPr="00004B5D" w:rsidRDefault="00C22A2B" w:rsidP="00EE72E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b/>
          <w:color w:val="000000" w:themeColor="text1"/>
          <w:sz w:val="28"/>
          <w:szCs w:val="28"/>
        </w:rPr>
        <w:t>2. Оцінка вибраних альтернативних способів досягнення цілей</w:t>
      </w:r>
    </w:p>
    <w:p w:rsidR="00EE72E0" w:rsidRPr="00004B5D" w:rsidRDefault="00EE72E0" w:rsidP="00EE72E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2A2B" w:rsidRPr="00004B5D" w:rsidRDefault="00B5196E" w:rsidP="00EE72E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2.1. </w:t>
      </w:r>
      <w:r w:rsidR="00C22A2B" w:rsidRPr="00004B5D">
        <w:rPr>
          <w:rFonts w:ascii="Times New Roman" w:hAnsi="Times New Roman"/>
          <w:b/>
          <w:color w:val="000000" w:themeColor="text1"/>
          <w:sz w:val="28"/>
          <w:szCs w:val="28"/>
        </w:rPr>
        <w:t>Оцінка впливу на сферу інтересів держави</w:t>
      </w:r>
    </w:p>
    <w:p w:rsidR="00E07D3A" w:rsidRPr="00004B5D" w:rsidRDefault="00E07D3A" w:rsidP="00EE72E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686"/>
        <w:gridCol w:w="4536"/>
      </w:tblGrid>
      <w:tr w:rsidR="00004B5D" w:rsidRPr="00004B5D" w:rsidTr="003243B3">
        <w:tc>
          <w:tcPr>
            <w:tcW w:w="1985" w:type="dxa"/>
            <w:shd w:val="clear" w:color="auto" w:fill="auto"/>
            <w:vAlign w:val="center"/>
          </w:tcPr>
          <w:p w:rsidR="00C22A2B" w:rsidRPr="00004B5D" w:rsidRDefault="00C22A2B" w:rsidP="00F85BCA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7"/>
                <w:szCs w:val="27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7"/>
                <w:szCs w:val="27"/>
                <w:lang w:eastAsia="uk-UA"/>
              </w:rPr>
              <w:t>Вид альтернативи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2A2B" w:rsidRPr="00004B5D" w:rsidRDefault="00C22A2B" w:rsidP="00F85BCA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7"/>
                <w:szCs w:val="27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7"/>
                <w:szCs w:val="27"/>
                <w:lang w:eastAsia="uk-UA"/>
              </w:rPr>
              <w:t>Вигоди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22A2B" w:rsidRPr="00004B5D" w:rsidRDefault="00C22A2B" w:rsidP="00F85BCA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7"/>
                <w:szCs w:val="27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7"/>
                <w:szCs w:val="27"/>
                <w:lang w:eastAsia="uk-UA"/>
              </w:rPr>
              <w:t>Витрати</w:t>
            </w:r>
          </w:p>
        </w:tc>
      </w:tr>
      <w:tr w:rsidR="00004B5D" w:rsidRPr="00004B5D" w:rsidTr="003243B3">
        <w:trPr>
          <w:trHeight w:val="1012"/>
        </w:trPr>
        <w:tc>
          <w:tcPr>
            <w:tcW w:w="1985" w:type="dxa"/>
            <w:shd w:val="clear" w:color="auto" w:fill="auto"/>
          </w:tcPr>
          <w:p w:rsidR="00C22A2B" w:rsidRPr="00004B5D" w:rsidRDefault="00E6505F" w:rsidP="00F85BCA">
            <w:pPr>
              <w:pStyle w:val="a3"/>
              <w:widowControl w:val="0"/>
              <w:spacing w:before="0" w:beforeAutospacing="0" w:after="0" w:afterAutospacing="0"/>
              <w:ind w:right="-68"/>
              <w:jc w:val="center"/>
              <w:rPr>
                <w:color w:val="000000" w:themeColor="text1"/>
                <w:sz w:val="27"/>
                <w:szCs w:val="27"/>
              </w:rPr>
            </w:pPr>
            <w:r w:rsidRPr="00004B5D">
              <w:rPr>
                <w:color w:val="000000" w:themeColor="text1"/>
                <w:sz w:val="27"/>
                <w:szCs w:val="27"/>
              </w:rPr>
              <w:t>Альтернатива 1</w:t>
            </w:r>
          </w:p>
        </w:tc>
        <w:tc>
          <w:tcPr>
            <w:tcW w:w="3686" w:type="dxa"/>
            <w:shd w:val="clear" w:color="auto" w:fill="auto"/>
          </w:tcPr>
          <w:p w:rsidR="00C22A2B" w:rsidRPr="00004B5D" w:rsidRDefault="00C22A2B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7"/>
                <w:szCs w:val="27"/>
              </w:rPr>
            </w:pPr>
            <w:r w:rsidRPr="00004B5D">
              <w:rPr>
                <w:color w:val="000000" w:themeColor="text1"/>
                <w:sz w:val="27"/>
                <w:szCs w:val="27"/>
              </w:rPr>
              <w:t>Відсутні</w:t>
            </w:r>
          </w:p>
        </w:tc>
        <w:tc>
          <w:tcPr>
            <w:tcW w:w="4536" w:type="dxa"/>
            <w:shd w:val="clear" w:color="auto" w:fill="auto"/>
          </w:tcPr>
          <w:p w:rsidR="00967BD9" w:rsidRPr="00004B5D" w:rsidRDefault="00E502CF" w:rsidP="00EC3F1D">
            <w:pPr>
              <w:pStyle w:val="a3"/>
              <w:widowControl w:val="0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7"/>
                <w:szCs w:val="27"/>
                <w:lang w:eastAsia="uk-UA"/>
              </w:rPr>
            </w:pPr>
            <w:r w:rsidRPr="00004B5D">
              <w:rPr>
                <w:color w:val="000000" w:themeColor="text1"/>
                <w:sz w:val="27"/>
                <w:szCs w:val="27"/>
                <w:lang w:eastAsia="uk-UA"/>
              </w:rPr>
              <w:t>Проблема залишається невирішеною.</w:t>
            </w:r>
            <w:r w:rsidR="000A1207" w:rsidRPr="00004B5D">
              <w:rPr>
                <w:color w:val="000000" w:themeColor="text1"/>
                <w:sz w:val="27"/>
                <w:szCs w:val="27"/>
                <w:lang w:eastAsia="uk-UA"/>
              </w:rPr>
              <w:t xml:space="preserve"> Значно ускладнює та </w:t>
            </w:r>
            <w:r w:rsidR="004241AD" w:rsidRPr="00004B5D">
              <w:rPr>
                <w:color w:val="000000" w:themeColor="text1"/>
                <w:sz w:val="27"/>
                <w:szCs w:val="27"/>
                <w:lang w:eastAsia="uk-UA"/>
              </w:rPr>
              <w:t>з</w:t>
            </w:r>
            <w:r w:rsidR="002B101A" w:rsidRPr="00004B5D">
              <w:rPr>
                <w:color w:val="000000" w:themeColor="text1"/>
                <w:sz w:val="27"/>
                <w:szCs w:val="27"/>
                <w:lang w:eastAsia="uk-UA"/>
              </w:rPr>
              <w:t xml:space="preserve">більшує </w:t>
            </w:r>
            <w:r w:rsidR="000A1207" w:rsidRPr="00004B5D">
              <w:rPr>
                <w:color w:val="000000" w:themeColor="text1"/>
                <w:sz w:val="27"/>
                <w:szCs w:val="27"/>
                <w:lang w:eastAsia="uk-UA"/>
              </w:rPr>
              <w:t xml:space="preserve">витрати робочого часу працівників контролюючих органів для здійснення </w:t>
            </w:r>
            <w:r w:rsidR="002B101A" w:rsidRPr="00004B5D">
              <w:rPr>
                <w:color w:val="000000" w:themeColor="text1"/>
                <w:sz w:val="27"/>
                <w:szCs w:val="27"/>
                <w:lang w:eastAsia="uk-UA"/>
              </w:rPr>
              <w:t xml:space="preserve">податкового </w:t>
            </w:r>
            <w:r w:rsidR="000A1207" w:rsidRPr="00004B5D">
              <w:rPr>
                <w:color w:val="000000" w:themeColor="text1"/>
                <w:sz w:val="27"/>
                <w:szCs w:val="27"/>
                <w:lang w:eastAsia="uk-UA"/>
              </w:rPr>
              <w:t>контролю.</w:t>
            </w:r>
            <w:r w:rsidR="0034340C" w:rsidRPr="00004B5D">
              <w:rPr>
                <w:color w:val="000000" w:themeColor="text1"/>
                <w:sz w:val="27"/>
                <w:szCs w:val="27"/>
                <w:lang w:eastAsia="uk-UA"/>
              </w:rPr>
              <w:t xml:space="preserve"> </w:t>
            </w:r>
            <w:r w:rsidRPr="00004B5D">
              <w:rPr>
                <w:color w:val="000000" w:themeColor="text1"/>
                <w:sz w:val="27"/>
                <w:szCs w:val="27"/>
                <w:lang w:eastAsia="uk-UA"/>
              </w:rPr>
              <w:t>Альтернатива є неприйнятною, оскільки не забезпечує досягнення поставленої мети</w:t>
            </w:r>
            <w:r w:rsidR="00E52F95" w:rsidRPr="00004B5D">
              <w:rPr>
                <w:color w:val="000000" w:themeColor="text1"/>
                <w:sz w:val="27"/>
                <w:szCs w:val="27"/>
                <w:lang w:eastAsia="uk-UA"/>
              </w:rPr>
              <w:t>.</w:t>
            </w:r>
          </w:p>
          <w:p w:rsidR="00004B5D" w:rsidRPr="00004B5D" w:rsidRDefault="00E52F95" w:rsidP="00AD2C93">
            <w:pPr>
              <w:pStyle w:val="a3"/>
              <w:widowControl w:val="0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7"/>
                <w:szCs w:val="27"/>
                <w:lang w:eastAsia="uk-UA"/>
              </w:rPr>
            </w:pPr>
            <w:r w:rsidRPr="00004B5D">
              <w:rPr>
                <w:color w:val="000000" w:themeColor="text1"/>
                <w:sz w:val="27"/>
                <w:szCs w:val="27"/>
                <w:lang w:eastAsia="uk-UA"/>
              </w:rPr>
              <w:t xml:space="preserve">Загальні бюджетні витрати – 11 183,76 тис. гривень </w:t>
            </w:r>
          </w:p>
        </w:tc>
      </w:tr>
      <w:tr w:rsidR="00004B5D" w:rsidRPr="00004B5D" w:rsidTr="003243B3">
        <w:tc>
          <w:tcPr>
            <w:tcW w:w="1985" w:type="dxa"/>
            <w:shd w:val="clear" w:color="auto" w:fill="auto"/>
          </w:tcPr>
          <w:p w:rsidR="00BB13E5" w:rsidRPr="00004B5D" w:rsidRDefault="00E6505F" w:rsidP="00F85BCA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Альтернатива 2</w:t>
            </w:r>
          </w:p>
        </w:tc>
        <w:tc>
          <w:tcPr>
            <w:tcW w:w="3686" w:type="dxa"/>
            <w:shd w:val="clear" w:color="auto" w:fill="auto"/>
          </w:tcPr>
          <w:p w:rsidR="00AE69BD" w:rsidRPr="00004B5D" w:rsidRDefault="004750D5" w:rsidP="00CE370D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pacing w:val="-4"/>
                <w:sz w:val="27"/>
                <w:szCs w:val="27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З</w:t>
            </w:r>
            <w:r w:rsidR="00E77768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абезпечить </w:t>
            </w:r>
            <w:r w:rsidR="00382B30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реалізаці</w:t>
            </w:r>
            <w:r w:rsidR="00850CA1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ю вимог, встановлених </w:t>
            </w:r>
            <w:r w:rsidR="00382B30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пункт</w:t>
            </w:r>
            <w:r w:rsidR="00B53074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ом</w:t>
            </w:r>
            <w:r w:rsidR="00421163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 </w:t>
            </w:r>
            <w:r w:rsidR="00382B30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177.10 статті 177 та пункт</w:t>
            </w:r>
            <w:r w:rsidR="00B53074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ом</w:t>
            </w:r>
            <w:r w:rsidR="00382B30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178.6 статті 178 розділу ІV Кодексу (</w:t>
            </w:r>
            <w:r w:rsidR="00421163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у</w:t>
            </w:r>
            <w:r w:rsidR="00382B30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редакції Закону № 786)</w:t>
            </w:r>
            <w:r w:rsidR="00850CA1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щодо розробки </w:t>
            </w:r>
            <w:r w:rsidR="00DC717E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т</w:t>
            </w:r>
            <w:r w:rsidR="005A47FB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ипової форми об</w:t>
            </w:r>
            <w:r w:rsidR="00850CA1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ліку доходів і витрат та порядку </w:t>
            </w:r>
            <w:r w:rsidR="00DC717E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її</w:t>
            </w:r>
            <w:r w:rsidR="00850CA1" w:rsidRPr="00004B5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ведення</w:t>
            </w:r>
          </w:p>
        </w:tc>
        <w:tc>
          <w:tcPr>
            <w:tcW w:w="4536" w:type="dxa"/>
            <w:shd w:val="clear" w:color="auto" w:fill="auto"/>
          </w:tcPr>
          <w:p w:rsidR="005A47FB" w:rsidRPr="00004B5D" w:rsidRDefault="004750D5" w:rsidP="00EC3F1D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</w:pPr>
            <w:r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Витрати </w:t>
            </w:r>
            <w:r w:rsidR="005A47FB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ДПС, пов’язані з </w:t>
            </w:r>
            <w:r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о</w:t>
            </w:r>
            <w:r w:rsidR="00965D16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новлення</w:t>
            </w:r>
            <w:r w:rsidR="005A47FB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м</w:t>
            </w:r>
            <w:r w:rsidR="00965D16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 програмного забезпечення </w:t>
            </w:r>
            <w:r w:rsidR="00850CA1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щодо </w:t>
            </w:r>
            <w:r w:rsidR="005A47FB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в</w:t>
            </w:r>
            <w:r w:rsidR="00850CA1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провадження </w:t>
            </w:r>
            <w:r w:rsidR="00DC717E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т</w:t>
            </w:r>
            <w:r w:rsidR="00850CA1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ипової форми</w:t>
            </w:r>
            <w:r w:rsidR="00421163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,</w:t>
            </w:r>
            <w:r w:rsidR="00850CA1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r w:rsidR="000B51CA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відсут</w:t>
            </w:r>
            <w:r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ні, оскільки</w:t>
            </w:r>
            <w:r w:rsidR="00421163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 все </w:t>
            </w:r>
            <w:r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r w:rsidR="00965D16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здійсню</w:t>
            </w:r>
            <w:r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ватиме</w:t>
            </w:r>
            <w:r w:rsidR="00965D16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ться в межах фінансування Д</w:t>
            </w:r>
            <w:r w:rsidR="00850CA1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П</w:t>
            </w:r>
            <w:r w:rsidR="00557CC3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С</w:t>
            </w:r>
            <w:r w:rsidR="00965D16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 без необхідності залучення кадрів. </w:t>
            </w:r>
          </w:p>
          <w:p w:rsidR="00053556" w:rsidRPr="00004B5D" w:rsidRDefault="006B5168" w:rsidP="00053556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  <w:lang w:val="ru-RU"/>
              </w:rPr>
            </w:pPr>
            <w:r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Витрати на адміністрування регулювання – 1906, 18 тис. грн</w:t>
            </w:r>
            <w:r w:rsidR="008E189A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  <w:lang w:val="ru-RU"/>
              </w:rPr>
              <w:t xml:space="preserve"> </w:t>
            </w:r>
            <w:r w:rsidR="00173FD0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  <w:lang w:val="ru-RU"/>
              </w:rPr>
              <w:t>(1</w:t>
            </w:r>
            <w:r w:rsidR="008E189A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  <w:lang w:val="ru-RU"/>
              </w:rPr>
              <w:t xml:space="preserve"> </w:t>
            </w:r>
            <w:r w:rsidR="008E189A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рік</w:t>
            </w:r>
            <w:r w:rsidR="00173FD0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  <w:lang w:val="ru-RU"/>
              </w:rPr>
              <w:t>)</w:t>
            </w:r>
            <w:r w:rsidR="00421163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  <w:lang w:val="ru-RU"/>
              </w:rPr>
              <w:t>.</w:t>
            </w:r>
            <w:r w:rsidR="00173FD0"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  <w:lang w:val="ru-RU"/>
              </w:rPr>
              <w:t xml:space="preserve"> </w:t>
            </w:r>
          </w:p>
          <w:p w:rsidR="006B5168" w:rsidRPr="00004B5D" w:rsidRDefault="00965D16" w:rsidP="00053556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</w:pPr>
            <w:r w:rsidRPr="00004B5D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Водночас додаткових витрат  держави не передбачається</w:t>
            </w:r>
          </w:p>
        </w:tc>
      </w:tr>
    </w:tbl>
    <w:p w:rsidR="00C22A2B" w:rsidRPr="00004B5D" w:rsidRDefault="003836F1" w:rsidP="00F85BCA">
      <w:pPr>
        <w:widowControl w:val="0"/>
        <w:tabs>
          <w:tab w:val="left" w:pos="1701"/>
        </w:tabs>
        <w:spacing w:before="120" w:after="0" w:line="240" w:lineRule="auto"/>
        <w:ind w:right="204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2.2. </w:t>
      </w:r>
      <w:r w:rsidR="00C22A2B" w:rsidRPr="00004B5D">
        <w:rPr>
          <w:rFonts w:ascii="Times New Roman" w:hAnsi="Times New Roman"/>
          <w:b/>
          <w:color w:val="000000" w:themeColor="text1"/>
          <w:sz w:val="28"/>
          <w:szCs w:val="28"/>
        </w:rPr>
        <w:t>Оцінка впливу на сферу інтересів громадян</w:t>
      </w:r>
    </w:p>
    <w:p w:rsidR="00C22A2B" w:rsidRPr="00004B5D" w:rsidRDefault="00C22A2B" w:rsidP="00F85BCA">
      <w:pPr>
        <w:widowControl w:val="0"/>
        <w:shd w:val="clear" w:color="auto" w:fill="FFFFFF"/>
        <w:spacing w:before="120"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Дія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регуляторного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0523E5" w:rsidRPr="00004B5D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на сферу інтересів громадян не поширюється.</w:t>
      </w:r>
    </w:p>
    <w:p w:rsidR="00C22A2B" w:rsidRPr="00004B5D" w:rsidRDefault="003836F1" w:rsidP="00F85BCA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2.3. </w:t>
      </w:r>
      <w:r w:rsidR="00C22A2B" w:rsidRPr="00004B5D">
        <w:rPr>
          <w:rFonts w:ascii="Times New Roman" w:hAnsi="Times New Roman"/>
          <w:b/>
          <w:color w:val="000000" w:themeColor="text1"/>
          <w:sz w:val="28"/>
          <w:szCs w:val="28"/>
        </w:rPr>
        <w:t>Оцінка впливу на сферу інтересів суб’єктів господарювання</w:t>
      </w:r>
    </w:p>
    <w:p w:rsidR="00BA34EB" w:rsidRPr="00004B5D" w:rsidRDefault="00BA34EB" w:rsidP="00F85BCA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418"/>
        <w:gridCol w:w="1275"/>
        <w:gridCol w:w="1276"/>
        <w:gridCol w:w="1417"/>
        <w:gridCol w:w="1730"/>
      </w:tblGrid>
      <w:tr w:rsidR="00004B5D" w:rsidRPr="00004B5D" w:rsidTr="00004B5D">
        <w:trPr>
          <w:trHeight w:val="424"/>
        </w:trPr>
        <w:tc>
          <w:tcPr>
            <w:tcW w:w="3006" w:type="dxa"/>
            <w:shd w:val="clear" w:color="auto" w:fill="auto"/>
            <w:vAlign w:val="center"/>
          </w:tcPr>
          <w:p w:rsidR="00B319B7" w:rsidRPr="00004B5D" w:rsidRDefault="000621E3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Показники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9B7" w:rsidRPr="00004B5D" w:rsidRDefault="00B319B7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19B7" w:rsidRPr="00004B5D" w:rsidRDefault="00B319B7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Середні</w:t>
            </w:r>
          </w:p>
        </w:tc>
        <w:tc>
          <w:tcPr>
            <w:tcW w:w="1276" w:type="dxa"/>
            <w:vAlign w:val="center"/>
          </w:tcPr>
          <w:p w:rsidR="00B319B7" w:rsidRPr="00004B5D" w:rsidRDefault="00B319B7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Малі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9B7" w:rsidRPr="00004B5D" w:rsidRDefault="00B319B7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Мікро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319B7" w:rsidRPr="00004B5D" w:rsidRDefault="00B319B7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Разом</w:t>
            </w:r>
          </w:p>
        </w:tc>
      </w:tr>
      <w:tr w:rsidR="00004B5D" w:rsidRPr="00004B5D" w:rsidTr="00004B5D">
        <w:trPr>
          <w:trHeight w:val="1254"/>
        </w:trPr>
        <w:tc>
          <w:tcPr>
            <w:tcW w:w="3006" w:type="dxa"/>
            <w:shd w:val="clear" w:color="auto" w:fill="auto"/>
            <w:vAlign w:val="center"/>
          </w:tcPr>
          <w:p w:rsidR="0020634D" w:rsidRPr="00004B5D" w:rsidRDefault="00B319B7" w:rsidP="00C15681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Кількість суб’єктів господарювання, що підпадають під дію регулювання</w:t>
            </w:r>
            <w:r w:rsidR="00594144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B319B7" w:rsidRPr="00004B5D" w:rsidRDefault="00594144" w:rsidP="00C15681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(тис. осіб)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9B7" w:rsidRPr="00004B5D" w:rsidRDefault="00947856" w:rsidP="00F85BC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19B7" w:rsidRPr="00004B5D" w:rsidRDefault="00947856" w:rsidP="00F85BC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:rsidR="00B319B7" w:rsidRPr="00004B5D" w:rsidRDefault="00947856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9B7" w:rsidRPr="00004B5D" w:rsidRDefault="003C3B9D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443,8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319B7" w:rsidRPr="00004B5D" w:rsidRDefault="003C3B9D" w:rsidP="00F85BC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443,8</w:t>
            </w:r>
          </w:p>
        </w:tc>
      </w:tr>
      <w:tr w:rsidR="00004B5D" w:rsidRPr="00004B5D" w:rsidTr="00004B5D">
        <w:tc>
          <w:tcPr>
            <w:tcW w:w="3006" w:type="dxa"/>
            <w:shd w:val="clear" w:color="auto" w:fill="auto"/>
            <w:vAlign w:val="center"/>
          </w:tcPr>
          <w:p w:rsidR="00B319B7" w:rsidRPr="00004B5D" w:rsidRDefault="00B319B7" w:rsidP="00F85BCA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Питома вага групи у загальній кількості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9B7" w:rsidRPr="00004B5D" w:rsidRDefault="00D76461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19B7" w:rsidRPr="00004B5D" w:rsidRDefault="00D76461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:rsidR="00B319B7" w:rsidRPr="00004B5D" w:rsidRDefault="00D76461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9B7" w:rsidRPr="00004B5D" w:rsidRDefault="00947856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100</w:t>
            </w:r>
            <w:r w:rsidR="000333BD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319B7" w:rsidRPr="00004B5D" w:rsidRDefault="00FD19A2" w:rsidP="00F85BCA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100</w:t>
            </w:r>
            <w:r w:rsidR="000333BD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%</w:t>
            </w:r>
          </w:p>
        </w:tc>
      </w:tr>
    </w:tbl>
    <w:p w:rsidR="005A22E6" w:rsidRPr="00004B5D" w:rsidRDefault="005A22E6" w:rsidP="00F85BCA">
      <w:pPr>
        <w:pStyle w:val="a3"/>
        <w:widowControl w:val="0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</w:p>
    <w:p w:rsidR="008E38AF" w:rsidRPr="00004B5D" w:rsidRDefault="008E38AF" w:rsidP="007A7773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004B5D">
        <w:rPr>
          <w:i/>
          <w:color w:val="000000" w:themeColor="text1"/>
          <w:sz w:val="28"/>
          <w:szCs w:val="28"/>
        </w:rPr>
        <w:t>Інформація надається без врахування кількості фізичних осіб –</w:t>
      </w:r>
      <w:r w:rsidR="00BC7764" w:rsidRPr="00004B5D">
        <w:rPr>
          <w:i/>
          <w:color w:val="000000" w:themeColor="text1"/>
          <w:sz w:val="28"/>
          <w:szCs w:val="28"/>
        </w:rPr>
        <w:t xml:space="preserve"> </w:t>
      </w:r>
      <w:r w:rsidRPr="00004B5D">
        <w:rPr>
          <w:i/>
          <w:color w:val="000000" w:themeColor="text1"/>
          <w:sz w:val="28"/>
          <w:szCs w:val="28"/>
        </w:rPr>
        <w:t xml:space="preserve">підприємців по АР Крим та м. Севастополь </w:t>
      </w:r>
    </w:p>
    <w:p w:rsidR="005A47FB" w:rsidRDefault="00421163" w:rsidP="00582F97">
      <w:pPr>
        <w:pStyle w:val="a3"/>
        <w:widowControl w:val="0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004B5D">
        <w:rPr>
          <w:color w:val="000000" w:themeColor="text1"/>
          <w:sz w:val="28"/>
          <w:szCs w:val="28"/>
        </w:rPr>
        <w:t>За і</w:t>
      </w:r>
      <w:r w:rsidR="008E38AF" w:rsidRPr="00004B5D">
        <w:rPr>
          <w:color w:val="000000" w:themeColor="text1"/>
          <w:sz w:val="28"/>
          <w:szCs w:val="28"/>
        </w:rPr>
        <w:t>нформаці</w:t>
      </w:r>
      <w:r w:rsidRPr="00004B5D">
        <w:rPr>
          <w:color w:val="000000" w:themeColor="text1"/>
          <w:sz w:val="28"/>
          <w:szCs w:val="28"/>
        </w:rPr>
        <w:t>єю</w:t>
      </w:r>
      <w:r w:rsidR="008E38AF" w:rsidRPr="00004B5D">
        <w:rPr>
          <w:color w:val="000000" w:themeColor="text1"/>
          <w:sz w:val="28"/>
          <w:szCs w:val="28"/>
        </w:rPr>
        <w:t xml:space="preserve"> </w:t>
      </w:r>
      <w:r w:rsidR="003C3B9D" w:rsidRPr="00004B5D">
        <w:rPr>
          <w:color w:val="000000" w:themeColor="text1"/>
          <w:sz w:val="28"/>
          <w:szCs w:val="28"/>
        </w:rPr>
        <w:t>з баз даних ДПС</w:t>
      </w:r>
      <w:r w:rsidR="00680310" w:rsidRPr="00004B5D">
        <w:rPr>
          <w:color w:val="000000" w:themeColor="text1"/>
          <w:sz w:val="28"/>
          <w:szCs w:val="28"/>
        </w:rPr>
        <w:t>,</w:t>
      </w:r>
      <w:r w:rsidR="003C3B9D" w:rsidRPr="00004B5D">
        <w:rPr>
          <w:color w:val="000000" w:themeColor="text1"/>
          <w:sz w:val="28"/>
          <w:szCs w:val="28"/>
        </w:rPr>
        <w:t xml:space="preserve"> станом на 01.10.2020 до загальної кількості </w:t>
      </w:r>
      <w:proofErr w:type="spellStart"/>
      <w:r w:rsidR="003C3B9D" w:rsidRPr="00004B5D">
        <w:rPr>
          <w:color w:val="000000" w:themeColor="text1"/>
          <w:sz w:val="28"/>
          <w:szCs w:val="28"/>
        </w:rPr>
        <w:t>самозайнятих</w:t>
      </w:r>
      <w:proofErr w:type="spellEnd"/>
      <w:r w:rsidR="003C3B9D" w:rsidRPr="00004B5D">
        <w:rPr>
          <w:color w:val="000000" w:themeColor="text1"/>
          <w:sz w:val="28"/>
          <w:szCs w:val="28"/>
        </w:rPr>
        <w:t xml:space="preserve"> осіб, на яких поширюватиметься ді</w:t>
      </w:r>
      <w:r w:rsidRPr="00004B5D">
        <w:rPr>
          <w:color w:val="000000" w:themeColor="text1"/>
          <w:sz w:val="28"/>
          <w:szCs w:val="28"/>
        </w:rPr>
        <w:t>я</w:t>
      </w:r>
      <w:r w:rsidR="003C3B9D" w:rsidRPr="00004B5D">
        <w:rPr>
          <w:color w:val="000000" w:themeColor="text1"/>
          <w:sz w:val="28"/>
          <w:szCs w:val="28"/>
        </w:rPr>
        <w:t xml:space="preserve"> регуляторного </w:t>
      </w:r>
      <w:proofErr w:type="spellStart"/>
      <w:r w:rsidR="003C3B9D" w:rsidRPr="00004B5D">
        <w:rPr>
          <w:color w:val="000000" w:themeColor="text1"/>
          <w:sz w:val="28"/>
          <w:szCs w:val="28"/>
        </w:rPr>
        <w:t>акта</w:t>
      </w:r>
      <w:proofErr w:type="spellEnd"/>
      <w:r w:rsidRPr="00004B5D">
        <w:rPr>
          <w:color w:val="000000" w:themeColor="text1"/>
          <w:sz w:val="28"/>
          <w:szCs w:val="28"/>
        </w:rPr>
        <w:t>,</w:t>
      </w:r>
      <w:r w:rsidR="003C3B9D" w:rsidRPr="00004B5D">
        <w:rPr>
          <w:color w:val="000000" w:themeColor="text1"/>
          <w:sz w:val="28"/>
          <w:szCs w:val="28"/>
        </w:rPr>
        <w:t xml:space="preserve"> </w:t>
      </w:r>
      <w:r w:rsidR="00B01076" w:rsidRPr="00004B5D">
        <w:rPr>
          <w:color w:val="000000" w:themeColor="text1"/>
          <w:sz w:val="28"/>
          <w:szCs w:val="28"/>
        </w:rPr>
        <w:t>включено</w:t>
      </w:r>
      <w:r w:rsidR="003C3B9D" w:rsidRPr="00004B5D">
        <w:rPr>
          <w:color w:val="000000" w:themeColor="text1"/>
          <w:sz w:val="28"/>
          <w:szCs w:val="28"/>
        </w:rPr>
        <w:t>: фізичних осіб – підприємців</w:t>
      </w:r>
      <w:r w:rsidR="005A47FB" w:rsidRPr="00004B5D">
        <w:rPr>
          <w:color w:val="000000" w:themeColor="text1"/>
          <w:sz w:val="28"/>
          <w:szCs w:val="28"/>
        </w:rPr>
        <w:t xml:space="preserve"> </w:t>
      </w:r>
      <w:r w:rsidR="003C3B9D" w:rsidRPr="00004B5D">
        <w:rPr>
          <w:color w:val="000000" w:themeColor="text1"/>
          <w:sz w:val="28"/>
          <w:szCs w:val="28"/>
        </w:rPr>
        <w:t>– 416,4 тис.</w:t>
      </w:r>
      <w:r w:rsidR="00850CA1" w:rsidRPr="00004B5D">
        <w:rPr>
          <w:color w:val="000000" w:themeColor="text1"/>
          <w:sz w:val="28"/>
          <w:szCs w:val="28"/>
        </w:rPr>
        <w:t xml:space="preserve"> </w:t>
      </w:r>
      <w:r w:rsidR="003C3B9D" w:rsidRPr="00004B5D">
        <w:rPr>
          <w:color w:val="000000" w:themeColor="text1"/>
          <w:sz w:val="28"/>
          <w:szCs w:val="28"/>
        </w:rPr>
        <w:t>осіб та фізичних осіб, які провадять незалежну професійну діяльність</w:t>
      </w:r>
      <w:r w:rsidRPr="00004B5D">
        <w:rPr>
          <w:color w:val="000000" w:themeColor="text1"/>
          <w:sz w:val="28"/>
          <w:szCs w:val="28"/>
        </w:rPr>
        <w:t>,</w:t>
      </w:r>
      <w:r w:rsidR="003C3B9D" w:rsidRPr="00004B5D">
        <w:rPr>
          <w:color w:val="000000" w:themeColor="text1"/>
          <w:sz w:val="28"/>
          <w:szCs w:val="28"/>
        </w:rPr>
        <w:t xml:space="preserve"> – 27,4 тис. осіб. </w:t>
      </w:r>
    </w:p>
    <w:p w:rsidR="00AD2C93" w:rsidRPr="00004B5D" w:rsidRDefault="00AD2C93" w:rsidP="00582F97">
      <w:pPr>
        <w:pStyle w:val="a3"/>
        <w:widowControl w:val="0"/>
        <w:spacing w:after="0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27"/>
        <w:gridCol w:w="3998"/>
      </w:tblGrid>
      <w:tr w:rsidR="00004B5D" w:rsidRPr="00004B5D" w:rsidTr="00004B5D">
        <w:tc>
          <w:tcPr>
            <w:tcW w:w="2235" w:type="dxa"/>
            <w:shd w:val="clear" w:color="auto" w:fill="auto"/>
          </w:tcPr>
          <w:p w:rsidR="00FF67EA" w:rsidRPr="00004B5D" w:rsidRDefault="006F5162" w:rsidP="00F85BCA">
            <w:pPr>
              <w:pStyle w:val="a3"/>
              <w:widowControl w:val="0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04B5D">
              <w:rPr>
                <w:b/>
                <w:color w:val="000000" w:themeColor="text1"/>
                <w:sz w:val="27"/>
                <w:szCs w:val="27"/>
              </w:rPr>
              <w:t>Вид альтернативи</w:t>
            </w:r>
          </w:p>
        </w:tc>
        <w:tc>
          <w:tcPr>
            <w:tcW w:w="3827" w:type="dxa"/>
            <w:shd w:val="clear" w:color="auto" w:fill="auto"/>
          </w:tcPr>
          <w:p w:rsidR="006F5162" w:rsidRPr="00004B5D" w:rsidRDefault="006F5162" w:rsidP="00F85BCA">
            <w:pPr>
              <w:pStyle w:val="a3"/>
              <w:widowControl w:val="0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04B5D">
              <w:rPr>
                <w:b/>
                <w:color w:val="000000" w:themeColor="text1"/>
                <w:sz w:val="27"/>
                <w:szCs w:val="27"/>
              </w:rPr>
              <w:t>Вигоди</w:t>
            </w:r>
          </w:p>
        </w:tc>
        <w:tc>
          <w:tcPr>
            <w:tcW w:w="3998" w:type="dxa"/>
            <w:shd w:val="clear" w:color="auto" w:fill="auto"/>
          </w:tcPr>
          <w:p w:rsidR="006F5162" w:rsidRPr="00004B5D" w:rsidRDefault="006F5162" w:rsidP="00F85BCA">
            <w:pPr>
              <w:pStyle w:val="a3"/>
              <w:widowControl w:val="0"/>
              <w:spacing w:before="120" w:beforeAutospacing="0" w:after="0" w:after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04B5D">
              <w:rPr>
                <w:b/>
                <w:color w:val="000000" w:themeColor="text1"/>
                <w:sz w:val="27"/>
                <w:szCs w:val="27"/>
              </w:rPr>
              <w:t>Витрати</w:t>
            </w:r>
          </w:p>
        </w:tc>
      </w:tr>
      <w:tr w:rsidR="00004B5D" w:rsidRPr="00004B5D" w:rsidTr="00004B5D">
        <w:tc>
          <w:tcPr>
            <w:tcW w:w="2235" w:type="dxa"/>
            <w:shd w:val="clear" w:color="auto" w:fill="auto"/>
          </w:tcPr>
          <w:p w:rsidR="006F5162" w:rsidRPr="00004B5D" w:rsidRDefault="00070FBA" w:rsidP="00F85BCA">
            <w:pPr>
              <w:pStyle w:val="a3"/>
              <w:widowControl w:val="0"/>
              <w:spacing w:before="12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Альтернатива 1</w:t>
            </w:r>
          </w:p>
        </w:tc>
        <w:tc>
          <w:tcPr>
            <w:tcW w:w="3827" w:type="dxa"/>
            <w:shd w:val="clear" w:color="auto" w:fill="auto"/>
          </w:tcPr>
          <w:p w:rsidR="006F5162" w:rsidRPr="00004B5D" w:rsidRDefault="006F5162" w:rsidP="00F85BCA">
            <w:pPr>
              <w:widowControl w:val="0"/>
              <w:spacing w:before="120" w:after="0" w:line="240" w:lineRule="auto"/>
              <w:ind w:firstLine="23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Відсутні</w:t>
            </w:r>
          </w:p>
        </w:tc>
        <w:tc>
          <w:tcPr>
            <w:tcW w:w="3998" w:type="dxa"/>
            <w:shd w:val="clear" w:color="auto" w:fill="auto"/>
          </w:tcPr>
          <w:p w:rsidR="006F5162" w:rsidRPr="00004B5D" w:rsidRDefault="000621E3" w:rsidP="0076182C">
            <w:pPr>
              <w:pStyle w:val="a3"/>
              <w:widowControl w:val="0"/>
              <w:spacing w:before="0" w:beforeAutospacing="0" w:after="0" w:afterAutospacing="0"/>
              <w:ind w:firstLine="175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Така альтернатива є неприйнятною, оскільки:</w:t>
            </w:r>
          </w:p>
          <w:p w:rsidR="00512D29" w:rsidRPr="00004B5D" w:rsidRDefault="006F5162" w:rsidP="0076182C">
            <w:pPr>
              <w:pStyle w:val="a3"/>
              <w:widowControl w:val="0"/>
              <w:spacing w:before="0" w:beforeAutospacing="0" w:after="0" w:afterAutospacing="0"/>
              <w:ind w:firstLine="175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не будуть скорочені часові </w:t>
            </w:r>
            <w:r w:rsidR="00C1042C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та матеріальні витрати </w:t>
            </w: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суб’єктів господарювання</w:t>
            </w:r>
            <w:r w:rsidR="00A75132" w:rsidRPr="00004B5D">
              <w:rPr>
                <w:color w:val="000000" w:themeColor="text1"/>
                <w:sz w:val="28"/>
                <w:szCs w:val="28"/>
                <w:lang w:eastAsia="uk-UA"/>
              </w:rPr>
              <w:t>;</w:t>
            </w:r>
            <w:r w:rsidR="00C1042C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4241AD" w:rsidRPr="00004B5D" w:rsidRDefault="006F5162" w:rsidP="0076182C">
            <w:pPr>
              <w:pStyle w:val="a3"/>
              <w:widowControl w:val="0"/>
              <w:spacing w:before="0" w:beforeAutospacing="0" w:after="0" w:afterAutospacing="0"/>
              <w:ind w:firstLine="175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не буде зменшений рівень </w:t>
            </w:r>
            <w:r w:rsidR="00B36B87" w:rsidRPr="00004B5D">
              <w:rPr>
                <w:color w:val="000000" w:themeColor="text1"/>
                <w:sz w:val="28"/>
                <w:szCs w:val="28"/>
                <w:lang w:eastAsia="uk-UA"/>
              </w:rPr>
              <w:t>навантаження</w:t>
            </w:r>
            <w:r w:rsidR="004241AD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24F95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на </w:t>
            </w:r>
            <w:r w:rsidR="004241AD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суб’єктів господарювання під час ведення обліку доходів і витрат своєї діяльності, </w:t>
            </w:r>
          </w:p>
          <w:p w:rsidR="00512D29" w:rsidRPr="00004B5D" w:rsidRDefault="00124E03" w:rsidP="0076182C">
            <w:pPr>
              <w:pStyle w:val="a3"/>
              <w:widowControl w:val="0"/>
              <w:spacing w:before="0" w:beforeAutospacing="0" w:after="0" w:afterAutospacing="0"/>
              <w:ind w:firstLine="175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в</w:t>
            </w:r>
            <w:r w:rsidR="00781C9C" w:rsidRPr="00004B5D">
              <w:rPr>
                <w:color w:val="000000" w:themeColor="text1"/>
                <w:sz w:val="28"/>
                <w:szCs w:val="28"/>
                <w:lang w:eastAsia="uk-UA"/>
              </w:rPr>
              <w:t>ідсутн</w:t>
            </w:r>
            <w:r w:rsidR="00A069C3" w:rsidRPr="00004B5D">
              <w:rPr>
                <w:color w:val="000000" w:themeColor="text1"/>
                <w:sz w:val="28"/>
                <w:szCs w:val="28"/>
                <w:lang w:eastAsia="uk-UA"/>
              </w:rPr>
              <w:t>я</w:t>
            </w:r>
            <w:r w:rsidR="00781C9C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можлив</w:t>
            </w:r>
            <w:r w:rsidR="00A069C3" w:rsidRPr="00004B5D">
              <w:rPr>
                <w:color w:val="000000" w:themeColor="text1"/>
                <w:sz w:val="28"/>
                <w:szCs w:val="28"/>
                <w:lang w:eastAsia="uk-UA"/>
              </w:rPr>
              <w:t>і</w:t>
            </w:r>
            <w:r w:rsidR="00781C9C" w:rsidRPr="00004B5D">
              <w:rPr>
                <w:color w:val="000000" w:themeColor="text1"/>
                <w:sz w:val="28"/>
                <w:szCs w:val="28"/>
                <w:lang w:eastAsia="uk-UA"/>
              </w:rPr>
              <w:t>ст</w:t>
            </w:r>
            <w:r w:rsidR="00A069C3" w:rsidRPr="00004B5D">
              <w:rPr>
                <w:color w:val="000000" w:themeColor="text1"/>
                <w:sz w:val="28"/>
                <w:szCs w:val="28"/>
                <w:lang w:eastAsia="uk-UA"/>
              </w:rPr>
              <w:t>ь</w:t>
            </w:r>
            <w:r w:rsidR="00781C9C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4241AD" w:rsidRPr="00004B5D">
              <w:rPr>
                <w:color w:val="000000" w:themeColor="text1"/>
                <w:sz w:val="28"/>
                <w:szCs w:val="28"/>
                <w:lang w:eastAsia="uk-UA"/>
              </w:rPr>
              <w:t>визначення витрат у вигляді амортизаційних відрахувань, з веденням їх обліку та відображенням</w:t>
            </w:r>
            <w:r w:rsidR="000E7BCD" w:rsidRPr="00004B5D">
              <w:rPr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0E7BCD" w:rsidRPr="00004B5D" w:rsidRDefault="000E7BCD" w:rsidP="0076182C">
            <w:pPr>
              <w:pStyle w:val="a3"/>
              <w:widowControl w:val="0"/>
              <w:spacing w:before="0" w:beforeAutospacing="0" w:after="0" w:afterAutospacing="0"/>
              <w:ind w:firstLine="175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Загальна сума витрат становить – 60711,84 тис. грн</w:t>
            </w:r>
          </w:p>
        </w:tc>
      </w:tr>
      <w:tr w:rsidR="00004B5D" w:rsidRPr="00004B5D" w:rsidTr="00004B5D">
        <w:tc>
          <w:tcPr>
            <w:tcW w:w="2235" w:type="dxa"/>
            <w:shd w:val="clear" w:color="auto" w:fill="auto"/>
          </w:tcPr>
          <w:p w:rsidR="006F5162" w:rsidRPr="00004B5D" w:rsidRDefault="00070FBA" w:rsidP="00F85BCA">
            <w:pPr>
              <w:pStyle w:val="a3"/>
              <w:widowControl w:val="0"/>
              <w:spacing w:before="0" w:beforeAutospacing="0" w:after="0" w:afterAutospacing="0"/>
              <w:ind w:firstLine="230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:rsidR="008F7D23" w:rsidRPr="00004B5D" w:rsidRDefault="00D9570B" w:rsidP="008F7D23">
            <w:pPr>
              <w:pStyle w:val="a3"/>
              <w:widowControl w:val="0"/>
              <w:spacing w:before="0" w:beforeAutospacing="0" w:after="0" w:afterAutospacing="0"/>
              <w:ind w:firstLine="230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Регуляторним актом передбачена</w:t>
            </w:r>
            <w:r w:rsidR="002A4047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можливіст</w:t>
            </w:r>
            <w:r w:rsidR="00F12319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ь для </w:t>
            </w:r>
            <w:r w:rsidR="00375168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відповідних категорій </w:t>
            </w:r>
            <w:proofErr w:type="spellStart"/>
            <w:r w:rsidR="00375168" w:rsidRPr="00004B5D">
              <w:rPr>
                <w:color w:val="000000" w:themeColor="text1"/>
                <w:sz w:val="28"/>
                <w:szCs w:val="28"/>
                <w:lang w:eastAsia="uk-UA"/>
              </w:rPr>
              <w:t>самозайнятих</w:t>
            </w:r>
            <w:proofErr w:type="spellEnd"/>
            <w:r w:rsidR="00375168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осіб вести облік доходів і витрат з використанням </w:t>
            </w:r>
            <w:r w:rsidR="00DC717E" w:rsidRPr="00004B5D">
              <w:rPr>
                <w:color w:val="000000" w:themeColor="text1"/>
                <w:sz w:val="28"/>
                <w:szCs w:val="28"/>
                <w:lang w:eastAsia="uk-UA"/>
              </w:rPr>
              <w:t>т</w:t>
            </w:r>
            <w:r w:rsidR="00375168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ипової форми та згідно </w:t>
            </w:r>
            <w:r w:rsidR="00003078" w:rsidRPr="00004B5D">
              <w:rPr>
                <w:color w:val="000000" w:themeColor="text1"/>
                <w:sz w:val="28"/>
                <w:szCs w:val="28"/>
                <w:lang w:eastAsia="uk-UA"/>
              </w:rPr>
              <w:t>і</w:t>
            </w:r>
            <w:r w:rsidR="00375168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з </w:t>
            </w:r>
            <w:r w:rsidR="008F7D23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запропонованим </w:t>
            </w:r>
            <w:r w:rsidR="00375168" w:rsidRPr="00004B5D">
              <w:rPr>
                <w:color w:val="000000" w:themeColor="text1"/>
                <w:sz w:val="28"/>
                <w:szCs w:val="28"/>
                <w:lang w:eastAsia="uk-UA"/>
              </w:rPr>
              <w:t>поря</w:t>
            </w:r>
            <w:r w:rsidR="008F7D23" w:rsidRPr="00004B5D">
              <w:rPr>
                <w:color w:val="000000" w:themeColor="text1"/>
                <w:sz w:val="28"/>
                <w:szCs w:val="28"/>
                <w:lang w:eastAsia="uk-UA"/>
              </w:rPr>
              <w:t>дком ведення такого обліку.</w:t>
            </w:r>
            <w:r w:rsidR="00375168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8F7D23" w:rsidRPr="00004B5D" w:rsidRDefault="000A4D10" w:rsidP="008F7D23">
            <w:pPr>
              <w:pStyle w:val="a3"/>
              <w:widowControl w:val="0"/>
              <w:spacing w:before="0" w:beforeAutospacing="0" w:after="0" w:afterAutospacing="0"/>
              <w:ind w:firstLine="230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Також </w:t>
            </w:r>
            <w:r w:rsidR="008F7D23" w:rsidRPr="00004B5D">
              <w:rPr>
                <w:color w:val="000000" w:themeColor="text1"/>
                <w:sz w:val="28"/>
                <w:szCs w:val="28"/>
                <w:lang w:eastAsia="uk-UA"/>
              </w:rPr>
              <w:t>забезпеч</w:t>
            </w: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ується</w:t>
            </w:r>
            <w:r w:rsidR="008F7D23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реалізаці</w:t>
            </w: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я</w:t>
            </w:r>
            <w:r w:rsidR="008F7D23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окремих положень Кодексу для фізичних осіб – підприємців </w:t>
            </w:r>
            <w:r w:rsidR="00611C60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у </w:t>
            </w:r>
            <w:r w:rsidR="008F7D23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частині включення до складу витрат </w:t>
            </w:r>
            <w:proofErr w:type="spellStart"/>
            <w:r w:rsidR="008F7D23" w:rsidRPr="00004B5D">
              <w:rPr>
                <w:color w:val="000000" w:themeColor="text1"/>
                <w:sz w:val="28"/>
                <w:szCs w:val="28"/>
                <w:lang w:eastAsia="uk-UA"/>
              </w:rPr>
              <w:t>витрат</w:t>
            </w:r>
            <w:proofErr w:type="spellEnd"/>
            <w:r w:rsidR="008F7D23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у вигляді  амортизаційних відрахувань, з веденням їх обліку та відображенням у </w:t>
            </w:r>
            <w:r w:rsidR="00DC717E" w:rsidRPr="00004B5D">
              <w:rPr>
                <w:color w:val="000000" w:themeColor="text1"/>
                <w:sz w:val="28"/>
                <w:szCs w:val="28"/>
                <w:lang w:eastAsia="uk-UA"/>
              </w:rPr>
              <w:t>т</w:t>
            </w:r>
            <w:r w:rsidR="008F7D23" w:rsidRPr="00004B5D">
              <w:rPr>
                <w:color w:val="000000" w:themeColor="text1"/>
                <w:sz w:val="28"/>
                <w:szCs w:val="28"/>
                <w:lang w:eastAsia="uk-UA"/>
              </w:rPr>
              <w:t>иповій формі</w:t>
            </w:r>
          </w:p>
          <w:p w:rsidR="008F7D23" w:rsidRPr="00004B5D" w:rsidRDefault="008F7D23" w:rsidP="008F7D23">
            <w:pPr>
              <w:pStyle w:val="a3"/>
              <w:widowControl w:val="0"/>
              <w:spacing w:before="0" w:beforeAutospacing="0" w:after="0" w:afterAutospacing="0"/>
              <w:ind w:firstLine="230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2A4047" w:rsidRPr="00004B5D" w:rsidRDefault="002A4047" w:rsidP="008F7D23">
            <w:pPr>
              <w:pStyle w:val="a3"/>
              <w:widowControl w:val="0"/>
              <w:spacing w:before="0" w:beforeAutospacing="0" w:after="0" w:afterAutospacing="0"/>
              <w:ind w:firstLine="230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998" w:type="dxa"/>
            <w:shd w:val="clear" w:color="auto" w:fill="auto"/>
          </w:tcPr>
          <w:p w:rsidR="0004668A" w:rsidRPr="00004B5D" w:rsidRDefault="00382B68" w:rsidP="00EA24CD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Затвердження </w:t>
            </w:r>
            <w:r w:rsidR="00DC717E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т</w:t>
            </w:r>
            <w:r w:rsidR="00CD73C4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ипової форми обліку доходів і витрат та порядку </w:t>
            </w:r>
            <w:r w:rsidR="00DC717E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її</w:t>
            </w:r>
            <w:r w:rsidR="00CD73C4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ведення </w:t>
            </w: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сприятиме недопущенню порушень норм податкового законодавства</w:t>
            </w:r>
            <w:r w:rsidR="00DF7C02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. </w:t>
            </w:r>
          </w:p>
          <w:p w:rsidR="00382B68" w:rsidRPr="00004B5D" w:rsidRDefault="002F5A4B" w:rsidP="00351B98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Запровадження </w:t>
            </w:r>
            <w:r w:rsidR="00466DDE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ведення обліку </w:t>
            </w:r>
            <w:r w:rsidR="00351B98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доходів і витрат за </w:t>
            </w:r>
            <w:r w:rsidR="00DC717E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т</w:t>
            </w:r>
            <w:r w:rsidR="00351B98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иповою формою в електронному вигляді, у тому числі </w:t>
            </w:r>
            <w:r w:rsidR="002A4047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через </w:t>
            </w:r>
            <w:r w:rsidR="00351B98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ІТС «</w:t>
            </w:r>
            <w:r w:rsidR="00DF7C02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Е</w:t>
            </w:r>
            <w:r w:rsidR="002A4047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лектронний кабінет</w:t>
            </w:r>
            <w:r w:rsidR="00351B98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»</w:t>
            </w:r>
            <w:r w:rsidR="002A4047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платника податків</w:t>
            </w:r>
            <w:r w:rsidR="00167E65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</w:t>
            </w:r>
            <w:r w:rsidR="002A4047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значно скорочує часові та матеріальні витрати платників податків, зокрема</w:t>
            </w:r>
            <w:r w:rsidR="00167E65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</w:t>
            </w:r>
            <w:r w:rsidR="002A4047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24F95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відсутні </w:t>
            </w:r>
            <w:r w:rsidR="002A4047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витрати на заповнення паперових документів, подання їх </w:t>
            </w:r>
            <w:r w:rsidR="00351B98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на шнурування та реєстрацію </w:t>
            </w:r>
            <w:r w:rsidR="002A4047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до контролюючого органу, транспортні витрати, які виникатимуть під час </w:t>
            </w:r>
            <w:r w:rsidR="00351B98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реєстрації Книг доходів і витрат</w:t>
            </w:r>
            <w:r w:rsidR="006973B6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6973B6" w:rsidRPr="00004B5D" w:rsidRDefault="006973B6" w:rsidP="00351B98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Загальна сума витрат становить  </w:t>
            </w:r>
            <w:r w:rsidR="009148AF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3887,69 тис. грн</w:t>
            </w:r>
          </w:p>
        </w:tc>
      </w:tr>
    </w:tbl>
    <w:p w:rsidR="003E0E0D" w:rsidRPr="00004B5D" w:rsidRDefault="003E0E0D" w:rsidP="00582F97">
      <w:pPr>
        <w:widowControl w:val="0"/>
        <w:spacing w:after="0" w:line="240" w:lineRule="auto"/>
        <w:ind w:firstLine="45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824F95" w:rsidRPr="00004B5D" w:rsidRDefault="00824F95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 сьогодні майже 56,8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відс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фізичних осіб – підприємців декларують свої доходи до ДПС через електронний кабінет. </w:t>
      </w:r>
      <w:r w:rsidR="00375168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Таким чином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="00375168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можливо передбачити ведення обліку доходів і витрат в електронному вигляді, в аналогічних відсотках щодо кількості фізичних осіб – підприємців.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Враховуючи викладене, здійснено розрахунок витрат для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самозайнятих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осіб, на яких поширюватиметься ді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я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регуляторного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за 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а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льтернативами 1 та 2, та згідно з додатк</w:t>
      </w:r>
      <w:r w:rsidR="009A1ECD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</w:t>
      </w:r>
      <w:r w:rsidR="00557048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(М-ТЕСТ) до Методики проведення аналізу впливу регуляторного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</w:p>
    <w:p w:rsidR="00557048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Для розрахунку бюджетних витрат (за Альтернативою 1) взято значення показника робочого часу, що витрачає працівник контролюючого органу на опрацювання поданої на реєстрацію Книги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– 1 година</w:t>
      </w:r>
      <w:r w:rsidR="00557048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*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557048" w:rsidRPr="00004B5D" w:rsidRDefault="00557048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*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Строки виконання етапів адміністративної послуги з реєстрації книги обліку доходів і витрат, затверджені наказом Державної фіскальної служби України від 19.04.2019 № 320 «Про затвердження типових інформаційних та технологічних карток адміністративних послуг», становлять 1 годину.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Використана заробітна плата працівника контролюючого органу за годину с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тановить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близько 25,20 гривні. Кількість Книг, що </w:t>
      </w:r>
      <w:r w:rsidR="008A5752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може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реєструва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т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ися протя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гом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року </w:t>
      </w:r>
      <w:r w:rsidR="008A5752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одним суб’єктом господарювання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="008A5752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неможливо визначити, оскільки після закінчення Книги 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протягом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року фізичною особою – підприємцем реєстру</w:t>
      </w:r>
      <w:r w:rsidR="008A5752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ється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наступн</w:t>
      </w:r>
      <w:r w:rsidR="008A5752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ий примірник Книги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з продовженням облікових записів. 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Разом з тим статистичні дані щодо впровадження господарської діяльності фізичною особою – підприємцем протя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гом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5 років щодо щоденного отримання доходу (без моніторингу ч</w:t>
      </w:r>
      <w:r w:rsidR="00611C6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инн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ої на сьогодні Книги) можуть мати значну похибку та фактично не дають можливості вирахування обсягу Книги або кількості примірників Книги, використаних за такий період суб’єктом господарювання. Таким чином, відповідні розрахунки проводитимуться у річному періоді з кількістю Книг за рік – 1 одиниця.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Вартість матеріальних витрат та витрат робочого часу працівниками контролюючого органу при реєстрації Книги в середньому становитиме близько 11 183,76 тис. грн (1 год х 25,20 грн/ год х 443,8 тис. осіб).  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Отже, загальні бюджетні витрати – 11 183,76 тис. гривень.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Для розрахунку витрат суб’єктів господарювання щодо виконання чинних вимог Кодексу та наказу № 481 </w:t>
      </w:r>
      <w:r w:rsidR="009A4D03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у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частині шнурування Книги та подання її на реєстрацію до контролюючого органу – у разі, якщо середн</w:t>
      </w:r>
      <w:r w:rsidR="009A4D03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я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розрахункова вартість 1 примірника Книги у 2020 році становить </w:t>
      </w:r>
      <w:r w:rsidR="00C55B8E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20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грн</w:t>
      </w:r>
      <w:r w:rsidR="00C4004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(15 – 25 гр</w:t>
      </w:r>
      <w:r w:rsidR="009A4D03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иве</w:t>
      </w:r>
      <w:r w:rsidR="00C4004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</w:t>
      </w:r>
      <w:r w:rsidR="009A4D03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ь</w:t>
      </w:r>
      <w:r w:rsidR="00C4004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). В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итрати суб’єкта господарювання на виконання діючих регуляторних дій становлять  близько 51835,84 тис. грн (4 год х 1 прим</w:t>
      </w:r>
      <w:r w:rsidR="009A4D03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х 29,20 х 443,8 тис. осіб)</w:t>
      </w:r>
      <w:r w:rsidR="00C55B8E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матеріальні витрати на придбання Книги становлять 8876 тис. грн (20 грн х 443,8 тис. осіб).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Кількість платників  станом на 01.10.2020  становила 443,8 тис. осіб.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Для розрахунку використову</w:t>
      </w:r>
      <w:r w:rsidR="009A4D03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ю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ться згідно </w:t>
      </w:r>
      <w:r w:rsidR="009A4D03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з Законом України від 25 серпня 2020 року № 822-ІХ «Про внесення змін до Закону України «Про Державний бюджет України на 2020 рік» встановлен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мінімальна зарплата з 01.09.2020 у розмірі 5000 грн та погодинна, у місячному розмірі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– 29,20 гривн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C55B8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До часових витрат суб’єктів господарювання включені витрати на шнурування Книги, подачу на реєстрацію до контролюючого органу та отримання її після реєстрації. </w:t>
      </w:r>
      <w:r w:rsidR="00615C57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Таким чином, сума загальних витрат суб’єктів господарювання при регулюванні відповідно до наказу № 481 становить 60711,84 тис. грн (51835,84 тис. грн + 8876,0 тис. грн). 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Економія суб’єктів господарювання становитиме </w:t>
      </w:r>
      <w:r w:rsidR="006B5168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56824,15 тис. грн</w:t>
      </w:r>
      <w:r w:rsidR="00711BF4" w:rsidRPr="00004B5D">
        <w:rPr>
          <w:rFonts w:ascii="Times New Roman" w:hAnsi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6B5168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(60711,84 тис. грн – 3887,69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тис. грн</w:t>
      </w:r>
      <w:r w:rsidR="006B5168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</w:t>
      </w:r>
      <w:r w:rsidR="00BF0BD7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  <w:r w:rsidR="006B5168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964FDE" w:rsidRPr="00004B5D" w:rsidRDefault="00964FDE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Економія бюджетних коштів </w:t>
      </w:r>
      <w:r w:rsidR="002D78AD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в разі скасування </w:t>
      </w:r>
      <w:r w:rsidR="00525971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форми Книги та Порядку її ведення, затверджени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х</w:t>
      </w:r>
      <w:r w:rsidR="00525971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2D78AD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наказ</w:t>
      </w:r>
      <w:r w:rsidR="00525971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ом</w:t>
      </w:r>
      <w:r w:rsidR="002D78AD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№ 481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="00173FD0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053556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–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11183,76 тис. гр</w:t>
      </w:r>
      <w:r w:rsidR="00053556" w:rsidRPr="00004B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ивень.</w:t>
      </w:r>
    </w:p>
    <w:p w:rsidR="002D78AD" w:rsidRPr="00004B5D" w:rsidRDefault="002D78AD" w:rsidP="0076182C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323"/>
      </w:tblGrid>
      <w:tr w:rsidR="00004B5D" w:rsidRPr="00004B5D" w:rsidTr="00ED3B4F">
        <w:tc>
          <w:tcPr>
            <w:tcW w:w="6771" w:type="dxa"/>
            <w:shd w:val="clear" w:color="auto" w:fill="auto"/>
          </w:tcPr>
          <w:p w:rsidR="0028320D" w:rsidRPr="00004B5D" w:rsidRDefault="0028320D" w:rsidP="00FA7E03">
            <w:pPr>
              <w:widowControl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Сумарні витрати за альтернативами</w:t>
            </w:r>
          </w:p>
        </w:tc>
        <w:tc>
          <w:tcPr>
            <w:tcW w:w="3368" w:type="dxa"/>
            <w:shd w:val="clear" w:color="auto" w:fill="auto"/>
          </w:tcPr>
          <w:p w:rsidR="0028320D" w:rsidRPr="00004B5D" w:rsidRDefault="0028320D" w:rsidP="00FA7E03">
            <w:pPr>
              <w:widowControl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Сума витрат, гривень</w:t>
            </w:r>
          </w:p>
        </w:tc>
      </w:tr>
      <w:tr w:rsidR="00004B5D" w:rsidRPr="00004B5D" w:rsidTr="00ED3B4F">
        <w:tc>
          <w:tcPr>
            <w:tcW w:w="6771" w:type="dxa"/>
            <w:shd w:val="clear" w:color="auto" w:fill="auto"/>
          </w:tcPr>
          <w:p w:rsidR="0028320D" w:rsidRPr="00004B5D" w:rsidRDefault="0028320D" w:rsidP="00FA7E03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Альтернатива 1. Сумарні витрати для суб’єктів господарювання</w:t>
            </w:r>
            <w:r w:rsidR="00BC7764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що підпадають під дію регулювання </w:t>
            </w: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за Альтернативою 1</w:t>
            </w:r>
          </w:p>
        </w:tc>
        <w:tc>
          <w:tcPr>
            <w:tcW w:w="3368" w:type="dxa"/>
            <w:shd w:val="clear" w:color="auto" w:fill="auto"/>
          </w:tcPr>
          <w:p w:rsidR="0028320D" w:rsidRPr="00004B5D" w:rsidRDefault="007B5739" w:rsidP="00ED3B4F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60711,84</w:t>
            </w:r>
          </w:p>
        </w:tc>
      </w:tr>
      <w:tr w:rsidR="00004B5D" w:rsidRPr="00004B5D" w:rsidTr="00ED3B4F">
        <w:tc>
          <w:tcPr>
            <w:tcW w:w="6771" w:type="dxa"/>
            <w:shd w:val="clear" w:color="auto" w:fill="auto"/>
          </w:tcPr>
          <w:p w:rsidR="0028320D" w:rsidRPr="00004B5D" w:rsidRDefault="0028320D" w:rsidP="00FA7E03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Альтернатива 2. Сумарні витрати для </w:t>
            </w:r>
            <w:r w:rsidR="00BC7764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суб’єктів господарювання, що підпадають під дію регулювання  </w:t>
            </w: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за Альтернативою 2 </w:t>
            </w:r>
          </w:p>
        </w:tc>
        <w:tc>
          <w:tcPr>
            <w:tcW w:w="3368" w:type="dxa"/>
            <w:shd w:val="clear" w:color="auto" w:fill="auto"/>
          </w:tcPr>
          <w:p w:rsidR="0028320D" w:rsidRPr="00004B5D" w:rsidRDefault="007B5739" w:rsidP="00ED3B4F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3887,69</w:t>
            </w:r>
          </w:p>
        </w:tc>
      </w:tr>
    </w:tbl>
    <w:p w:rsidR="0028320D" w:rsidRPr="00004B5D" w:rsidRDefault="0028320D" w:rsidP="0028320D">
      <w:pPr>
        <w:widowControl w:val="0"/>
        <w:spacing w:after="0" w:line="240" w:lineRule="auto"/>
        <w:ind w:firstLine="45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784482" w:rsidRPr="00004B5D" w:rsidRDefault="00784482" w:rsidP="00784482">
      <w:pPr>
        <w:pStyle w:val="3"/>
        <w:keepNext w:val="0"/>
        <w:widowControl w:val="0"/>
        <w:spacing w:before="0" w:after="0" w:line="240" w:lineRule="auto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</w:pPr>
      <w:r w:rsidRPr="00004B5D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 xml:space="preserve">Отже, впровадження ведення </w:t>
      </w:r>
      <w:r w:rsidR="00DC717E" w:rsidRPr="00004B5D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>т</w:t>
      </w:r>
      <w:r w:rsidRPr="00004B5D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>ипової форми в електронному вигляді та порядку ведення обліку доходів і витрат значно зменшить часові та матеріальні витрати бюджету та бізнесу.</w:t>
      </w:r>
    </w:p>
    <w:p w:rsidR="00784482" w:rsidRPr="00004B5D" w:rsidRDefault="00784482" w:rsidP="008F53E0">
      <w:pPr>
        <w:spacing w:after="0" w:line="240" w:lineRule="auto"/>
        <w:ind w:firstLine="567"/>
        <w:rPr>
          <w:color w:val="000000" w:themeColor="text1"/>
          <w:lang w:eastAsia="ru-RU"/>
        </w:rPr>
      </w:pPr>
    </w:p>
    <w:p w:rsidR="00C22A2B" w:rsidRPr="00004B5D" w:rsidRDefault="00C22A2B" w:rsidP="00784482">
      <w:pPr>
        <w:pStyle w:val="3"/>
        <w:keepNext w:val="0"/>
        <w:widowControl w:val="0"/>
        <w:spacing w:before="0"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IV. Вибір найбільш оптимального альтернативного способу досягнення цілей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eastAsia="ru-RU"/>
        </w:rPr>
        <w:cr/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6266"/>
      </w:tblGrid>
      <w:tr w:rsidR="00004B5D" w:rsidRPr="00004B5D" w:rsidTr="00004B5D">
        <w:tc>
          <w:tcPr>
            <w:tcW w:w="2127" w:type="dxa"/>
            <w:vAlign w:val="center"/>
          </w:tcPr>
          <w:p w:rsidR="00C22A2B" w:rsidRPr="00004B5D" w:rsidRDefault="00C22A2B" w:rsidP="0028391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04B5D">
              <w:rPr>
                <w:b/>
                <w:color w:val="000000" w:themeColor="text1"/>
                <w:sz w:val="28"/>
                <w:szCs w:val="28"/>
              </w:rPr>
              <w:t xml:space="preserve">Рейтинг </w:t>
            </w:r>
            <w:proofErr w:type="spellStart"/>
            <w:r w:rsidRPr="00004B5D">
              <w:rPr>
                <w:b/>
                <w:color w:val="000000" w:themeColor="text1"/>
                <w:sz w:val="28"/>
                <w:szCs w:val="28"/>
              </w:rPr>
              <w:t>результа</w:t>
            </w:r>
            <w:r w:rsidR="00DF5AA5" w:rsidRPr="00004B5D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004B5D">
              <w:rPr>
                <w:b/>
                <w:color w:val="000000" w:themeColor="text1"/>
                <w:sz w:val="28"/>
                <w:szCs w:val="28"/>
              </w:rPr>
              <w:t>тивності</w:t>
            </w:r>
            <w:proofErr w:type="spellEnd"/>
            <w:r w:rsidRPr="00004B5D">
              <w:rPr>
                <w:b/>
                <w:color w:val="000000" w:themeColor="text1"/>
                <w:sz w:val="28"/>
                <w:szCs w:val="28"/>
              </w:rPr>
              <w:t xml:space="preserve"> (досягнення цілей під час вирішення проблеми)</w:t>
            </w:r>
          </w:p>
        </w:tc>
        <w:tc>
          <w:tcPr>
            <w:tcW w:w="1701" w:type="dxa"/>
            <w:shd w:val="clear" w:color="auto" w:fill="auto"/>
          </w:tcPr>
          <w:p w:rsidR="00C22A2B" w:rsidRPr="00004B5D" w:rsidRDefault="00C22A2B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04B5D">
              <w:rPr>
                <w:b/>
                <w:color w:val="000000" w:themeColor="text1"/>
                <w:sz w:val="28"/>
                <w:szCs w:val="28"/>
              </w:rPr>
              <w:t>Бал</w:t>
            </w:r>
          </w:p>
          <w:p w:rsidR="00C22A2B" w:rsidRPr="00004B5D" w:rsidRDefault="00C22A2B" w:rsidP="0028391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4B5D">
              <w:rPr>
                <w:b/>
                <w:color w:val="000000" w:themeColor="text1"/>
                <w:sz w:val="28"/>
                <w:szCs w:val="28"/>
              </w:rPr>
              <w:t>результа-тивності</w:t>
            </w:r>
            <w:proofErr w:type="spellEnd"/>
            <w:r w:rsidRPr="00004B5D">
              <w:rPr>
                <w:b/>
                <w:color w:val="000000" w:themeColor="text1"/>
                <w:sz w:val="28"/>
                <w:szCs w:val="28"/>
              </w:rPr>
              <w:br/>
              <w:t>(за чотири-бальною системою оцінки)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C22A2B" w:rsidRPr="00004B5D" w:rsidRDefault="00C22A2B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04B5D">
              <w:rPr>
                <w:b/>
                <w:color w:val="000000" w:themeColor="text1"/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 w:rsidRPr="00004B5D">
              <w:rPr>
                <w:b/>
                <w:color w:val="000000" w:themeColor="text1"/>
                <w:sz w:val="28"/>
                <w:szCs w:val="28"/>
              </w:rPr>
              <w:t>бала</w:t>
            </w:r>
            <w:proofErr w:type="spellEnd"/>
          </w:p>
        </w:tc>
      </w:tr>
      <w:tr w:rsidR="00004B5D" w:rsidRPr="00004B5D" w:rsidTr="00004B5D">
        <w:trPr>
          <w:trHeight w:val="1005"/>
        </w:trPr>
        <w:tc>
          <w:tcPr>
            <w:tcW w:w="2127" w:type="dxa"/>
          </w:tcPr>
          <w:p w:rsidR="00C22A2B" w:rsidRPr="00004B5D" w:rsidRDefault="00B369C0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Альтернатива 1</w:t>
            </w:r>
          </w:p>
        </w:tc>
        <w:tc>
          <w:tcPr>
            <w:tcW w:w="1701" w:type="dxa"/>
            <w:shd w:val="clear" w:color="auto" w:fill="auto"/>
          </w:tcPr>
          <w:p w:rsidR="00C22A2B" w:rsidRPr="00004B5D" w:rsidRDefault="00C22A2B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266" w:type="dxa"/>
            <w:shd w:val="clear" w:color="auto" w:fill="auto"/>
          </w:tcPr>
          <w:p w:rsidR="00C22A2B" w:rsidRPr="00004B5D" w:rsidRDefault="00BC75BB" w:rsidP="00AE5156">
            <w:pPr>
              <w:pStyle w:val="a3"/>
              <w:widowControl w:val="0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Альтернатива 1 залишить проблему невирішеною, що не дозволить досягнути поставлених цілей державного регулювання</w:t>
            </w:r>
          </w:p>
        </w:tc>
      </w:tr>
      <w:tr w:rsidR="00004B5D" w:rsidRPr="00004B5D" w:rsidTr="00004B5D">
        <w:trPr>
          <w:trHeight w:val="1124"/>
        </w:trPr>
        <w:tc>
          <w:tcPr>
            <w:tcW w:w="2127" w:type="dxa"/>
          </w:tcPr>
          <w:p w:rsidR="00C22A2B" w:rsidRPr="00004B5D" w:rsidRDefault="00B369C0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Альтернатива 2</w:t>
            </w:r>
          </w:p>
        </w:tc>
        <w:tc>
          <w:tcPr>
            <w:tcW w:w="1701" w:type="dxa"/>
            <w:shd w:val="clear" w:color="auto" w:fill="auto"/>
          </w:tcPr>
          <w:p w:rsidR="00C22A2B" w:rsidRPr="00004B5D" w:rsidRDefault="00C5285A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66" w:type="dxa"/>
            <w:shd w:val="clear" w:color="auto" w:fill="auto"/>
          </w:tcPr>
          <w:p w:rsidR="00C22A2B" w:rsidRPr="00004B5D" w:rsidRDefault="00BC75BB" w:rsidP="00CE370D">
            <w:pPr>
              <w:pStyle w:val="a3"/>
              <w:widowControl w:val="0"/>
              <w:spacing w:before="0" w:beforeAutospacing="0" w:after="0" w:afterAutospacing="0"/>
              <w:ind w:left="34" w:firstLine="283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 xml:space="preserve">Альтернатива 2 дає змогу досягнути поставлених цілей державного регулювання з істотним зменшенням навантаження на </w:t>
            </w:r>
            <w:r w:rsidR="0073748A" w:rsidRPr="00004B5D">
              <w:rPr>
                <w:color w:val="000000" w:themeColor="text1"/>
                <w:sz w:val="28"/>
                <w:szCs w:val="28"/>
              </w:rPr>
              <w:t xml:space="preserve">відповідні категорії </w:t>
            </w:r>
            <w:proofErr w:type="spellStart"/>
            <w:r w:rsidR="0073748A" w:rsidRPr="00004B5D">
              <w:rPr>
                <w:color w:val="000000" w:themeColor="text1"/>
                <w:sz w:val="28"/>
                <w:szCs w:val="28"/>
              </w:rPr>
              <w:t>самозайнятих</w:t>
            </w:r>
            <w:proofErr w:type="spellEnd"/>
            <w:r w:rsidR="0073748A" w:rsidRPr="00004B5D">
              <w:rPr>
                <w:color w:val="000000" w:themeColor="text1"/>
                <w:sz w:val="28"/>
                <w:szCs w:val="28"/>
              </w:rPr>
              <w:t xml:space="preserve"> осіб,</w:t>
            </w:r>
            <w:r w:rsidR="00A259D8" w:rsidRPr="00004B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41D16" w:rsidRPr="00004B5D">
              <w:rPr>
                <w:color w:val="000000" w:themeColor="text1"/>
                <w:sz w:val="28"/>
                <w:szCs w:val="28"/>
              </w:rPr>
              <w:t>які</w:t>
            </w:r>
            <w:r w:rsidR="00B53074" w:rsidRPr="00004B5D">
              <w:rPr>
                <w:color w:val="000000" w:themeColor="text1"/>
                <w:sz w:val="28"/>
                <w:szCs w:val="28"/>
              </w:rPr>
              <w:t xml:space="preserve"> для ведення обліку доходів і витрат використовують  </w:t>
            </w:r>
            <w:r w:rsidR="00DC717E" w:rsidRPr="00004B5D">
              <w:rPr>
                <w:color w:val="000000" w:themeColor="text1"/>
                <w:sz w:val="28"/>
                <w:szCs w:val="28"/>
              </w:rPr>
              <w:t>т</w:t>
            </w:r>
            <w:r w:rsidR="00B53074" w:rsidRPr="00004B5D">
              <w:rPr>
                <w:color w:val="000000" w:themeColor="text1"/>
                <w:sz w:val="28"/>
                <w:szCs w:val="28"/>
              </w:rPr>
              <w:t>ипову форму</w:t>
            </w:r>
            <w:r w:rsidR="001D75D5" w:rsidRPr="00004B5D">
              <w:rPr>
                <w:color w:val="000000" w:themeColor="text1"/>
                <w:sz w:val="28"/>
                <w:szCs w:val="28"/>
              </w:rPr>
              <w:t>,</w:t>
            </w:r>
            <w:r w:rsidR="00C5285A" w:rsidRPr="00004B5D">
              <w:rPr>
                <w:color w:val="000000" w:themeColor="text1"/>
                <w:sz w:val="28"/>
                <w:szCs w:val="28"/>
              </w:rPr>
              <w:t xml:space="preserve"> та забезпеченням реалізації вимог </w:t>
            </w:r>
            <w:r w:rsidR="00B53074" w:rsidRPr="00004B5D">
              <w:rPr>
                <w:color w:val="000000" w:themeColor="text1"/>
                <w:sz w:val="28"/>
                <w:szCs w:val="28"/>
              </w:rPr>
              <w:t>пункту 177.10 статті 177 та пункту 178.6 статті 178 розділу ІV Кодексу (</w:t>
            </w:r>
            <w:r w:rsidR="00852544" w:rsidRPr="00004B5D">
              <w:rPr>
                <w:color w:val="000000" w:themeColor="text1"/>
                <w:sz w:val="28"/>
                <w:szCs w:val="28"/>
              </w:rPr>
              <w:t xml:space="preserve">у </w:t>
            </w:r>
            <w:r w:rsidR="00B53074" w:rsidRPr="00004B5D">
              <w:rPr>
                <w:color w:val="000000" w:themeColor="text1"/>
                <w:sz w:val="28"/>
                <w:szCs w:val="28"/>
              </w:rPr>
              <w:t>редакції Закону № 786)</w:t>
            </w:r>
          </w:p>
        </w:tc>
      </w:tr>
    </w:tbl>
    <w:p w:rsidR="00CC4B9D" w:rsidRPr="00004B5D" w:rsidRDefault="00CC4B9D" w:rsidP="00F85BCA">
      <w:pPr>
        <w:widowControl w:val="0"/>
        <w:spacing w:line="240" w:lineRule="auto"/>
        <w:ind w:left="567" w:right="203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0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432"/>
      </w:tblGrid>
      <w:tr w:rsidR="00004B5D" w:rsidRPr="00004B5D" w:rsidTr="0091154B">
        <w:tc>
          <w:tcPr>
            <w:tcW w:w="2127" w:type="dxa"/>
            <w:shd w:val="clear" w:color="auto" w:fill="auto"/>
            <w:vAlign w:val="center"/>
          </w:tcPr>
          <w:p w:rsidR="00496BE7" w:rsidRPr="00004B5D" w:rsidRDefault="00496BE7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04B5D">
              <w:rPr>
                <w:b/>
                <w:color w:val="000000" w:themeColor="text1"/>
                <w:sz w:val="27"/>
                <w:szCs w:val="27"/>
              </w:rPr>
              <w:t xml:space="preserve">Рейтинг </w:t>
            </w:r>
            <w:proofErr w:type="spellStart"/>
            <w:r w:rsidRPr="00004B5D">
              <w:rPr>
                <w:b/>
                <w:color w:val="000000" w:themeColor="text1"/>
                <w:sz w:val="27"/>
                <w:szCs w:val="27"/>
              </w:rPr>
              <w:t>результа</w:t>
            </w:r>
            <w:r w:rsidR="00DF5AA5" w:rsidRPr="00004B5D">
              <w:rPr>
                <w:b/>
                <w:color w:val="000000" w:themeColor="text1"/>
                <w:sz w:val="27"/>
                <w:szCs w:val="27"/>
              </w:rPr>
              <w:t>-</w:t>
            </w:r>
            <w:r w:rsidRPr="00004B5D">
              <w:rPr>
                <w:b/>
                <w:color w:val="000000" w:themeColor="text1"/>
                <w:sz w:val="27"/>
                <w:szCs w:val="27"/>
              </w:rPr>
              <w:t>тивності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96BE7" w:rsidRPr="00004B5D" w:rsidRDefault="00496BE7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04B5D">
              <w:rPr>
                <w:b/>
                <w:color w:val="000000" w:themeColor="text1"/>
                <w:sz w:val="27"/>
                <w:szCs w:val="27"/>
              </w:rPr>
              <w:t>Вигоди (підсумок)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BE7" w:rsidRPr="00004B5D" w:rsidRDefault="00496BE7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04B5D">
              <w:rPr>
                <w:b/>
                <w:color w:val="000000" w:themeColor="text1"/>
                <w:sz w:val="27"/>
                <w:szCs w:val="27"/>
              </w:rPr>
              <w:t>Витрати (підсумок)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96BE7" w:rsidRPr="00004B5D" w:rsidRDefault="00496BE7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04B5D">
              <w:rPr>
                <w:b/>
                <w:color w:val="000000" w:themeColor="text1"/>
                <w:sz w:val="27"/>
                <w:szCs w:val="27"/>
              </w:rPr>
              <w:t>Обґрунтування відповідного місця альтернативи у рейтингу</w:t>
            </w:r>
          </w:p>
        </w:tc>
      </w:tr>
      <w:tr w:rsidR="00004B5D" w:rsidRPr="00004B5D" w:rsidTr="0091154B">
        <w:tc>
          <w:tcPr>
            <w:tcW w:w="2127" w:type="dxa"/>
            <w:shd w:val="clear" w:color="auto" w:fill="auto"/>
          </w:tcPr>
          <w:p w:rsidR="00496BE7" w:rsidRPr="00004B5D" w:rsidRDefault="00496BE7" w:rsidP="00F85BC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Альтернатива 1</w:t>
            </w:r>
          </w:p>
        </w:tc>
        <w:tc>
          <w:tcPr>
            <w:tcW w:w="2693" w:type="dxa"/>
            <w:shd w:val="clear" w:color="auto" w:fill="auto"/>
          </w:tcPr>
          <w:p w:rsidR="00496BE7" w:rsidRPr="00004B5D" w:rsidRDefault="00496BE7" w:rsidP="001C67C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Відсутні</w:t>
            </w:r>
          </w:p>
        </w:tc>
        <w:tc>
          <w:tcPr>
            <w:tcW w:w="2835" w:type="dxa"/>
            <w:shd w:val="clear" w:color="auto" w:fill="auto"/>
          </w:tcPr>
          <w:p w:rsidR="001D2A20" w:rsidRPr="00004B5D" w:rsidRDefault="00C86EFF" w:rsidP="004F2E81">
            <w:pPr>
              <w:pStyle w:val="a3"/>
              <w:widowControl w:val="0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 xml:space="preserve">На відміну від </w:t>
            </w:r>
            <w:r w:rsidR="00852544" w:rsidRPr="00004B5D">
              <w:rPr>
                <w:color w:val="000000" w:themeColor="text1"/>
                <w:sz w:val="28"/>
                <w:szCs w:val="28"/>
              </w:rPr>
              <w:t>А</w:t>
            </w:r>
            <w:r w:rsidRPr="00004B5D">
              <w:rPr>
                <w:color w:val="000000" w:themeColor="text1"/>
                <w:sz w:val="28"/>
                <w:szCs w:val="28"/>
              </w:rPr>
              <w:t>льтернативи 2</w:t>
            </w:r>
            <w:r w:rsidR="00D0641D" w:rsidRPr="00004B5D">
              <w:rPr>
                <w:color w:val="000000" w:themeColor="text1"/>
                <w:sz w:val="28"/>
                <w:szCs w:val="28"/>
              </w:rPr>
              <w:t>,</w:t>
            </w:r>
            <w:r w:rsidRPr="00004B5D">
              <w:rPr>
                <w:color w:val="000000" w:themeColor="text1"/>
                <w:sz w:val="28"/>
                <w:szCs w:val="28"/>
              </w:rPr>
              <w:t xml:space="preserve"> не дає змогу скоротити витрати часу </w:t>
            </w:r>
            <w:r w:rsidR="0073748A" w:rsidRPr="00004B5D">
              <w:rPr>
                <w:color w:val="000000" w:themeColor="text1"/>
                <w:sz w:val="28"/>
                <w:szCs w:val="28"/>
              </w:rPr>
              <w:t xml:space="preserve">відповідних категорій </w:t>
            </w:r>
            <w:proofErr w:type="spellStart"/>
            <w:r w:rsidR="0073748A" w:rsidRPr="00004B5D">
              <w:rPr>
                <w:color w:val="000000" w:themeColor="text1"/>
                <w:sz w:val="28"/>
                <w:szCs w:val="28"/>
              </w:rPr>
              <w:t>самозайнятих</w:t>
            </w:r>
            <w:proofErr w:type="spellEnd"/>
            <w:r w:rsidR="0073748A" w:rsidRPr="00004B5D">
              <w:rPr>
                <w:color w:val="000000" w:themeColor="text1"/>
                <w:sz w:val="28"/>
                <w:szCs w:val="28"/>
              </w:rPr>
              <w:t xml:space="preserve"> осіб при веденні обліку доходів і витрат від своєї діяльності</w:t>
            </w:r>
            <w:r w:rsidRPr="00004B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748A" w:rsidRPr="00004B5D">
              <w:rPr>
                <w:color w:val="000000" w:themeColor="text1"/>
                <w:sz w:val="28"/>
                <w:szCs w:val="28"/>
              </w:rPr>
              <w:t xml:space="preserve">за рахунок </w:t>
            </w:r>
            <w:r w:rsidR="00BC7F56" w:rsidRPr="00004B5D">
              <w:rPr>
                <w:color w:val="000000" w:themeColor="text1"/>
                <w:sz w:val="28"/>
                <w:szCs w:val="28"/>
              </w:rPr>
              <w:t xml:space="preserve">дотримання </w:t>
            </w:r>
            <w:r w:rsidR="0073748A" w:rsidRPr="00004B5D">
              <w:rPr>
                <w:color w:val="000000" w:themeColor="text1"/>
                <w:sz w:val="28"/>
                <w:szCs w:val="28"/>
              </w:rPr>
              <w:t>вимог наказу № 481</w:t>
            </w:r>
            <w:r w:rsidR="00A44A82" w:rsidRPr="00004B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748A" w:rsidRPr="00004B5D">
              <w:rPr>
                <w:color w:val="000000" w:themeColor="text1"/>
                <w:sz w:val="28"/>
                <w:szCs w:val="28"/>
              </w:rPr>
              <w:t xml:space="preserve">в частині шнурування, реєстрації примірників Книги. </w:t>
            </w:r>
            <w:r w:rsidR="00BC7F56" w:rsidRPr="00004B5D">
              <w:rPr>
                <w:color w:val="000000" w:themeColor="text1"/>
                <w:sz w:val="28"/>
                <w:szCs w:val="28"/>
              </w:rPr>
              <w:t>Також у Книзі не передбачено можливості включення до складу витрат витрати у вигляді  амортизаційних відрахувань з їх відображенням, що звужує права платника податку на здійснення обліку та врахування такого виду витрат, в</w:t>
            </w:r>
            <w:r w:rsidR="00B64663" w:rsidRPr="00004B5D">
              <w:rPr>
                <w:color w:val="000000" w:themeColor="text1"/>
                <w:sz w:val="28"/>
                <w:szCs w:val="28"/>
              </w:rPr>
              <w:t xml:space="preserve">становленого </w:t>
            </w:r>
            <w:r w:rsidR="00264A2F" w:rsidRPr="00004B5D">
              <w:rPr>
                <w:color w:val="000000" w:themeColor="text1"/>
                <w:sz w:val="28"/>
                <w:szCs w:val="28"/>
              </w:rPr>
              <w:t xml:space="preserve">у </w:t>
            </w:r>
            <w:r w:rsidR="00B64663" w:rsidRPr="00004B5D">
              <w:rPr>
                <w:color w:val="000000" w:themeColor="text1"/>
                <w:sz w:val="28"/>
                <w:szCs w:val="28"/>
              </w:rPr>
              <w:t>пункт</w:t>
            </w:r>
            <w:r w:rsidR="00264A2F" w:rsidRPr="00004B5D">
              <w:rPr>
                <w:color w:val="000000" w:themeColor="text1"/>
                <w:sz w:val="28"/>
                <w:szCs w:val="28"/>
              </w:rPr>
              <w:t>і</w:t>
            </w:r>
            <w:r w:rsidR="00B64663" w:rsidRPr="00004B5D">
              <w:rPr>
                <w:color w:val="000000" w:themeColor="text1"/>
                <w:sz w:val="28"/>
                <w:szCs w:val="28"/>
              </w:rPr>
              <w:t xml:space="preserve"> 177.4 статті</w:t>
            </w:r>
            <w:r w:rsidR="00852544" w:rsidRPr="00004B5D">
              <w:rPr>
                <w:color w:val="000000" w:themeColor="text1"/>
                <w:sz w:val="28"/>
                <w:szCs w:val="28"/>
              </w:rPr>
              <w:t> </w:t>
            </w:r>
            <w:r w:rsidR="00B64663" w:rsidRPr="00004B5D">
              <w:rPr>
                <w:color w:val="000000" w:themeColor="text1"/>
                <w:sz w:val="28"/>
                <w:szCs w:val="28"/>
              </w:rPr>
              <w:t>177 Кодексу</w:t>
            </w:r>
            <w:r w:rsidR="00EE45B8" w:rsidRPr="00004B5D">
              <w:rPr>
                <w:color w:val="000000" w:themeColor="text1"/>
                <w:sz w:val="28"/>
                <w:szCs w:val="28"/>
              </w:rPr>
              <w:t>.</w:t>
            </w:r>
            <w:r w:rsidR="00A44A82" w:rsidRPr="00004B5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73FD0" w:rsidRPr="00004B5D" w:rsidRDefault="00173FD0" w:rsidP="004F2E81">
            <w:pPr>
              <w:pStyle w:val="a3"/>
              <w:widowControl w:val="0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Витрати суб’єктів господарювання при регулюванні відповідно до наказу № 481 станов</w:t>
            </w:r>
            <w:r w:rsidR="00852544" w:rsidRPr="00004B5D">
              <w:rPr>
                <w:color w:val="000000" w:themeColor="text1"/>
                <w:sz w:val="28"/>
                <w:szCs w:val="28"/>
              </w:rPr>
              <w:t>ля</w:t>
            </w:r>
            <w:r w:rsidRPr="00004B5D">
              <w:rPr>
                <w:color w:val="000000" w:themeColor="text1"/>
                <w:sz w:val="28"/>
                <w:szCs w:val="28"/>
              </w:rPr>
              <w:t>ть 60711,84 тис. грн</w:t>
            </w:r>
          </w:p>
          <w:p w:rsidR="00173FD0" w:rsidRPr="00004B5D" w:rsidRDefault="00173FD0" w:rsidP="004F2E81">
            <w:pPr>
              <w:pStyle w:val="a3"/>
              <w:widowControl w:val="0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</w:p>
        </w:tc>
        <w:tc>
          <w:tcPr>
            <w:tcW w:w="2432" w:type="dxa"/>
            <w:shd w:val="clear" w:color="auto" w:fill="auto"/>
          </w:tcPr>
          <w:p w:rsidR="00BC7F56" w:rsidRPr="00004B5D" w:rsidRDefault="00496BE7" w:rsidP="0091154B">
            <w:pPr>
              <w:pStyle w:val="a3"/>
              <w:widowControl w:val="0"/>
              <w:spacing w:before="0" w:beforeAutospacing="0" w:after="0" w:afterAutospacing="0"/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Є найгіршою</w:t>
            </w:r>
            <w:r w:rsidR="002A4418" w:rsidRPr="00004B5D">
              <w:rPr>
                <w:color w:val="000000" w:themeColor="text1"/>
                <w:sz w:val="28"/>
                <w:szCs w:val="28"/>
              </w:rPr>
              <w:t>,</w:t>
            </w:r>
            <w:r w:rsidRPr="00004B5D">
              <w:rPr>
                <w:color w:val="000000" w:themeColor="text1"/>
                <w:sz w:val="28"/>
                <w:szCs w:val="28"/>
              </w:rPr>
              <w:t xml:space="preserve"> оскільки не призведе до досягнення цілей і позбавить </w:t>
            </w:r>
            <w:r w:rsidR="00267A6C" w:rsidRPr="00004B5D">
              <w:rPr>
                <w:color w:val="000000" w:themeColor="text1"/>
                <w:sz w:val="28"/>
                <w:szCs w:val="28"/>
              </w:rPr>
              <w:t xml:space="preserve">фізичних осіб – підприємців </w:t>
            </w:r>
            <w:r w:rsidR="004D2814" w:rsidRPr="00004B5D">
              <w:rPr>
                <w:color w:val="000000" w:themeColor="text1"/>
                <w:sz w:val="28"/>
                <w:szCs w:val="28"/>
              </w:rPr>
              <w:t>реаліз</w:t>
            </w:r>
            <w:r w:rsidR="00710405" w:rsidRPr="00004B5D">
              <w:rPr>
                <w:color w:val="000000" w:themeColor="text1"/>
                <w:sz w:val="28"/>
                <w:szCs w:val="28"/>
              </w:rPr>
              <w:t>ації</w:t>
            </w:r>
            <w:r w:rsidR="004D2814" w:rsidRPr="00004B5D">
              <w:rPr>
                <w:color w:val="000000" w:themeColor="text1"/>
                <w:sz w:val="28"/>
                <w:szCs w:val="28"/>
              </w:rPr>
              <w:t xml:space="preserve"> свої</w:t>
            </w:r>
            <w:r w:rsidR="00710405" w:rsidRPr="00004B5D">
              <w:rPr>
                <w:color w:val="000000" w:themeColor="text1"/>
                <w:sz w:val="28"/>
                <w:szCs w:val="28"/>
              </w:rPr>
              <w:t>х</w:t>
            </w:r>
            <w:r w:rsidR="004D2814" w:rsidRPr="00004B5D">
              <w:rPr>
                <w:color w:val="000000" w:themeColor="text1"/>
                <w:sz w:val="28"/>
                <w:szCs w:val="28"/>
              </w:rPr>
              <w:t xml:space="preserve"> прав</w:t>
            </w:r>
            <w:r w:rsidR="00BC7F56" w:rsidRPr="00004B5D">
              <w:rPr>
                <w:color w:val="000000" w:themeColor="text1"/>
                <w:sz w:val="28"/>
                <w:szCs w:val="28"/>
              </w:rPr>
              <w:t xml:space="preserve"> та обов’язків.</w:t>
            </w:r>
          </w:p>
          <w:p w:rsidR="0091154B" w:rsidRPr="00004B5D" w:rsidRDefault="0091154B" w:rsidP="0091154B">
            <w:pPr>
              <w:pStyle w:val="a3"/>
              <w:widowControl w:val="0"/>
              <w:spacing w:before="0" w:beforeAutospacing="0" w:after="0" w:afterAutospacing="0"/>
              <w:ind w:firstLine="232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Така альтернатива є неприйнятною, оскільки</w:t>
            </w:r>
            <w:r w:rsidR="0019167B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>не будуть скорочені часові та матеріальні витрати</w:t>
            </w:r>
            <w:r w:rsidR="0019167B" w:rsidRPr="00004B5D">
              <w:rPr>
                <w:color w:val="000000" w:themeColor="text1"/>
                <w:sz w:val="28"/>
                <w:szCs w:val="28"/>
                <w:lang w:eastAsia="uk-UA"/>
              </w:rPr>
              <w:t>:</w:t>
            </w: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19167B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– фізичних осіб – підприємців </w:t>
            </w:r>
            <w:r w:rsidR="00525439" w:rsidRPr="00004B5D">
              <w:rPr>
                <w:color w:val="000000" w:themeColor="text1"/>
                <w:sz w:val="28"/>
                <w:szCs w:val="28"/>
                <w:lang w:eastAsia="uk-UA"/>
              </w:rPr>
              <w:t>щодо трудомісткості ведення обліку доходів і витрат від своєї діяльності</w:t>
            </w:r>
            <w:r w:rsidR="00C621DB" w:rsidRPr="00004B5D">
              <w:rPr>
                <w:color w:val="000000" w:themeColor="text1"/>
                <w:sz w:val="28"/>
                <w:szCs w:val="28"/>
                <w:lang w:eastAsia="uk-UA"/>
              </w:rPr>
              <w:t>;</w:t>
            </w: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496BE7" w:rsidRPr="00004B5D" w:rsidRDefault="0019167B" w:rsidP="0019167B">
            <w:pPr>
              <w:pStyle w:val="a3"/>
              <w:widowControl w:val="0"/>
              <w:spacing w:before="0" w:beforeAutospacing="0" w:after="0" w:afterAutospacing="0"/>
              <w:ind w:firstLine="232"/>
              <w:jc w:val="both"/>
              <w:rPr>
                <w:color w:val="000000" w:themeColor="text1"/>
              </w:rPr>
            </w:pPr>
            <w:r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– контролюючих органів </w:t>
            </w:r>
            <w:r w:rsidR="00BC7F56" w:rsidRPr="00004B5D">
              <w:rPr>
                <w:color w:val="000000" w:themeColor="text1"/>
                <w:sz w:val="28"/>
                <w:szCs w:val="28"/>
                <w:lang w:eastAsia="uk-UA"/>
              </w:rPr>
              <w:t xml:space="preserve">щодо здійснення контрольних заходів </w:t>
            </w:r>
            <w:r w:rsidR="00525439" w:rsidRPr="00004B5D">
              <w:rPr>
                <w:color w:val="000000" w:themeColor="text1"/>
                <w:sz w:val="28"/>
                <w:szCs w:val="28"/>
                <w:lang w:eastAsia="uk-UA"/>
              </w:rPr>
              <w:t>з дотримання вимог податкового законодавства</w:t>
            </w:r>
          </w:p>
        </w:tc>
      </w:tr>
      <w:tr w:rsidR="00004B5D" w:rsidRPr="00004B5D" w:rsidTr="00004B5D">
        <w:trPr>
          <w:trHeight w:val="887"/>
        </w:trPr>
        <w:tc>
          <w:tcPr>
            <w:tcW w:w="2127" w:type="dxa"/>
            <w:shd w:val="clear" w:color="auto" w:fill="auto"/>
          </w:tcPr>
          <w:p w:rsidR="00496BE7" w:rsidRPr="00004B5D" w:rsidRDefault="00496BE7" w:rsidP="00F85BCA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>Альтернатива 2</w:t>
            </w:r>
          </w:p>
        </w:tc>
        <w:tc>
          <w:tcPr>
            <w:tcW w:w="2693" w:type="dxa"/>
            <w:shd w:val="clear" w:color="auto" w:fill="auto"/>
          </w:tcPr>
          <w:p w:rsidR="00496BE7" w:rsidRPr="00004B5D" w:rsidRDefault="00D018D1" w:rsidP="001A7735">
            <w:pPr>
              <w:pStyle w:val="a3"/>
              <w:widowControl w:val="0"/>
              <w:spacing w:before="0" w:beforeAutospacing="0" w:after="0" w:afterAutospacing="0"/>
              <w:ind w:firstLine="230"/>
              <w:jc w:val="both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 xml:space="preserve">Застосування вибраного способу досягнення цілей шляхом прийняття запропонованої </w:t>
            </w:r>
            <w:r w:rsidR="001A7735" w:rsidRPr="00004B5D">
              <w:rPr>
                <w:color w:val="000000" w:themeColor="text1"/>
                <w:sz w:val="28"/>
                <w:szCs w:val="28"/>
              </w:rPr>
              <w:t>т</w:t>
            </w:r>
            <w:r w:rsidRPr="00004B5D">
              <w:rPr>
                <w:color w:val="000000" w:themeColor="text1"/>
                <w:sz w:val="28"/>
                <w:szCs w:val="28"/>
              </w:rPr>
              <w:t>ипової форми та удосконаленого порядку ведення обліку доходів і витрат, зокрема, скасовується вимога щодо шнурування та здійснення реєстрації Книги в контролюючому орган</w:t>
            </w:r>
            <w:r w:rsidR="00852544" w:rsidRPr="00004B5D">
              <w:rPr>
                <w:color w:val="000000" w:themeColor="text1"/>
                <w:sz w:val="28"/>
                <w:szCs w:val="28"/>
              </w:rPr>
              <w:t>і</w:t>
            </w:r>
            <w:r w:rsidRPr="00004B5D">
              <w:rPr>
                <w:color w:val="000000" w:themeColor="text1"/>
                <w:sz w:val="28"/>
                <w:szCs w:val="28"/>
              </w:rPr>
              <w:t>, яку фізичні особи – підприємці мали придбати у торговій мережі. Зазначене п</w:t>
            </w:r>
            <w:r w:rsidR="00280A11" w:rsidRPr="00004B5D">
              <w:rPr>
                <w:color w:val="000000" w:themeColor="text1"/>
                <w:sz w:val="28"/>
                <w:szCs w:val="28"/>
              </w:rPr>
              <w:t>ризведе до економії</w:t>
            </w:r>
            <w:r w:rsidR="003245BA" w:rsidRPr="00004B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80A11" w:rsidRPr="00004B5D">
              <w:rPr>
                <w:color w:val="000000" w:themeColor="text1"/>
                <w:sz w:val="28"/>
                <w:szCs w:val="28"/>
              </w:rPr>
              <w:t xml:space="preserve">коштів </w:t>
            </w:r>
            <w:r w:rsidR="00D3551E" w:rsidRPr="00004B5D">
              <w:rPr>
                <w:color w:val="000000" w:themeColor="text1"/>
                <w:sz w:val="28"/>
                <w:szCs w:val="28"/>
              </w:rPr>
              <w:t>суб’єктів</w:t>
            </w:r>
            <w:r w:rsidR="00280A11" w:rsidRPr="00004B5D">
              <w:rPr>
                <w:color w:val="000000" w:themeColor="text1"/>
                <w:sz w:val="28"/>
                <w:szCs w:val="28"/>
              </w:rPr>
              <w:t xml:space="preserve"> господарювання у розмірі близько </w:t>
            </w:r>
            <w:r w:rsidR="00CC510E" w:rsidRPr="00004B5D">
              <w:rPr>
                <w:color w:val="000000" w:themeColor="text1"/>
                <w:sz w:val="28"/>
                <w:szCs w:val="28"/>
              </w:rPr>
              <w:t xml:space="preserve">56824,15 </w:t>
            </w:r>
            <w:r w:rsidR="003B179B" w:rsidRPr="00004B5D">
              <w:rPr>
                <w:color w:val="000000" w:themeColor="text1"/>
                <w:sz w:val="28"/>
                <w:szCs w:val="28"/>
              </w:rPr>
              <w:t>тис</w:t>
            </w:r>
            <w:r w:rsidR="00280A11" w:rsidRPr="00004B5D">
              <w:rPr>
                <w:color w:val="000000" w:themeColor="text1"/>
                <w:sz w:val="28"/>
                <w:szCs w:val="28"/>
              </w:rPr>
              <w:t>. гр</w:t>
            </w:r>
            <w:r w:rsidR="008E03BB" w:rsidRPr="00004B5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2835" w:type="dxa"/>
            <w:shd w:val="clear" w:color="auto" w:fill="auto"/>
          </w:tcPr>
          <w:p w:rsidR="00496BE7" w:rsidRPr="00004B5D" w:rsidRDefault="003245BA" w:rsidP="00CE370D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4B5D">
              <w:rPr>
                <w:color w:val="000000" w:themeColor="text1"/>
                <w:sz w:val="28"/>
                <w:szCs w:val="28"/>
              </w:rPr>
              <w:t xml:space="preserve">Сумарні витрати на виконання регулювання становлять 5793,87 тис. грн (М-ТЕСТ) </w:t>
            </w:r>
          </w:p>
        </w:tc>
        <w:tc>
          <w:tcPr>
            <w:tcW w:w="2432" w:type="dxa"/>
            <w:shd w:val="clear" w:color="auto" w:fill="auto"/>
          </w:tcPr>
          <w:p w:rsidR="00496BE7" w:rsidRPr="00004B5D" w:rsidRDefault="00496BE7" w:rsidP="004F2E81">
            <w:pPr>
              <w:pStyle w:val="11"/>
              <w:widowControl w:val="0"/>
              <w:spacing w:after="120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uk-UA"/>
              </w:rPr>
            </w:pP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Є оптимальн</w:t>
            </w:r>
            <w:r w:rsidR="00217393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ою</w:t>
            </w:r>
            <w:r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оскільки надає вигоду для суб’єктів господарювання</w:t>
            </w:r>
            <w:r w:rsidR="004808CF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</w:t>
            </w:r>
            <w:r w:rsidR="007C12FA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абезпечу</w:t>
            </w:r>
            <w:r w:rsidR="00346EA8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вати</w:t>
            </w:r>
            <w:r w:rsidR="007C12FA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реалізацію права </w:t>
            </w:r>
            <w:r w:rsidR="0055105D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12FA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фізичних осіб – підприємців</w:t>
            </w:r>
            <w:r w:rsidR="004F2E81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д</w:t>
            </w:r>
            <w:r w:rsidR="004808CF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ля контролюючих органів </w:t>
            </w:r>
            <w:r w:rsidR="007C12FA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скороч</w:t>
            </w:r>
            <w:r w:rsidR="004808CF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уються</w:t>
            </w:r>
            <w:r w:rsidR="004F2E81" w:rsidRPr="00004B5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часові та матеріальні витрати</w:t>
            </w:r>
          </w:p>
        </w:tc>
      </w:tr>
    </w:tbl>
    <w:p w:rsidR="00784482" w:rsidRPr="00004B5D" w:rsidRDefault="00784482" w:rsidP="00FD5506">
      <w:pPr>
        <w:pStyle w:val="3"/>
        <w:keepNext w:val="0"/>
        <w:widowControl w:val="0"/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2A2B" w:rsidRPr="00004B5D" w:rsidRDefault="00C22A2B" w:rsidP="00FD5506">
      <w:pPr>
        <w:pStyle w:val="3"/>
        <w:keepNext w:val="0"/>
        <w:widowControl w:val="0"/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>V. Механізми та заходи, які забезпечать розв’язання визначеної проблеми</w:t>
      </w:r>
    </w:p>
    <w:p w:rsidR="009D3F1F" w:rsidRPr="00004B5D" w:rsidRDefault="009D3F1F" w:rsidP="00FD550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16B0D" w:rsidRPr="00004B5D" w:rsidRDefault="00216B0D" w:rsidP="00FD550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i/>
          <w:color w:val="000000" w:themeColor="text1"/>
          <w:sz w:val="28"/>
          <w:szCs w:val="28"/>
        </w:rPr>
        <w:t xml:space="preserve">1. Механізм дії регуляторного </w:t>
      </w:r>
      <w:proofErr w:type="spellStart"/>
      <w:r w:rsidRPr="00004B5D">
        <w:rPr>
          <w:rFonts w:ascii="Times New Roman" w:hAnsi="Times New Roman"/>
          <w:i/>
          <w:color w:val="000000" w:themeColor="text1"/>
          <w:sz w:val="28"/>
          <w:szCs w:val="28"/>
        </w:rPr>
        <w:t>акта</w:t>
      </w:r>
      <w:proofErr w:type="spellEnd"/>
    </w:p>
    <w:p w:rsidR="00216B0D" w:rsidRPr="00004B5D" w:rsidRDefault="00216B0D" w:rsidP="00FD550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>Основним механізмом для розв’язання визначено</w:t>
      </w:r>
      <w:r w:rsidR="00B36B87" w:rsidRPr="00004B5D">
        <w:rPr>
          <w:rFonts w:ascii="Times New Roman" w:hAnsi="Times New Roman"/>
          <w:color w:val="000000" w:themeColor="text1"/>
          <w:sz w:val="28"/>
          <w:szCs w:val="28"/>
        </w:rPr>
        <w:t>ї проблеми є прийняття про</w:t>
      </w:r>
      <w:r w:rsidR="00EE45B8" w:rsidRPr="00004B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36B87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кту наказу Мінфіну </w:t>
      </w:r>
      <w:r w:rsidR="00784482" w:rsidRPr="00004B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Про затвердження </w:t>
      </w:r>
      <w:r w:rsidR="001A7735" w:rsidRPr="00004B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>ипової форми, за якою здійснюється облік доходів і витрат фізичними особами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>підприємцями</w:t>
      </w:r>
      <w:r w:rsidR="00F618B0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>і фізичними особами, які провадять незалежну професійну діяльність</w:t>
      </w:r>
      <w:r w:rsidR="00EE45B8" w:rsidRPr="00004B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та Поряд</w:t>
      </w:r>
      <w:r w:rsidR="00F618B0" w:rsidRPr="00004B5D">
        <w:rPr>
          <w:rFonts w:ascii="Times New Roman" w:hAnsi="Times New Roman"/>
          <w:color w:val="000000" w:themeColor="text1"/>
          <w:sz w:val="28"/>
          <w:szCs w:val="28"/>
        </w:rPr>
        <w:t>ку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7735" w:rsidRPr="00004B5D">
        <w:rPr>
          <w:rFonts w:ascii="Times New Roman" w:hAnsi="Times New Roman"/>
          <w:color w:val="000000" w:themeColor="text1"/>
          <w:sz w:val="28"/>
          <w:szCs w:val="28"/>
        </w:rPr>
        <w:t>її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ведення»</w:t>
      </w:r>
      <w:r w:rsidR="00967EED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і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фактична реалізація його положень.</w:t>
      </w:r>
      <w:r w:rsidR="0000648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Зокрема, </w:t>
      </w:r>
      <w:r w:rsidR="008E43CE" w:rsidRPr="00004B5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0648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атвердження </w:t>
      </w:r>
      <w:r w:rsidR="001A7735" w:rsidRPr="00004B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>ипової</w:t>
      </w:r>
      <w:r w:rsidR="0000648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форм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>и, удосконаленого Порядку ведення обліку доходів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і витрат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, скасування форми Книги </w:t>
      </w:r>
      <w:r w:rsidR="00CC4B9D" w:rsidRPr="00004B5D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Порядку її заповнення, за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</w:rPr>
        <w:t>твер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>джен</w:t>
      </w:r>
      <w:r w:rsidR="00CC4B9D" w:rsidRPr="00004B5D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наказом № 481</w:t>
      </w:r>
      <w:r w:rsidR="0070693B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6547E" w:rsidRPr="00004B5D" w:rsidRDefault="0096547E" w:rsidP="00147D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6B0D" w:rsidRPr="00004B5D" w:rsidRDefault="00216B0D" w:rsidP="000B72F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 Організаційні заходи впровадження регуляторного </w:t>
      </w:r>
      <w:proofErr w:type="spellStart"/>
      <w:r w:rsidRPr="00004B5D">
        <w:rPr>
          <w:rFonts w:ascii="Times New Roman" w:hAnsi="Times New Roman"/>
          <w:i/>
          <w:color w:val="000000" w:themeColor="text1"/>
          <w:sz w:val="28"/>
          <w:szCs w:val="28"/>
        </w:rPr>
        <w:t>акта</w:t>
      </w:r>
      <w:proofErr w:type="spellEnd"/>
      <w:r w:rsidRPr="00004B5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дію</w:t>
      </w:r>
    </w:p>
    <w:p w:rsidR="00E80265" w:rsidRPr="00004B5D" w:rsidRDefault="00216B0D" w:rsidP="000B72F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Для впровадження цього регуляторного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необхідно забезпечити інформування громадськості про вимоги регуляторного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="005E6DBB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шляхом його оприлюднення на офіційн</w:t>
      </w:r>
      <w:r w:rsidR="005410A0" w:rsidRPr="00004B5D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вебсайт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>ах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5E0" w:rsidRPr="00004B5D">
        <w:rPr>
          <w:rFonts w:ascii="Times New Roman" w:hAnsi="Times New Roman"/>
          <w:color w:val="000000" w:themeColor="text1"/>
          <w:sz w:val="28"/>
          <w:szCs w:val="28"/>
        </w:rPr>
        <w:t>Мінфіну та Д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655E0" w:rsidRPr="00004B5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026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80265" w:rsidRPr="00004B5D" w:rsidRDefault="00AA0625" w:rsidP="000B72F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Для реалізації положень регуляторного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0265" w:rsidRPr="00004B5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8026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потрібно </w:t>
      </w:r>
      <w:r w:rsidR="00E80265" w:rsidRPr="00004B5D">
        <w:rPr>
          <w:rFonts w:ascii="Times New Roman" w:hAnsi="Times New Roman"/>
          <w:color w:val="000000" w:themeColor="text1"/>
          <w:sz w:val="28"/>
          <w:szCs w:val="28"/>
        </w:rPr>
        <w:t>забезпеч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8026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ти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впровадження</w:t>
      </w:r>
      <w:r w:rsidR="00E8026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="007B2A2C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використання </w:t>
      </w:r>
      <w:r w:rsidR="00E8026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DA314A" w:rsidRPr="00004B5D">
        <w:rPr>
          <w:rFonts w:ascii="Times New Roman" w:hAnsi="Times New Roman"/>
          <w:color w:val="000000" w:themeColor="text1"/>
          <w:sz w:val="28"/>
          <w:szCs w:val="28"/>
        </w:rPr>
        <w:t>нформаційно</w:t>
      </w:r>
      <w:r w:rsidR="007A2738" w:rsidRPr="00004B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A314A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телекомунікаційній системі 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A314A" w:rsidRPr="00004B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80265" w:rsidRPr="00004B5D">
        <w:rPr>
          <w:rFonts w:ascii="Times New Roman" w:hAnsi="Times New Roman"/>
          <w:color w:val="000000" w:themeColor="text1"/>
          <w:sz w:val="28"/>
          <w:szCs w:val="28"/>
        </w:rPr>
        <w:t>лектронн</w:t>
      </w:r>
      <w:r w:rsidR="00DA314A" w:rsidRPr="00004B5D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E8026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кабінет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A314A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7735" w:rsidRPr="00004B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A66EF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ипової форми, </w:t>
      </w:r>
      <w:r w:rsidR="007B2A2C" w:rsidRPr="00004B5D">
        <w:rPr>
          <w:rFonts w:ascii="Times New Roman" w:hAnsi="Times New Roman"/>
          <w:color w:val="000000" w:themeColor="text1"/>
          <w:sz w:val="28"/>
          <w:szCs w:val="28"/>
        </w:rPr>
        <w:t>затверджен</w:t>
      </w:r>
      <w:r w:rsidR="008E2406" w:rsidRPr="00004B5D">
        <w:rPr>
          <w:rFonts w:ascii="Times New Roman" w:hAnsi="Times New Roman"/>
          <w:color w:val="000000" w:themeColor="text1"/>
          <w:sz w:val="28"/>
          <w:szCs w:val="28"/>
        </w:rPr>
        <w:t>ої</w:t>
      </w:r>
      <w:r w:rsidR="007B2A2C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4B5D">
        <w:rPr>
          <w:rFonts w:ascii="Times New Roman" w:hAnsi="Times New Roman"/>
          <w:color w:val="000000" w:themeColor="text1"/>
          <w:sz w:val="28"/>
          <w:szCs w:val="28"/>
        </w:rPr>
        <w:t>цим</w:t>
      </w:r>
      <w:r w:rsidR="007B2A2C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актом</w:t>
      </w:r>
      <w:r w:rsidR="00697A14" w:rsidRPr="00004B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B2A2C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в еле</w:t>
      </w:r>
      <w:r w:rsidR="00697A14" w:rsidRPr="00004B5D">
        <w:rPr>
          <w:rFonts w:ascii="Times New Roman" w:hAnsi="Times New Roman"/>
          <w:color w:val="000000" w:themeColor="text1"/>
          <w:sz w:val="28"/>
          <w:szCs w:val="28"/>
        </w:rPr>
        <w:t>ктронному форматі.</w:t>
      </w:r>
      <w:r w:rsidR="007B2A2C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6B0D" w:rsidRPr="00004B5D" w:rsidRDefault="00216B0D" w:rsidP="000B72F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Ризику впливу зовнішніх факторів на дію регуляторного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немає.</w:t>
      </w:r>
    </w:p>
    <w:p w:rsidR="00216B0D" w:rsidRPr="00004B5D" w:rsidRDefault="00216B0D" w:rsidP="000B72F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Можлива шкода у разі очікуваних наслідків дії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не прогнозується.</w:t>
      </w:r>
    </w:p>
    <w:p w:rsidR="00850043" w:rsidRPr="00004B5D" w:rsidRDefault="00850043" w:rsidP="000B72F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22A2B" w:rsidRPr="00004B5D" w:rsidRDefault="00C22A2B" w:rsidP="0062014B">
      <w:pPr>
        <w:pStyle w:val="3"/>
        <w:keepNext w:val="0"/>
        <w:widowControl w:val="0"/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VI. Оцінка виконання вимог регуляторного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850043" w:rsidRPr="00004B5D" w:rsidRDefault="00850043" w:rsidP="0062014B">
      <w:pPr>
        <w:spacing w:after="0" w:line="240" w:lineRule="auto"/>
        <w:ind w:firstLine="567"/>
        <w:rPr>
          <w:color w:val="000000" w:themeColor="text1"/>
          <w:lang w:eastAsia="x-none"/>
        </w:rPr>
      </w:pPr>
    </w:p>
    <w:p w:rsidR="00E80265" w:rsidRPr="00004B5D" w:rsidRDefault="00E80265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Реалізація регуляторного </w:t>
      </w:r>
      <w:proofErr w:type="spellStart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не потребуватиме додаткових витрат </w:t>
      </w:r>
      <w:r w:rsidR="00852544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і </w:t>
      </w: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ресурсів органів виконавчої влади та платників податків.</w:t>
      </w:r>
    </w:p>
    <w:p w:rsidR="00E80265" w:rsidRPr="00004B5D" w:rsidRDefault="00E80265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E80265" w:rsidRPr="00004B5D" w:rsidRDefault="00E80265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Відповідно</w:t>
      </w:r>
      <w:r w:rsidR="00D60E17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розрахунок витрат на виконання вимог регуляторного </w:t>
      </w:r>
      <w:proofErr w:type="spellStart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для органів виконавчої влади</w:t>
      </w:r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проведено для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Д</w:t>
      </w:r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ержавної</w:t>
      </w:r>
      <w:proofErr w:type="spellEnd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податкової</w:t>
      </w:r>
      <w:proofErr w:type="spellEnd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служби</w:t>
      </w:r>
      <w:proofErr w:type="spellEnd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України</w:t>
      </w:r>
      <w:proofErr w:type="spellEnd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у </w:t>
      </w:r>
      <w:proofErr w:type="spellStart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складі</w:t>
      </w:r>
      <w:proofErr w:type="spellEnd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М-тесту </w:t>
      </w:r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до Методики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проведення</w:t>
      </w:r>
      <w:proofErr w:type="spellEnd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аналізу</w:t>
      </w:r>
      <w:proofErr w:type="spellEnd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впливу</w:t>
      </w:r>
      <w:proofErr w:type="spellEnd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регуляторного акта. За результатами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з</w:t>
      </w:r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дійсн</w:t>
      </w:r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ення</w:t>
      </w:r>
      <w:proofErr w:type="spellEnd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розрахунк</w:t>
      </w:r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у</w:t>
      </w:r>
      <w:proofErr w:type="spellEnd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вартості</w:t>
      </w:r>
      <w:proofErr w:type="spellEnd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адміністрування</w:t>
      </w:r>
      <w:proofErr w:type="spellEnd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="00CC510E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регулювання</w:t>
      </w:r>
      <w:proofErr w:type="spellEnd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загальна</w:t>
      </w:r>
      <w:proofErr w:type="spellEnd"/>
      <w:proofErr w:type="gramEnd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вартість</w:t>
      </w:r>
      <w:proofErr w:type="spellEnd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8000BF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н</w:t>
      </w:r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а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рік</w:t>
      </w:r>
      <w:proofErr w:type="spellEnd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с</w:t>
      </w:r>
      <w:r w:rsidR="00852544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тановить</w:t>
      </w:r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1906,18 тис.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грн</w:t>
      </w:r>
      <w:proofErr w:type="spellEnd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, </w:t>
      </w:r>
      <w:r w:rsidR="008000BF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н</w:t>
      </w:r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а 5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років</w:t>
      </w:r>
      <w:proofErr w:type="spellEnd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 – 9530,92 тис. </w:t>
      </w:r>
      <w:proofErr w:type="spellStart"/>
      <w:r w:rsidR="0036060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>гривень</w:t>
      </w:r>
      <w:proofErr w:type="spellEnd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E80265" w:rsidRPr="00004B5D" w:rsidRDefault="00E80265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Оновлення програмного забезпечення здійснюється в межах фінансування Державної </w:t>
      </w:r>
      <w:r w:rsidR="000A66EF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податкової</w:t>
      </w: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служби</w:t>
      </w:r>
      <w:r w:rsidR="00852544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України</w:t>
      </w: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без необхідності залучення кадрів. Водночас додаткових витрат держави не </w:t>
      </w:r>
      <w:r w:rsidR="007A4CC2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передбачається</w:t>
      </w: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E80265" w:rsidRPr="00004B5D" w:rsidRDefault="00E80265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Питома вага </w:t>
      </w:r>
      <w:r w:rsidR="00482EF5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суб’єктів</w:t>
      </w: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малого підприємництва (</w:t>
      </w:r>
      <w:proofErr w:type="spellStart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мікропідприєм</w:t>
      </w:r>
      <w:r w:rsidR="000A66EF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ництва</w:t>
      </w:r>
      <w:proofErr w:type="spellEnd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у загальній кількості </w:t>
      </w:r>
      <w:r w:rsidR="00482EF5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суб’єктів</w:t>
      </w: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господарювання, на яких поширюється регулювання, перевищує 10 відсотків, </w:t>
      </w:r>
      <w:r w:rsidR="00FC6875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здійснюється розрахунок витрат на запровадження державного регулювання для </w:t>
      </w:r>
      <w:r w:rsidR="00482EF5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суб’єктів</w:t>
      </w:r>
      <w:r w:rsidR="00FC6875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малого підприємництва згідно з додатком</w:t>
      </w:r>
      <w:r w:rsidR="00852544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="00FC6875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4 до Методики проведення аналізу впливу регуляторного </w:t>
      </w:r>
      <w:proofErr w:type="spellStart"/>
      <w:r w:rsidR="00FC6875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="00FC6875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– Тест малого підприємництва</w:t>
      </w:r>
      <w:r w:rsidR="00F33F49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( М-Тест)</w:t>
      </w:r>
      <w:r w:rsidR="00FC6875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E80265" w:rsidRPr="00004B5D" w:rsidRDefault="00E80265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C22A2B" w:rsidRPr="00004B5D" w:rsidRDefault="00C22A2B" w:rsidP="0062014B">
      <w:pPr>
        <w:widowControl w:val="0"/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VII. Обґрунтування запропонованого строку дії регуляторного </w:t>
      </w:r>
      <w:proofErr w:type="spellStart"/>
      <w:r w:rsidRPr="00004B5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акта</w:t>
      </w:r>
      <w:proofErr w:type="spellEnd"/>
    </w:p>
    <w:p w:rsidR="00850043" w:rsidRPr="00004B5D" w:rsidRDefault="00850043" w:rsidP="0062014B">
      <w:pPr>
        <w:widowControl w:val="0"/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C22A2B" w:rsidRPr="00004B5D" w:rsidRDefault="00C22A2B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Строк дії регуляторного </w:t>
      </w:r>
      <w:proofErr w:type="spellStart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акт</w:t>
      </w:r>
      <w:r w:rsidR="00DD2130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а</w:t>
      </w:r>
      <w:proofErr w:type="spellEnd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не обмежується у часі</w:t>
      </w:r>
      <w:r w:rsidR="00AF38F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AF38FB" w:rsidRPr="00004B5D" w:rsidRDefault="00DD2130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Зміна терміну дії </w:t>
      </w:r>
      <w:proofErr w:type="spellStart"/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="00AF38F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можлива в разі зміни правов</w:t>
      </w:r>
      <w:r w:rsidR="001112F7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их</w:t>
      </w:r>
      <w:r w:rsidR="00AF38F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акт</w:t>
      </w:r>
      <w:r w:rsidR="001112F7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ів</w:t>
      </w:r>
      <w:r w:rsidR="00AF38F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, на виконанн</w:t>
      </w:r>
      <w:r w:rsidR="00852544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і</w:t>
      </w:r>
      <w:r w:rsidR="00AF38F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вимог яких базується про</w:t>
      </w:r>
      <w:r w:rsidR="00D60E17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е</w:t>
      </w:r>
      <w:r w:rsidR="00AF38FB"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кт.</w:t>
      </w:r>
    </w:p>
    <w:p w:rsidR="00850043" w:rsidRPr="00004B5D" w:rsidRDefault="00B43F98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04B5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Наказ набирає чинності з дня його офіційного опублікування.</w:t>
      </w:r>
    </w:p>
    <w:p w:rsidR="00B43F98" w:rsidRDefault="00B43F98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AD2C93" w:rsidRDefault="00AD2C93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AD2C93" w:rsidRPr="00004B5D" w:rsidRDefault="00AD2C93" w:rsidP="0062014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C22A2B" w:rsidRPr="00004B5D" w:rsidRDefault="00C22A2B" w:rsidP="0062014B">
      <w:pPr>
        <w:pStyle w:val="3"/>
        <w:keepNext w:val="0"/>
        <w:widowControl w:val="0"/>
        <w:spacing w:before="0"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D977EF" w:rsidRPr="00004B5D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</w:p>
    <w:p w:rsidR="00850043" w:rsidRPr="00004B5D" w:rsidRDefault="00850043" w:rsidP="0062014B">
      <w:pPr>
        <w:spacing w:after="0" w:line="240" w:lineRule="auto"/>
        <w:ind w:firstLine="567"/>
        <w:rPr>
          <w:color w:val="000000" w:themeColor="text1"/>
          <w:lang w:eastAsia="x-none"/>
        </w:rPr>
      </w:pPr>
    </w:p>
    <w:p w:rsidR="001640F7" w:rsidRPr="00004B5D" w:rsidRDefault="001640F7" w:rsidP="0062014B">
      <w:pPr>
        <w:pStyle w:val="aa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З огляду на цілі державного регулювання для відстеження результативності цього наказу пропонується встановити такі показники:</w:t>
      </w:r>
    </w:p>
    <w:p w:rsidR="001640F7" w:rsidRPr="00004B5D" w:rsidRDefault="00400C13" w:rsidP="0062014B">
      <w:pPr>
        <w:pStyle w:val="aa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1) </w:t>
      </w:r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кількість суб’єктів господарювання (фізичних осіб – підприємців)</w:t>
      </w:r>
      <w:r w:rsidR="005B3AC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945EA0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мають вести облік за </w:t>
      </w:r>
      <w:r w:rsidR="001A7735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945EA0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иповою формою</w:t>
      </w:r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; </w:t>
      </w:r>
    </w:p>
    <w:p w:rsidR="001640F7" w:rsidRPr="00004B5D" w:rsidRDefault="00400C13" w:rsidP="0062014B">
      <w:pPr>
        <w:pStyle w:val="aa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</w:t>
      </w:r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кількість</w:t>
      </w:r>
      <w:r w:rsidR="0023320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звернень фізичних осіб – підприємців щодо </w:t>
      </w:r>
      <w:r w:rsidR="00D03CBF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питань, пов’язаних з </w:t>
      </w:r>
      <w:r w:rsidR="0023320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ведення</w:t>
      </w:r>
      <w:r w:rsidR="00D03CBF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23320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обліку доходів і витрат</w:t>
      </w:r>
      <w:r w:rsidR="00D03CBF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23320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використанням </w:t>
      </w:r>
      <w:r w:rsidR="001A7735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23320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ипової форми та за новим порядком</w:t>
      </w:r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6E351B" w:rsidRPr="00004B5D" w:rsidRDefault="00C76208" w:rsidP="0062014B">
      <w:pPr>
        <w:pStyle w:val="aa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3) кількість</w:t>
      </w:r>
      <w:r w:rsidR="009D3F1F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суб’єктів господарювання (фізичних осіб – підприємців), що задекларували амортизаційні витрати, зокрема використовували додаток до </w:t>
      </w:r>
      <w:r w:rsidR="001A7735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9D3F1F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ипової форми для ведення обліку таких витрат;</w:t>
      </w:r>
    </w:p>
    <w:p w:rsidR="001640F7" w:rsidRPr="00004B5D" w:rsidRDefault="009D3F1F" w:rsidP="0062014B">
      <w:pPr>
        <w:pStyle w:val="aa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400C1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</w:t>
      </w:r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показник витрат часу, досягнутий суб’єктами </w:t>
      </w:r>
      <w:r w:rsidR="005B3AC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господарювання</w:t>
      </w:r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 виконанні вимог регуляторного </w:t>
      </w:r>
      <w:proofErr w:type="spellStart"/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акт</w:t>
      </w:r>
      <w:r w:rsidR="000E0F3E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, зменшиться;</w:t>
      </w:r>
    </w:p>
    <w:p w:rsidR="001640F7" w:rsidRPr="00004B5D" w:rsidRDefault="009D3F1F" w:rsidP="0062014B">
      <w:pPr>
        <w:pStyle w:val="aa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400C1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</w:t>
      </w:r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рівень поінформованості суб’єктів господарювання стосовно основних положень регуляторного </w:t>
      </w:r>
      <w:proofErr w:type="spellStart"/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="001640F7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високий.</w:t>
      </w:r>
    </w:p>
    <w:p w:rsidR="00C22A2B" w:rsidRPr="00004B5D" w:rsidRDefault="00C22A2B" w:rsidP="0062014B">
      <w:pPr>
        <w:pStyle w:val="aa"/>
        <w:widowControl w:val="0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</w:t>
      </w:r>
      <w:r w:rsidR="000C7BA1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кт розміщено на офіційн</w:t>
      </w:r>
      <w:r w:rsidR="00852544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7D490C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х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вебсайт</w:t>
      </w:r>
      <w:r w:rsidR="007D490C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ах</w:t>
      </w:r>
      <w:proofErr w:type="spellEnd"/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Міністерства </w:t>
      </w:r>
      <w:r w:rsidR="005B6FD8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фінансів</w:t>
      </w:r>
      <w:r w:rsidR="009E0FF3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України </w:t>
      </w:r>
      <w:r w:rsidR="00964F31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 w:rsidR="00604F1A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Державної </w:t>
      </w:r>
      <w:r w:rsidR="007D490C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податкової</w:t>
      </w:r>
      <w:r w:rsidR="00604F1A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служби України</w:t>
      </w:r>
      <w:r w:rsidR="00FA2A5C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BF3392" w:rsidRPr="00004B5D" w:rsidRDefault="00BF3392" w:rsidP="0062014B">
      <w:pPr>
        <w:pStyle w:val="aa"/>
        <w:widowControl w:val="0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22A2B" w:rsidRPr="00004B5D" w:rsidRDefault="00C22A2B" w:rsidP="0062014B">
      <w:pPr>
        <w:pStyle w:val="3"/>
        <w:keepNext w:val="0"/>
        <w:widowControl w:val="0"/>
        <w:spacing w:before="0"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</w:rPr>
        <w:t>IX. Визначення заходів, за допомогою яких здійснюватиметься відстеження результ</w:t>
      </w:r>
      <w:r w:rsidR="000B1885" w:rsidRPr="00004B5D">
        <w:rPr>
          <w:rFonts w:ascii="Times New Roman" w:hAnsi="Times New Roman"/>
          <w:color w:val="000000" w:themeColor="text1"/>
          <w:sz w:val="28"/>
          <w:szCs w:val="28"/>
        </w:rPr>
        <w:t xml:space="preserve">ативності дії регуляторного </w:t>
      </w:r>
      <w:proofErr w:type="spellStart"/>
      <w:r w:rsidR="000B1885" w:rsidRPr="00004B5D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</w:p>
    <w:p w:rsidR="00F536B8" w:rsidRPr="00004B5D" w:rsidRDefault="00F536B8" w:rsidP="0062014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n175"/>
      <w:bookmarkEnd w:id="0"/>
    </w:p>
    <w:p w:rsidR="00F536B8" w:rsidRPr="00004B5D" w:rsidRDefault="00F536B8" w:rsidP="003B0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Відстеження результативності регуляторного </w:t>
      </w:r>
      <w:proofErr w:type="spellStart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акта</w:t>
      </w:r>
      <w:proofErr w:type="spellEnd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буде здійснюватися Мінфіном статистичним методом шляхом аналізу динаміки показників, вказаних у розділі VIII.</w:t>
      </w:r>
    </w:p>
    <w:p w:rsidR="00F536B8" w:rsidRPr="00004B5D" w:rsidRDefault="00F536B8" w:rsidP="00620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bookmarkStart w:id="1" w:name="o49"/>
      <w:bookmarkEnd w:id="1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Базове відстеження результативності здійснюватиметься після набрання чинності цим регуляторним актом, але не пізніше дня, з якого починається проведення повторного відстеження результативності цього </w:t>
      </w:r>
      <w:proofErr w:type="spellStart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F536B8" w:rsidRPr="00004B5D" w:rsidRDefault="00F536B8" w:rsidP="00620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Повторне відстеження результативності регуляторного </w:t>
      </w:r>
      <w:proofErr w:type="spellStart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здійснюється через рік з дня набрання ним чинності, але не пізніше двох років після набрання ним чинності. </w:t>
      </w:r>
    </w:p>
    <w:p w:rsidR="00F536B8" w:rsidRPr="00004B5D" w:rsidRDefault="00F536B8" w:rsidP="00620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Періодичне відстеження результативності регуляторного </w:t>
      </w:r>
      <w:proofErr w:type="spellStart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здійснюється раз на три роки, починаючи з дня виконання заходів з повторного відстеження.</w:t>
      </w:r>
    </w:p>
    <w:p w:rsidR="00F536B8" w:rsidRPr="00004B5D" w:rsidRDefault="00F536B8" w:rsidP="00620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У разі виявлення неврегульованих та проблемних питань під час проведення аналізу показників дії цього </w:t>
      </w:r>
      <w:proofErr w:type="spellStart"/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="000C7BA1"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</w:t>
      </w:r>
      <w:r w:rsidRPr="00004B5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ці питання будуть вирішені шляхом внесення відповідних змін.</w:t>
      </w:r>
    </w:p>
    <w:p w:rsidR="00F536B8" w:rsidRPr="00004B5D" w:rsidRDefault="00F536B8" w:rsidP="00620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F536B8" w:rsidRPr="00004B5D" w:rsidRDefault="00F536B8" w:rsidP="00F53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A964D9" w:rsidRPr="00004B5D" w:rsidRDefault="00A964D9" w:rsidP="00A964D9">
      <w:pPr>
        <w:pStyle w:val="aa"/>
        <w:widowControl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Міністр фінансів України               </w:t>
      </w:r>
      <w:r w:rsidR="00262D4C" w:rsidRPr="00004B5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</w:t>
      </w:r>
      <w:r w:rsidRPr="00004B5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</w:t>
      </w:r>
      <w:r w:rsidR="00F80365" w:rsidRPr="00004B5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Сергій МАРЧЕНКО</w:t>
      </w:r>
    </w:p>
    <w:p w:rsidR="00262D4C" w:rsidRPr="00004B5D" w:rsidRDefault="00262D4C" w:rsidP="00A964D9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62D4C" w:rsidRPr="00004B5D" w:rsidRDefault="00262D4C" w:rsidP="00A964D9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62D4C" w:rsidRPr="00004B5D" w:rsidRDefault="00262D4C" w:rsidP="00A964D9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964D9" w:rsidRPr="00004B5D" w:rsidRDefault="00A964D9" w:rsidP="00A964D9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"_____" ________________20</w:t>
      </w:r>
      <w:r w:rsidR="00F80365"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BC40DA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004B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р. </w:t>
      </w:r>
      <w:bookmarkStart w:id="2" w:name="_GoBack"/>
      <w:bookmarkEnd w:id="2"/>
    </w:p>
    <w:sectPr w:rsidR="00A964D9" w:rsidRPr="00004B5D" w:rsidSect="00AD2C93">
      <w:headerReference w:type="default" r:id="rId8"/>
      <w:pgSz w:w="12240" w:h="15840"/>
      <w:pgMar w:top="850" w:right="850" w:bottom="850" w:left="1417" w:header="42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C4" w:rsidRDefault="00260FC4" w:rsidP="00F26B7E">
      <w:pPr>
        <w:spacing w:after="0" w:line="240" w:lineRule="auto"/>
      </w:pPr>
      <w:r>
        <w:separator/>
      </w:r>
    </w:p>
  </w:endnote>
  <w:endnote w:type="continuationSeparator" w:id="0">
    <w:p w:rsidR="00260FC4" w:rsidRDefault="00260FC4" w:rsidP="00F2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C4" w:rsidRDefault="00260FC4" w:rsidP="00F26B7E">
      <w:pPr>
        <w:spacing w:after="0" w:line="240" w:lineRule="auto"/>
      </w:pPr>
      <w:r>
        <w:separator/>
      </w:r>
    </w:p>
  </w:footnote>
  <w:footnote w:type="continuationSeparator" w:id="0">
    <w:p w:rsidR="00260FC4" w:rsidRDefault="00260FC4" w:rsidP="00F2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23" w:rsidRPr="00F55447" w:rsidRDefault="001D4223" w:rsidP="0000304C">
    <w:pPr>
      <w:pStyle w:val="af0"/>
      <w:widowControl w:val="0"/>
      <w:tabs>
        <w:tab w:val="clear" w:pos="4844"/>
        <w:tab w:val="clear" w:pos="9689"/>
      </w:tabs>
      <w:spacing w:line="240" w:lineRule="auto"/>
      <w:jc w:val="center"/>
      <w:rPr>
        <w:rFonts w:ascii="Times New Roman" w:hAnsi="Times New Roman"/>
        <w:sz w:val="28"/>
        <w:szCs w:val="28"/>
      </w:rPr>
    </w:pPr>
    <w:r w:rsidRPr="00F55447">
      <w:rPr>
        <w:rFonts w:ascii="Times New Roman" w:hAnsi="Times New Roman"/>
        <w:sz w:val="28"/>
        <w:szCs w:val="28"/>
      </w:rPr>
      <w:fldChar w:fldCharType="begin"/>
    </w:r>
    <w:r w:rsidRPr="00F55447">
      <w:rPr>
        <w:rFonts w:ascii="Times New Roman" w:hAnsi="Times New Roman"/>
        <w:sz w:val="28"/>
        <w:szCs w:val="28"/>
      </w:rPr>
      <w:instrText xml:space="preserve"> PAGE   \* MERGEFORMAT </w:instrText>
    </w:r>
    <w:r w:rsidRPr="00F55447">
      <w:rPr>
        <w:rFonts w:ascii="Times New Roman" w:hAnsi="Times New Roman"/>
        <w:sz w:val="28"/>
        <w:szCs w:val="28"/>
      </w:rPr>
      <w:fldChar w:fldCharType="separate"/>
    </w:r>
    <w:r w:rsidR="00AD2C93">
      <w:rPr>
        <w:rFonts w:ascii="Times New Roman" w:hAnsi="Times New Roman"/>
        <w:noProof/>
        <w:sz w:val="28"/>
        <w:szCs w:val="28"/>
      </w:rPr>
      <w:t>11</w:t>
    </w:r>
    <w:r w:rsidRPr="00F55447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art8492"/>
      </v:shape>
    </w:pict>
  </w:numPicBullet>
  <w:abstractNum w:abstractNumId="0" w15:restartNumberingAfterBreak="0">
    <w:nsid w:val="112B6005"/>
    <w:multiLevelType w:val="hybridMultilevel"/>
    <w:tmpl w:val="40B23C02"/>
    <w:lvl w:ilvl="0" w:tplc="03FE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F6C46"/>
    <w:multiLevelType w:val="hybridMultilevel"/>
    <w:tmpl w:val="41A837E8"/>
    <w:lvl w:ilvl="0" w:tplc="600AE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53088"/>
    <w:multiLevelType w:val="multilevel"/>
    <w:tmpl w:val="3108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C620A"/>
    <w:multiLevelType w:val="hybridMultilevel"/>
    <w:tmpl w:val="3D2E7188"/>
    <w:lvl w:ilvl="0" w:tplc="7264060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090984"/>
    <w:multiLevelType w:val="hybridMultilevel"/>
    <w:tmpl w:val="5B2CFAB6"/>
    <w:lvl w:ilvl="0" w:tplc="CACEC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E98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E231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B63D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693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7AA9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6E75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89A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267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D431EF"/>
    <w:multiLevelType w:val="hybridMultilevel"/>
    <w:tmpl w:val="3686FC06"/>
    <w:lvl w:ilvl="0" w:tplc="3604A8AA">
      <w:start w:val="1"/>
      <w:numFmt w:val="upperRoman"/>
      <w:suff w:val="space"/>
      <w:lvlText w:val="%1."/>
      <w:lvlJc w:val="right"/>
      <w:pPr>
        <w:ind w:left="1714" w:hanging="1005"/>
      </w:pPr>
      <w:rPr>
        <w:rFonts w:hint="default"/>
      </w:rPr>
    </w:lvl>
    <w:lvl w:ilvl="1" w:tplc="35A2F8B8">
      <w:start w:val="1"/>
      <w:numFmt w:val="decimal"/>
      <w:suff w:val="space"/>
      <w:lvlText w:val="%2."/>
      <w:lvlJc w:val="left"/>
      <w:pPr>
        <w:ind w:left="1789" w:hanging="360"/>
      </w:pPr>
      <w:rPr>
        <w:rFonts w:hint="default"/>
      </w:rPr>
    </w:lvl>
    <w:lvl w:ilvl="2" w:tplc="EBC22B18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0D11B65"/>
    <w:multiLevelType w:val="hybridMultilevel"/>
    <w:tmpl w:val="86A86F96"/>
    <w:lvl w:ilvl="0" w:tplc="29DA0AB0">
      <w:start w:val="1"/>
      <w:numFmt w:val="decimal"/>
      <w:lvlText w:val="%1."/>
      <w:lvlJc w:val="left"/>
      <w:pPr>
        <w:ind w:left="114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7" w15:restartNumberingAfterBreak="0">
    <w:nsid w:val="24A80CE8"/>
    <w:multiLevelType w:val="hybridMultilevel"/>
    <w:tmpl w:val="ECF89C5E"/>
    <w:lvl w:ilvl="0" w:tplc="0CA46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991103"/>
    <w:multiLevelType w:val="hybridMultilevel"/>
    <w:tmpl w:val="A1606B62"/>
    <w:lvl w:ilvl="0" w:tplc="D3FADC00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942AF"/>
    <w:multiLevelType w:val="hybridMultilevel"/>
    <w:tmpl w:val="C9FEA580"/>
    <w:lvl w:ilvl="0" w:tplc="8A2A0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6C0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A92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482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20F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C61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8A9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402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D2E4BBF"/>
    <w:multiLevelType w:val="hybridMultilevel"/>
    <w:tmpl w:val="A1606B62"/>
    <w:lvl w:ilvl="0" w:tplc="D3FADC0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9E6068"/>
    <w:multiLevelType w:val="hybridMultilevel"/>
    <w:tmpl w:val="75EA07C2"/>
    <w:lvl w:ilvl="0" w:tplc="10C25F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26B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284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AE62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2F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8FC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6A2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EF6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C62F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E793040"/>
    <w:multiLevelType w:val="hybridMultilevel"/>
    <w:tmpl w:val="CA326FCC"/>
    <w:lvl w:ilvl="0" w:tplc="5D32A55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B2BC1"/>
    <w:multiLevelType w:val="hybridMultilevel"/>
    <w:tmpl w:val="590C9F70"/>
    <w:lvl w:ilvl="0" w:tplc="23E6B8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DB17A2"/>
    <w:multiLevelType w:val="hybridMultilevel"/>
    <w:tmpl w:val="CF941EFA"/>
    <w:lvl w:ilvl="0" w:tplc="3F645802">
      <w:start w:val="10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9F0D79"/>
    <w:multiLevelType w:val="hybridMultilevel"/>
    <w:tmpl w:val="FC2489AC"/>
    <w:lvl w:ilvl="0" w:tplc="A3244B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EE377BC"/>
    <w:multiLevelType w:val="hybridMultilevel"/>
    <w:tmpl w:val="5F989DCA"/>
    <w:lvl w:ilvl="0" w:tplc="E2BCD4E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EE5CB9"/>
    <w:multiLevelType w:val="hybridMultilevel"/>
    <w:tmpl w:val="0ED66FB2"/>
    <w:lvl w:ilvl="0" w:tplc="178CB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097F2B"/>
    <w:multiLevelType w:val="hybridMultilevel"/>
    <w:tmpl w:val="01B0FDA8"/>
    <w:lvl w:ilvl="0" w:tplc="8CAE7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EB5CA0"/>
    <w:multiLevelType w:val="hybridMultilevel"/>
    <w:tmpl w:val="63B46E54"/>
    <w:lvl w:ilvl="0" w:tplc="6D50F450">
      <w:start w:val="3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color w:val="92D050"/>
        <w:sz w:val="28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 w15:restartNumberingAfterBreak="0">
    <w:nsid w:val="6C8A47AA"/>
    <w:multiLevelType w:val="hybridMultilevel"/>
    <w:tmpl w:val="36CCB074"/>
    <w:lvl w:ilvl="0" w:tplc="DF3EEE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0BD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295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4D2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6F1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A3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2C31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247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44B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7C64A0A"/>
    <w:multiLevelType w:val="hybridMultilevel"/>
    <w:tmpl w:val="42B0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02382"/>
    <w:multiLevelType w:val="hybridMultilevel"/>
    <w:tmpl w:val="D57ECB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3"/>
  </w:num>
  <w:num w:numId="5">
    <w:abstractNumId w:val="1"/>
  </w:num>
  <w:num w:numId="6">
    <w:abstractNumId w:val="17"/>
  </w:num>
  <w:num w:numId="7">
    <w:abstractNumId w:val="6"/>
  </w:num>
  <w:num w:numId="8">
    <w:abstractNumId w:val="0"/>
  </w:num>
  <w:num w:numId="9">
    <w:abstractNumId w:val="21"/>
  </w:num>
  <w:num w:numId="10">
    <w:abstractNumId w:val="8"/>
  </w:num>
  <w:num w:numId="11">
    <w:abstractNumId w:val="22"/>
  </w:num>
  <w:num w:numId="12">
    <w:abstractNumId w:val="10"/>
  </w:num>
  <w:num w:numId="13">
    <w:abstractNumId w:val="2"/>
  </w:num>
  <w:num w:numId="14">
    <w:abstractNumId w:val="16"/>
  </w:num>
  <w:num w:numId="15">
    <w:abstractNumId w:val="11"/>
  </w:num>
  <w:num w:numId="16">
    <w:abstractNumId w:val="4"/>
  </w:num>
  <w:num w:numId="17">
    <w:abstractNumId w:val="9"/>
  </w:num>
  <w:num w:numId="18">
    <w:abstractNumId w:val="20"/>
  </w:num>
  <w:num w:numId="19">
    <w:abstractNumId w:val="12"/>
  </w:num>
  <w:num w:numId="20">
    <w:abstractNumId w:val="7"/>
  </w:num>
  <w:num w:numId="21">
    <w:abstractNumId w:val="14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A6"/>
    <w:rsid w:val="00000710"/>
    <w:rsid w:val="0000119D"/>
    <w:rsid w:val="000025E8"/>
    <w:rsid w:val="0000304C"/>
    <w:rsid w:val="00003078"/>
    <w:rsid w:val="000037A9"/>
    <w:rsid w:val="00004B5D"/>
    <w:rsid w:val="00005F71"/>
    <w:rsid w:val="00006485"/>
    <w:rsid w:val="00007DBB"/>
    <w:rsid w:val="000134D6"/>
    <w:rsid w:val="000140AC"/>
    <w:rsid w:val="00015F16"/>
    <w:rsid w:val="00016E3D"/>
    <w:rsid w:val="000214F0"/>
    <w:rsid w:val="00021C46"/>
    <w:rsid w:val="000222F4"/>
    <w:rsid w:val="00022F2D"/>
    <w:rsid w:val="00024806"/>
    <w:rsid w:val="0002507E"/>
    <w:rsid w:val="00026A3E"/>
    <w:rsid w:val="00026D41"/>
    <w:rsid w:val="00027248"/>
    <w:rsid w:val="0003187E"/>
    <w:rsid w:val="00031D11"/>
    <w:rsid w:val="0003297F"/>
    <w:rsid w:val="000333BD"/>
    <w:rsid w:val="00033BAB"/>
    <w:rsid w:val="00034852"/>
    <w:rsid w:val="00034EDE"/>
    <w:rsid w:val="00040AB8"/>
    <w:rsid w:val="00041371"/>
    <w:rsid w:val="00045785"/>
    <w:rsid w:val="0004668A"/>
    <w:rsid w:val="00047CD0"/>
    <w:rsid w:val="00050410"/>
    <w:rsid w:val="000523E5"/>
    <w:rsid w:val="000526DA"/>
    <w:rsid w:val="00052E18"/>
    <w:rsid w:val="00053186"/>
    <w:rsid w:val="00053556"/>
    <w:rsid w:val="000536A0"/>
    <w:rsid w:val="000600DC"/>
    <w:rsid w:val="000621E3"/>
    <w:rsid w:val="000650C4"/>
    <w:rsid w:val="00065E37"/>
    <w:rsid w:val="00070625"/>
    <w:rsid w:val="00070DA5"/>
    <w:rsid w:val="00070FBA"/>
    <w:rsid w:val="0007197D"/>
    <w:rsid w:val="00071F2B"/>
    <w:rsid w:val="00072B6B"/>
    <w:rsid w:val="00074188"/>
    <w:rsid w:val="000747BB"/>
    <w:rsid w:val="00075A91"/>
    <w:rsid w:val="00077003"/>
    <w:rsid w:val="0008003D"/>
    <w:rsid w:val="00080B68"/>
    <w:rsid w:val="00080D4B"/>
    <w:rsid w:val="00083A95"/>
    <w:rsid w:val="00085567"/>
    <w:rsid w:val="00086877"/>
    <w:rsid w:val="00087087"/>
    <w:rsid w:val="000906BE"/>
    <w:rsid w:val="00092321"/>
    <w:rsid w:val="00094CFF"/>
    <w:rsid w:val="000A0AB8"/>
    <w:rsid w:val="000A1207"/>
    <w:rsid w:val="000A1610"/>
    <w:rsid w:val="000A2DBA"/>
    <w:rsid w:val="000A3791"/>
    <w:rsid w:val="000A4D10"/>
    <w:rsid w:val="000A59B6"/>
    <w:rsid w:val="000A66EF"/>
    <w:rsid w:val="000A68A7"/>
    <w:rsid w:val="000B0040"/>
    <w:rsid w:val="000B1885"/>
    <w:rsid w:val="000B1BA9"/>
    <w:rsid w:val="000B25FB"/>
    <w:rsid w:val="000B51CA"/>
    <w:rsid w:val="000B54B5"/>
    <w:rsid w:val="000B72FF"/>
    <w:rsid w:val="000C10A6"/>
    <w:rsid w:val="000C2E6E"/>
    <w:rsid w:val="000C37F1"/>
    <w:rsid w:val="000C3C28"/>
    <w:rsid w:val="000C4935"/>
    <w:rsid w:val="000C5A2A"/>
    <w:rsid w:val="000C7BA1"/>
    <w:rsid w:val="000D7EBE"/>
    <w:rsid w:val="000E079A"/>
    <w:rsid w:val="000E0F3E"/>
    <w:rsid w:val="000E258D"/>
    <w:rsid w:val="000E31C5"/>
    <w:rsid w:val="000E64FC"/>
    <w:rsid w:val="000E7183"/>
    <w:rsid w:val="000E7BCD"/>
    <w:rsid w:val="000E7CE9"/>
    <w:rsid w:val="000F0EFA"/>
    <w:rsid w:val="000F1C5C"/>
    <w:rsid w:val="000F3206"/>
    <w:rsid w:val="000F3BFB"/>
    <w:rsid w:val="000F4830"/>
    <w:rsid w:val="000F5BC7"/>
    <w:rsid w:val="000F62D6"/>
    <w:rsid w:val="000F6537"/>
    <w:rsid w:val="000F7A89"/>
    <w:rsid w:val="000F7FBE"/>
    <w:rsid w:val="001008FC"/>
    <w:rsid w:val="00101CCD"/>
    <w:rsid w:val="00101F2C"/>
    <w:rsid w:val="001020EB"/>
    <w:rsid w:val="00102225"/>
    <w:rsid w:val="00102845"/>
    <w:rsid w:val="00102F7E"/>
    <w:rsid w:val="00103BAD"/>
    <w:rsid w:val="00106971"/>
    <w:rsid w:val="001070B2"/>
    <w:rsid w:val="001100B5"/>
    <w:rsid w:val="001112C9"/>
    <w:rsid w:val="001112F7"/>
    <w:rsid w:val="001115BC"/>
    <w:rsid w:val="001139A6"/>
    <w:rsid w:val="00113F29"/>
    <w:rsid w:val="001154C6"/>
    <w:rsid w:val="0012040C"/>
    <w:rsid w:val="0012111E"/>
    <w:rsid w:val="0012283A"/>
    <w:rsid w:val="00123C30"/>
    <w:rsid w:val="00123C9A"/>
    <w:rsid w:val="0012401E"/>
    <w:rsid w:val="00124385"/>
    <w:rsid w:val="00124B19"/>
    <w:rsid w:val="00124E03"/>
    <w:rsid w:val="00125162"/>
    <w:rsid w:val="0012562A"/>
    <w:rsid w:val="0012568F"/>
    <w:rsid w:val="00127215"/>
    <w:rsid w:val="00130061"/>
    <w:rsid w:val="00130AD9"/>
    <w:rsid w:val="00131EF1"/>
    <w:rsid w:val="00133A16"/>
    <w:rsid w:val="00135F2D"/>
    <w:rsid w:val="001417E8"/>
    <w:rsid w:val="001467F5"/>
    <w:rsid w:val="00147D02"/>
    <w:rsid w:val="001506FB"/>
    <w:rsid w:val="00151497"/>
    <w:rsid w:val="00151F75"/>
    <w:rsid w:val="00152814"/>
    <w:rsid w:val="00152B16"/>
    <w:rsid w:val="001534E8"/>
    <w:rsid w:val="00153E0D"/>
    <w:rsid w:val="00154B82"/>
    <w:rsid w:val="0015601B"/>
    <w:rsid w:val="0015674E"/>
    <w:rsid w:val="00156873"/>
    <w:rsid w:val="00160808"/>
    <w:rsid w:val="00160B59"/>
    <w:rsid w:val="00161BBD"/>
    <w:rsid w:val="0016242E"/>
    <w:rsid w:val="0016390B"/>
    <w:rsid w:val="001640F7"/>
    <w:rsid w:val="00165062"/>
    <w:rsid w:val="00165DAD"/>
    <w:rsid w:val="001677C6"/>
    <w:rsid w:val="00167E65"/>
    <w:rsid w:val="00172BE1"/>
    <w:rsid w:val="00173085"/>
    <w:rsid w:val="00173FD0"/>
    <w:rsid w:val="00174D5E"/>
    <w:rsid w:val="001756D3"/>
    <w:rsid w:val="001759FA"/>
    <w:rsid w:val="00175D1C"/>
    <w:rsid w:val="00176E3A"/>
    <w:rsid w:val="00177518"/>
    <w:rsid w:val="001800C8"/>
    <w:rsid w:val="00180106"/>
    <w:rsid w:val="001821B5"/>
    <w:rsid w:val="00182AAD"/>
    <w:rsid w:val="0018312B"/>
    <w:rsid w:val="00183B06"/>
    <w:rsid w:val="00186A0F"/>
    <w:rsid w:val="00190038"/>
    <w:rsid w:val="001901E0"/>
    <w:rsid w:val="0019167B"/>
    <w:rsid w:val="00192323"/>
    <w:rsid w:val="00192AF2"/>
    <w:rsid w:val="00193989"/>
    <w:rsid w:val="001962B3"/>
    <w:rsid w:val="00196B8A"/>
    <w:rsid w:val="00197239"/>
    <w:rsid w:val="0019786B"/>
    <w:rsid w:val="00197B3D"/>
    <w:rsid w:val="001A0306"/>
    <w:rsid w:val="001A225F"/>
    <w:rsid w:val="001A3881"/>
    <w:rsid w:val="001A43E8"/>
    <w:rsid w:val="001A4996"/>
    <w:rsid w:val="001A5730"/>
    <w:rsid w:val="001A6929"/>
    <w:rsid w:val="001A6D6F"/>
    <w:rsid w:val="001A7735"/>
    <w:rsid w:val="001B067C"/>
    <w:rsid w:val="001B1352"/>
    <w:rsid w:val="001B4E73"/>
    <w:rsid w:val="001B53FF"/>
    <w:rsid w:val="001B6746"/>
    <w:rsid w:val="001B6EFC"/>
    <w:rsid w:val="001B71BD"/>
    <w:rsid w:val="001B7209"/>
    <w:rsid w:val="001C0A3C"/>
    <w:rsid w:val="001C0ECC"/>
    <w:rsid w:val="001C1CFD"/>
    <w:rsid w:val="001C259A"/>
    <w:rsid w:val="001C3537"/>
    <w:rsid w:val="001C5860"/>
    <w:rsid w:val="001C67C7"/>
    <w:rsid w:val="001C6B5E"/>
    <w:rsid w:val="001C6C48"/>
    <w:rsid w:val="001D0884"/>
    <w:rsid w:val="001D1824"/>
    <w:rsid w:val="001D1AB3"/>
    <w:rsid w:val="001D2A20"/>
    <w:rsid w:val="001D4223"/>
    <w:rsid w:val="001D4380"/>
    <w:rsid w:val="001D587B"/>
    <w:rsid w:val="001D6323"/>
    <w:rsid w:val="001D74DF"/>
    <w:rsid w:val="001D75D5"/>
    <w:rsid w:val="001D7CDB"/>
    <w:rsid w:val="001E13EA"/>
    <w:rsid w:val="001E2154"/>
    <w:rsid w:val="001E2655"/>
    <w:rsid w:val="001E3313"/>
    <w:rsid w:val="001E396A"/>
    <w:rsid w:val="001E74A8"/>
    <w:rsid w:val="001E7E0C"/>
    <w:rsid w:val="001F14B4"/>
    <w:rsid w:val="001F409C"/>
    <w:rsid w:val="001F543A"/>
    <w:rsid w:val="001F5713"/>
    <w:rsid w:val="001F5B38"/>
    <w:rsid w:val="001F5F33"/>
    <w:rsid w:val="002009FD"/>
    <w:rsid w:val="00201768"/>
    <w:rsid w:val="00204F0A"/>
    <w:rsid w:val="0020566C"/>
    <w:rsid w:val="0020634D"/>
    <w:rsid w:val="00206ED9"/>
    <w:rsid w:val="0020717D"/>
    <w:rsid w:val="002141BF"/>
    <w:rsid w:val="002162A8"/>
    <w:rsid w:val="00216B0D"/>
    <w:rsid w:val="00217393"/>
    <w:rsid w:val="0021760A"/>
    <w:rsid w:val="002176D2"/>
    <w:rsid w:val="00221338"/>
    <w:rsid w:val="002247AE"/>
    <w:rsid w:val="002248C2"/>
    <w:rsid w:val="002255A4"/>
    <w:rsid w:val="00225A38"/>
    <w:rsid w:val="00226888"/>
    <w:rsid w:val="00226957"/>
    <w:rsid w:val="00227C59"/>
    <w:rsid w:val="00230E71"/>
    <w:rsid w:val="00232969"/>
    <w:rsid w:val="00233203"/>
    <w:rsid w:val="002334E7"/>
    <w:rsid w:val="002349BC"/>
    <w:rsid w:val="00234F25"/>
    <w:rsid w:val="00235CAF"/>
    <w:rsid w:val="00235CF7"/>
    <w:rsid w:val="002373AA"/>
    <w:rsid w:val="002408A9"/>
    <w:rsid w:val="0024272D"/>
    <w:rsid w:val="00243077"/>
    <w:rsid w:val="0024337A"/>
    <w:rsid w:val="00243AD5"/>
    <w:rsid w:val="00245A93"/>
    <w:rsid w:val="00250F38"/>
    <w:rsid w:val="00251D00"/>
    <w:rsid w:val="00251D3C"/>
    <w:rsid w:val="002544D6"/>
    <w:rsid w:val="002556B3"/>
    <w:rsid w:val="00257509"/>
    <w:rsid w:val="002600D5"/>
    <w:rsid w:val="00260C40"/>
    <w:rsid w:val="00260FC4"/>
    <w:rsid w:val="00261C17"/>
    <w:rsid w:val="00261DF6"/>
    <w:rsid w:val="00262D4C"/>
    <w:rsid w:val="00263EBE"/>
    <w:rsid w:val="00264A2F"/>
    <w:rsid w:val="00265DCE"/>
    <w:rsid w:val="00266CA0"/>
    <w:rsid w:val="00266E96"/>
    <w:rsid w:val="002674CA"/>
    <w:rsid w:val="00267A6C"/>
    <w:rsid w:val="00270580"/>
    <w:rsid w:val="00271210"/>
    <w:rsid w:val="00271671"/>
    <w:rsid w:val="00273D21"/>
    <w:rsid w:val="0027405E"/>
    <w:rsid w:val="002757D5"/>
    <w:rsid w:val="00277941"/>
    <w:rsid w:val="00280865"/>
    <w:rsid w:val="00280A11"/>
    <w:rsid w:val="00280D1D"/>
    <w:rsid w:val="00281404"/>
    <w:rsid w:val="0028320D"/>
    <w:rsid w:val="00283910"/>
    <w:rsid w:val="00284589"/>
    <w:rsid w:val="002860E1"/>
    <w:rsid w:val="00287FC8"/>
    <w:rsid w:val="00290C18"/>
    <w:rsid w:val="00290DC2"/>
    <w:rsid w:val="00293409"/>
    <w:rsid w:val="00294049"/>
    <w:rsid w:val="002968D8"/>
    <w:rsid w:val="00296AE1"/>
    <w:rsid w:val="00296B92"/>
    <w:rsid w:val="002978D2"/>
    <w:rsid w:val="002A022C"/>
    <w:rsid w:val="002A0A71"/>
    <w:rsid w:val="002A0ED6"/>
    <w:rsid w:val="002A3F97"/>
    <w:rsid w:val="002A4047"/>
    <w:rsid w:val="002A4418"/>
    <w:rsid w:val="002A7735"/>
    <w:rsid w:val="002A7BA1"/>
    <w:rsid w:val="002B01C4"/>
    <w:rsid w:val="002B01F5"/>
    <w:rsid w:val="002B030A"/>
    <w:rsid w:val="002B0860"/>
    <w:rsid w:val="002B101A"/>
    <w:rsid w:val="002B4DE3"/>
    <w:rsid w:val="002B4E87"/>
    <w:rsid w:val="002B4F23"/>
    <w:rsid w:val="002B5296"/>
    <w:rsid w:val="002B57DA"/>
    <w:rsid w:val="002B5981"/>
    <w:rsid w:val="002B5C2C"/>
    <w:rsid w:val="002C377A"/>
    <w:rsid w:val="002C3D9E"/>
    <w:rsid w:val="002C53C8"/>
    <w:rsid w:val="002C5B43"/>
    <w:rsid w:val="002D3C22"/>
    <w:rsid w:val="002D4B9F"/>
    <w:rsid w:val="002D4DBC"/>
    <w:rsid w:val="002D5011"/>
    <w:rsid w:val="002D5528"/>
    <w:rsid w:val="002D5A7A"/>
    <w:rsid w:val="002D78AD"/>
    <w:rsid w:val="002E28AC"/>
    <w:rsid w:val="002E2942"/>
    <w:rsid w:val="002E2E67"/>
    <w:rsid w:val="002E351A"/>
    <w:rsid w:val="002E3CBE"/>
    <w:rsid w:val="002E5C85"/>
    <w:rsid w:val="002F0B92"/>
    <w:rsid w:val="002F0E05"/>
    <w:rsid w:val="002F1617"/>
    <w:rsid w:val="002F2BE2"/>
    <w:rsid w:val="002F3623"/>
    <w:rsid w:val="002F5027"/>
    <w:rsid w:val="002F59E7"/>
    <w:rsid w:val="002F5A3F"/>
    <w:rsid w:val="002F5A4B"/>
    <w:rsid w:val="002F5B56"/>
    <w:rsid w:val="002F7B74"/>
    <w:rsid w:val="00302683"/>
    <w:rsid w:val="003033A7"/>
    <w:rsid w:val="00305D9B"/>
    <w:rsid w:val="0031131E"/>
    <w:rsid w:val="0031216F"/>
    <w:rsid w:val="003124D4"/>
    <w:rsid w:val="003142D2"/>
    <w:rsid w:val="00314688"/>
    <w:rsid w:val="0031686A"/>
    <w:rsid w:val="00316E17"/>
    <w:rsid w:val="0032271E"/>
    <w:rsid w:val="0032377B"/>
    <w:rsid w:val="003240C4"/>
    <w:rsid w:val="003243B3"/>
    <w:rsid w:val="003245BA"/>
    <w:rsid w:val="0032552E"/>
    <w:rsid w:val="00325E6A"/>
    <w:rsid w:val="003263CB"/>
    <w:rsid w:val="00332FD7"/>
    <w:rsid w:val="003350D8"/>
    <w:rsid w:val="0033689A"/>
    <w:rsid w:val="003375C8"/>
    <w:rsid w:val="003375F9"/>
    <w:rsid w:val="003406A2"/>
    <w:rsid w:val="00341E11"/>
    <w:rsid w:val="00342950"/>
    <w:rsid w:val="0034340C"/>
    <w:rsid w:val="00345268"/>
    <w:rsid w:val="0034575F"/>
    <w:rsid w:val="0034627F"/>
    <w:rsid w:val="003464E0"/>
    <w:rsid w:val="00346EA8"/>
    <w:rsid w:val="00347ECD"/>
    <w:rsid w:val="003512F3"/>
    <w:rsid w:val="00351767"/>
    <w:rsid w:val="00351B98"/>
    <w:rsid w:val="003529E8"/>
    <w:rsid w:val="00352A6B"/>
    <w:rsid w:val="0035456A"/>
    <w:rsid w:val="003546C9"/>
    <w:rsid w:val="00355C5E"/>
    <w:rsid w:val="00356A1F"/>
    <w:rsid w:val="0036060B"/>
    <w:rsid w:val="00361E31"/>
    <w:rsid w:val="0036248A"/>
    <w:rsid w:val="00363DB5"/>
    <w:rsid w:val="0036432D"/>
    <w:rsid w:val="003655E0"/>
    <w:rsid w:val="00365D0A"/>
    <w:rsid w:val="0036647B"/>
    <w:rsid w:val="00366EEC"/>
    <w:rsid w:val="00372514"/>
    <w:rsid w:val="00372B63"/>
    <w:rsid w:val="003748EB"/>
    <w:rsid w:val="00375168"/>
    <w:rsid w:val="00375EFD"/>
    <w:rsid w:val="003774EB"/>
    <w:rsid w:val="00380416"/>
    <w:rsid w:val="00382634"/>
    <w:rsid w:val="00382B30"/>
    <w:rsid w:val="00382B68"/>
    <w:rsid w:val="003836F1"/>
    <w:rsid w:val="003842EB"/>
    <w:rsid w:val="00384F78"/>
    <w:rsid w:val="00385257"/>
    <w:rsid w:val="00385BDB"/>
    <w:rsid w:val="00386A58"/>
    <w:rsid w:val="00387954"/>
    <w:rsid w:val="00390B86"/>
    <w:rsid w:val="00392EE1"/>
    <w:rsid w:val="00393DE4"/>
    <w:rsid w:val="0039418E"/>
    <w:rsid w:val="003942FA"/>
    <w:rsid w:val="00394413"/>
    <w:rsid w:val="00394916"/>
    <w:rsid w:val="00394AA0"/>
    <w:rsid w:val="00395A52"/>
    <w:rsid w:val="00396B41"/>
    <w:rsid w:val="003974B5"/>
    <w:rsid w:val="00397A05"/>
    <w:rsid w:val="003A01AB"/>
    <w:rsid w:val="003A0718"/>
    <w:rsid w:val="003A17B6"/>
    <w:rsid w:val="003A298E"/>
    <w:rsid w:val="003A3AC3"/>
    <w:rsid w:val="003A4D1C"/>
    <w:rsid w:val="003A4EAA"/>
    <w:rsid w:val="003A68A2"/>
    <w:rsid w:val="003B01D1"/>
    <w:rsid w:val="003B07FE"/>
    <w:rsid w:val="003B08C8"/>
    <w:rsid w:val="003B179B"/>
    <w:rsid w:val="003B3FB3"/>
    <w:rsid w:val="003B40FA"/>
    <w:rsid w:val="003B4CDB"/>
    <w:rsid w:val="003B5207"/>
    <w:rsid w:val="003B6023"/>
    <w:rsid w:val="003B6B3B"/>
    <w:rsid w:val="003C237F"/>
    <w:rsid w:val="003C2F7C"/>
    <w:rsid w:val="003C3B9D"/>
    <w:rsid w:val="003C3E84"/>
    <w:rsid w:val="003C3FA6"/>
    <w:rsid w:val="003C41BC"/>
    <w:rsid w:val="003C5288"/>
    <w:rsid w:val="003D188E"/>
    <w:rsid w:val="003D23D1"/>
    <w:rsid w:val="003D5C39"/>
    <w:rsid w:val="003E0398"/>
    <w:rsid w:val="003E0727"/>
    <w:rsid w:val="003E089A"/>
    <w:rsid w:val="003E0E0D"/>
    <w:rsid w:val="003E0E26"/>
    <w:rsid w:val="003E3036"/>
    <w:rsid w:val="003E35CD"/>
    <w:rsid w:val="003E4827"/>
    <w:rsid w:val="003E4F81"/>
    <w:rsid w:val="003F1C86"/>
    <w:rsid w:val="003F31BE"/>
    <w:rsid w:val="003F41BC"/>
    <w:rsid w:val="003F41E6"/>
    <w:rsid w:val="003F479F"/>
    <w:rsid w:val="003F641E"/>
    <w:rsid w:val="003F64FB"/>
    <w:rsid w:val="00400C13"/>
    <w:rsid w:val="004012A3"/>
    <w:rsid w:val="00402D54"/>
    <w:rsid w:val="00404F84"/>
    <w:rsid w:val="00405D00"/>
    <w:rsid w:val="00406E8C"/>
    <w:rsid w:val="00406EDE"/>
    <w:rsid w:val="004075A3"/>
    <w:rsid w:val="00411D54"/>
    <w:rsid w:val="004124D4"/>
    <w:rsid w:val="004134A7"/>
    <w:rsid w:val="00413C57"/>
    <w:rsid w:val="00414082"/>
    <w:rsid w:val="0041510B"/>
    <w:rsid w:val="00416D06"/>
    <w:rsid w:val="00417677"/>
    <w:rsid w:val="0042013F"/>
    <w:rsid w:val="00421163"/>
    <w:rsid w:val="004235BA"/>
    <w:rsid w:val="004235E9"/>
    <w:rsid w:val="004241AD"/>
    <w:rsid w:val="00430348"/>
    <w:rsid w:val="00430628"/>
    <w:rsid w:val="004320DA"/>
    <w:rsid w:val="004326AF"/>
    <w:rsid w:val="004326C6"/>
    <w:rsid w:val="00432C4C"/>
    <w:rsid w:val="00432CFB"/>
    <w:rsid w:val="004331B9"/>
    <w:rsid w:val="00433CDC"/>
    <w:rsid w:val="004347AD"/>
    <w:rsid w:val="004353E4"/>
    <w:rsid w:val="0043622E"/>
    <w:rsid w:val="004370CE"/>
    <w:rsid w:val="004414E7"/>
    <w:rsid w:val="004425C4"/>
    <w:rsid w:val="00442ED5"/>
    <w:rsid w:val="004437AB"/>
    <w:rsid w:val="00443FBA"/>
    <w:rsid w:val="00447DE7"/>
    <w:rsid w:val="00450386"/>
    <w:rsid w:val="00450FD0"/>
    <w:rsid w:val="00451181"/>
    <w:rsid w:val="004517DE"/>
    <w:rsid w:val="00452076"/>
    <w:rsid w:val="0045590B"/>
    <w:rsid w:val="00456063"/>
    <w:rsid w:val="004560DE"/>
    <w:rsid w:val="004619F3"/>
    <w:rsid w:val="00462AE6"/>
    <w:rsid w:val="004632F8"/>
    <w:rsid w:val="00464E13"/>
    <w:rsid w:val="00465180"/>
    <w:rsid w:val="00465C0E"/>
    <w:rsid w:val="00466388"/>
    <w:rsid w:val="00466DDE"/>
    <w:rsid w:val="004723B0"/>
    <w:rsid w:val="00472B48"/>
    <w:rsid w:val="00473600"/>
    <w:rsid w:val="00473A04"/>
    <w:rsid w:val="00474B56"/>
    <w:rsid w:val="004750D5"/>
    <w:rsid w:val="004763EE"/>
    <w:rsid w:val="004808CF"/>
    <w:rsid w:val="00480BCC"/>
    <w:rsid w:val="00482C65"/>
    <w:rsid w:val="00482EF5"/>
    <w:rsid w:val="00484146"/>
    <w:rsid w:val="0048446A"/>
    <w:rsid w:val="00487FEA"/>
    <w:rsid w:val="00492086"/>
    <w:rsid w:val="0049221D"/>
    <w:rsid w:val="004929CD"/>
    <w:rsid w:val="00493219"/>
    <w:rsid w:val="0049483F"/>
    <w:rsid w:val="00496307"/>
    <w:rsid w:val="00496BE7"/>
    <w:rsid w:val="004971D9"/>
    <w:rsid w:val="0049750A"/>
    <w:rsid w:val="004979C9"/>
    <w:rsid w:val="00497A40"/>
    <w:rsid w:val="004A00E5"/>
    <w:rsid w:val="004A16C7"/>
    <w:rsid w:val="004A1823"/>
    <w:rsid w:val="004A22BA"/>
    <w:rsid w:val="004A28D3"/>
    <w:rsid w:val="004A291C"/>
    <w:rsid w:val="004A2CC7"/>
    <w:rsid w:val="004A6E4B"/>
    <w:rsid w:val="004B08E3"/>
    <w:rsid w:val="004B14C2"/>
    <w:rsid w:val="004B1577"/>
    <w:rsid w:val="004B247A"/>
    <w:rsid w:val="004B318A"/>
    <w:rsid w:val="004B4D93"/>
    <w:rsid w:val="004B5059"/>
    <w:rsid w:val="004B6673"/>
    <w:rsid w:val="004C07C9"/>
    <w:rsid w:val="004C119F"/>
    <w:rsid w:val="004C37E9"/>
    <w:rsid w:val="004C53A0"/>
    <w:rsid w:val="004D1423"/>
    <w:rsid w:val="004D1CA8"/>
    <w:rsid w:val="004D2814"/>
    <w:rsid w:val="004D5287"/>
    <w:rsid w:val="004D7143"/>
    <w:rsid w:val="004D79C7"/>
    <w:rsid w:val="004E011B"/>
    <w:rsid w:val="004E30C0"/>
    <w:rsid w:val="004E3192"/>
    <w:rsid w:val="004E383A"/>
    <w:rsid w:val="004E3CBB"/>
    <w:rsid w:val="004E3E1F"/>
    <w:rsid w:val="004E4035"/>
    <w:rsid w:val="004E45E8"/>
    <w:rsid w:val="004E7524"/>
    <w:rsid w:val="004F0A59"/>
    <w:rsid w:val="004F2437"/>
    <w:rsid w:val="004F2D1C"/>
    <w:rsid w:val="004F2E81"/>
    <w:rsid w:val="004F301B"/>
    <w:rsid w:val="004F519D"/>
    <w:rsid w:val="004F523C"/>
    <w:rsid w:val="004F5472"/>
    <w:rsid w:val="004F5F53"/>
    <w:rsid w:val="004F6694"/>
    <w:rsid w:val="00500309"/>
    <w:rsid w:val="005008CD"/>
    <w:rsid w:val="00501157"/>
    <w:rsid w:val="0050131C"/>
    <w:rsid w:val="00502DE2"/>
    <w:rsid w:val="005031BF"/>
    <w:rsid w:val="0050374B"/>
    <w:rsid w:val="005045FB"/>
    <w:rsid w:val="00505715"/>
    <w:rsid w:val="0050592B"/>
    <w:rsid w:val="00506199"/>
    <w:rsid w:val="00507F29"/>
    <w:rsid w:val="00512D29"/>
    <w:rsid w:val="005132FA"/>
    <w:rsid w:val="00513CA6"/>
    <w:rsid w:val="0051443D"/>
    <w:rsid w:val="005161FB"/>
    <w:rsid w:val="00517F15"/>
    <w:rsid w:val="0052071B"/>
    <w:rsid w:val="00522440"/>
    <w:rsid w:val="005231A0"/>
    <w:rsid w:val="005236DC"/>
    <w:rsid w:val="00524667"/>
    <w:rsid w:val="005249F1"/>
    <w:rsid w:val="00525439"/>
    <w:rsid w:val="00525971"/>
    <w:rsid w:val="00526681"/>
    <w:rsid w:val="00526D59"/>
    <w:rsid w:val="00526DAC"/>
    <w:rsid w:val="005278D7"/>
    <w:rsid w:val="00530167"/>
    <w:rsid w:val="0053166F"/>
    <w:rsid w:val="0053463D"/>
    <w:rsid w:val="00535489"/>
    <w:rsid w:val="0053686B"/>
    <w:rsid w:val="00536C2D"/>
    <w:rsid w:val="00537D64"/>
    <w:rsid w:val="00540CCC"/>
    <w:rsid w:val="005410A0"/>
    <w:rsid w:val="0054298E"/>
    <w:rsid w:val="00542A2C"/>
    <w:rsid w:val="005439DF"/>
    <w:rsid w:val="005453A0"/>
    <w:rsid w:val="005459F7"/>
    <w:rsid w:val="0055105D"/>
    <w:rsid w:val="00551F33"/>
    <w:rsid w:val="00553864"/>
    <w:rsid w:val="005560A9"/>
    <w:rsid w:val="00557048"/>
    <w:rsid w:val="005575F6"/>
    <w:rsid w:val="00557920"/>
    <w:rsid w:val="00557CC3"/>
    <w:rsid w:val="00560FD7"/>
    <w:rsid w:val="00561F5B"/>
    <w:rsid w:val="005655C3"/>
    <w:rsid w:val="005677FD"/>
    <w:rsid w:val="00570A3F"/>
    <w:rsid w:val="00571194"/>
    <w:rsid w:val="00571BEB"/>
    <w:rsid w:val="00573A29"/>
    <w:rsid w:val="005755CE"/>
    <w:rsid w:val="005757F9"/>
    <w:rsid w:val="0057791F"/>
    <w:rsid w:val="005827FF"/>
    <w:rsid w:val="00582F97"/>
    <w:rsid w:val="00585708"/>
    <w:rsid w:val="00586434"/>
    <w:rsid w:val="00586BF9"/>
    <w:rsid w:val="00587AD5"/>
    <w:rsid w:val="005908DA"/>
    <w:rsid w:val="005926B3"/>
    <w:rsid w:val="00594144"/>
    <w:rsid w:val="005941AC"/>
    <w:rsid w:val="00597642"/>
    <w:rsid w:val="00597A1D"/>
    <w:rsid w:val="005A0548"/>
    <w:rsid w:val="005A05C0"/>
    <w:rsid w:val="005A0C6C"/>
    <w:rsid w:val="005A1FDF"/>
    <w:rsid w:val="005A22E6"/>
    <w:rsid w:val="005A2B51"/>
    <w:rsid w:val="005A32E6"/>
    <w:rsid w:val="005A47AB"/>
    <w:rsid w:val="005A47FB"/>
    <w:rsid w:val="005A5921"/>
    <w:rsid w:val="005B0042"/>
    <w:rsid w:val="005B3AC3"/>
    <w:rsid w:val="005B401B"/>
    <w:rsid w:val="005B5B8B"/>
    <w:rsid w:val="005B6FD8"/>
    <w:rsid w:val="005B7FC0"/>
    <w:rsid w:val="005C3096"/>
    <w:rsid w:val="005C3126"/>
    <w:rsid w:val="005C43D8"/>
    <w:rsid w:val="005C6B28"/>
    <w:rsid w:val="005C6B9A"/>
    <w:rsid w:val="005D12B0"/>
    <w:rsid w:val="005D3D65"/>
    <w:rsid w:val="005D58A2"/>
    <w:rsid w:val="005D77A9"/>
    <w:rsid w:val="005D7CE9"/>
    <w:rsid w:val="005E0A94"/>
    <w:rsid w:val="005E19AB"/>
    <w:rsid w:val="005E2E68"/>
    <w:rsid w:val="005E4407"/>
    <w:rsid w:val="005E5383"/>
    <w:rsid w:val="005E6298"/>
    <w:rsid w:val="005E6DBB"/>
    <w:rsid w:val="005E7220"/>
    <w:rsid w:val="005F0B9B"/>
    <w:rsid w:val="005F1E47"/>
    <w:rsid w:val="005F2179"/>
    <w:rsid w:val="00601731"/>
    <w:rsid w:val="0060269C"/>
    <w:rsid w:val="006027F0"/>
    <w:rsid w:val="00603872"/>
    <w:rsid w:val="00604F1A"/>
    <w:rsid w:val="00606672"/>
    <w:rsid w:val="00610711"/>
    <w:rsid w:val="00611C60"/>
    <w:rsid w:val="0061401C"/>
    <w:rsid w:val="006147A2"/>
    <w:rsid w:val="00614BAC"/>
    <w:rsid w:val="00615C57"/>
    <w:rsid w:val="00617811"/>
    <w:rsid w:val="0062014B"/>
    <w:rsid w:val="00620AC8"/>
    <w:rsid w:val="0062112A"/>
    <w:rsid w:val="006223DE"/>
    <w:rsid w:val="00624F35"/>
    <w:rsid w:val="006267FD"/>
    <w:rsid w:val="006277CB"/>
    <w:rsid w:val="006301CD"/>
    <w:rsid w:val="006315F0"/>
    <w:rsid w:val="00633776"/>
    <w:rsid w:val="00634D91"/>
    <w:rsid w:val="00640969"/>
    <w:rsid w:val="00641108"/>
    <w:rsid w:val="00641295"/>
    <w:rsid w:val="0064157A"/>
    <w:rsid w:val="00641A12"/>
    <w:rsid w:val="00642BCD"/>
    <w:rsid w:val="006436FC"/>
    <w:rsid w:val="00643CAE"/>
    <w:rsid w:val="00644690"/>
    <w:rsid w:val="00645B98"/>
    <w:rsid w:val="00647872"/>
    <w:rsid w:val="00650EA9"/>
    <w:rsid w:val="006510F8"/>
    <w:rsid w:val="00651180"/>
    <w:rsid w:val="006527F6"/>
    <w:rsid w:val="00652B46"/>
    <w:rsid w:val="006611AC"/>
    <w:rsid w:val="0066136E"/>
    <w:rsid w:val="006619E7"/>
    <w:rsid w:val="006624EF"/>
    <w:rsid w:val="006626EF"/>
    <w:rsid w:val="00664E7B"/>
    <w:rsid w:val="0066667E"/>
    <w:rsid w:val="006675F7"/>
    <w:rsid w:val="00670265"/>
    <w:rsid w:val="00670E25"/>
    <w:rsid w:val="006714DE"/>
    <w:rsid w:val="00672088"/>
    <w:rsid w:val="0067257B"/>
    <w:rsid w:val="00673491"/>
    <w:rsid w:val="00674A9F"/>
    <w:rsid w:val="00675212"/>
    <w:rsid w:val="00675BCA"/>
    <w:rsid w:val="00677669"/>
    <w:rsid w:val="00680114"/>
    <w:rsid w:val="00680310"/>
    <w:rsid w:val="00681750"/>
    <w:rsid w:val="00682709"/>
    <w:rsid w:val="00685214"/>
    <w:rsid w:val="00686792"/>
    <w:rsid w:val="006867A6"/>
    <w:rsid w:val="00687472"/>
    <w:rsid w:val="006875AD"/>
    <w:rsid w:val="00695120"/>
    <w:rsid w:val="00695B2E"/>
    <w:rsid w:val="00695BFD"/>
    <w:rsid w:val="00696A25"/>
    <w:rsid w:val="006973B6"/>
    <w:rsid w:val="00697A14"/>
    <w:rsid w:val="006A0E8D"/>
    <w:rsid w:val="006A1746"/>
    <w:rsid w:val="006A3944"/>
    <w:rsid w:val="006A4386"/>
    <w:rsid w:val="006A4437"/>
    <w:rsid w:val="006A64D5"/>
    <w:rsid w:val="006A6EC2"/>
    <w:rsid w:val="006B0556"/>
    <w:rsid w:val="006B1CE3"/>
    <w:rsid w:val="006B1FF6"/>
    <w:rsid w:val="006B3730"/>
    <w:rsid w:val="006B5168"/>
    <w:rsid w:val="006B558F"/>
    <w:rsid w:val="006B5BF0"/>
    <w:rsid w:val="006B6651"/>
    <w:rsid w:val="006B6923"/>
    <w:rsid w:val="006C1AD2"/>
    <w:rsid w:val="006C23FD"/>
    <w:rsid w:val="006C282D"/>
    <w:rsid w:val="006C2F9F"/>
    <w:rsid w:val="006C3D32"/>
    <w:rsid w:val="006C3FC4"/>
    <w:rsid w:val="006C5884"/>
    <w:rsid w:val="006C619C"/>
    <w:rsid w:val="006D1524"/>
    <w:rsid w:val="006E027D"/>
    <w:rsid w:val="006E351B"/>
    <w:rsid w:val="006E3EB6"/>
    <w:rsid w:val="006E7D05"/>
    <w:rsid w:val="006F10EB"/>
    <w:rsid w:val="006F27A5"/>
    <w:rsid w:val="006F3EC2"/>
    <w:rsid w:val="006F5162"/>
    <w:rsid w:val="006F706F"/>
    <w:rsid w:val="007013A8"/>
    <w:rsid w:val="007018AF"/>
    <w:rsid w:val="007033E0"/>
    <w:rsid w:val="00703433"/>
    <w:rsid w:val="00704217"/>
    <w:rsid w:val="0070512E"/>
    <w:rsid w:val="0070693B"/>
    <w:rsid w:val="00707BF8"/>
    <w:rsid w:val="00710405"/>
    <w:rsid w:val="00711220"/>
    <w:rsid w:val="00711BF4"/>
    <w:rsid w:val="0071242F"/>
    <w:rsid w:val="007131A6"/>
    <w:rsid w:val="007152B9"/>
    <w:rsid w:val="0071636A"/>
    <w:rsid w:val="00717430"/>
    <w:rsid w:val="00722683"/>
    <w:rsid w:val="00724ED9"/>
    <w:rsid w:val="00725E8A"/>
    <w:rsid w:val="00726093"/>
    <w:rsid w:val="00730339"/>
    <w:rsid w:val="00731299"/>
    <w:rsid w:val="007316DF"/>
    <w:rsid w:val="00731909"/>
    <w:rsid w:val="00732539"/>
    <w:rsid w:val="00732B2C"/>
    <w:rsid w:val="00733021"/>
    <w:rsid w:val="00736290"/>
    <w:rsid w:val="00736511"/>
    <w:rsid w:val="00736644"/>
    <w:rsid w:val="0073736A"/>
    <w:rsid w:val="0073748A"/>
    <w:rsid w:val="00741080"/>
    <w:rsid w:val="007419A4"/>
    <w:rsid w:val="007419F2"/>
    <w:rsid w:val="00742B9A"/>
    <w:rsid w:val="00743673"/>
    <w:rsid w:val="00744A47"/>
    <w:rsid w:val="00746449"/>
    <w:rsid w:val="00751611"/>
    <w:rsid w:val="00751780"/>
    <w:rsid w:val="0075359A"/>
    <w:rsid w:val="00754369"/>
    <w:rsid w:val="00754E31"/>
    <w:rsid w:val="007554AE"/>
    <w:rsid w:val="00755A05"/>
    <w:rsid w:val="00757FB3"/>
    <w:rsid w:val="0076137F"/>
    <w:rsid w:val="0076182C"/>
    <w:rsid w:val="00761BBD"/>
    <w:rsid w:val="00763DD5"/>
    <w:rsid w:val="00765797"/>
    <w:rsid w:val="0076601B"/>
    <w:rsid w:val="0076607E"/>
    <w:rsid w:val="00766263"/>
    <w:rsid w:val="00766978"/>
    <w:rsid w:val="007671EB"/>
    <w:rsid w:val="007706EB"/>
    <w:rsid w:val="0077145A"/>
    <w:rsid w:val="00773381"/>
    <w:rsid w:val="007738C8"/>
    <w:rsid w:val="00773A0A"/>
    <w:rsid w:val="00776208"/>
    <w:rsid w:val="00780666"/>
    <w:rsid w:val="007810D1"/>
    <w:rsid w:val="00781C9C"/>
    <w:rsid w:val="00784482"/>
    <w:rsid w:val="00785107"/>
    <w:rsid w:val="00786AC7"/>
    <w:rsid w:val="00792AD8"/>
    <w:rsid w:val="0079326A"/>
    <w:rsid w:val="00793BF6"/>
    <w:rsid w:val="00795492"/>
    <w:rsid w:val="00796564"/>
    <w:rsid w:val="007A119B"/>
    <w:rsid w:val="007A12C5"/>
    <w:rsid w:val="007A2738"/>
    <w:rsid w:val="007A2F7E"/>
    <w:rsid w:val="007A307F"/>
    <w:rsid w:val="007A3AC6"/>
    <w:rsid w:val="007A4CC2"/>
    <w:rsid w:val="007A7773"/>
    <w:rsid w:val="007B13FC"/>
    <w:rsid w:val="007B2288"/>
    <w:rsid w:val="007B2A2C"/>
    <w:rsid w:val="007B34FF"/>
    <w:rsid w:val="007B5739"/>
    <w:rsid w:val="007B7128"/>
    <w:rsid w:val="007C039E"/>
    <w:rsid w:val="007C0CC7"/>
    <w:rsid w:val="007C12FA"/>
    <w:rsid w:val="007C1C61"/>
    <w:rsid w:val="007C26D2"/>
    <w:rsid w:val="007C3344"/>
    <w:rsid w:val="007C51CA"/>
    <w:rsid w:val="007C6C49"/>
    <w:rsid w:val="007C6F4A"/>
    <w:rsid w:val="007C7AA5"/>
    <w:rsid w:val="007D03DF"/>
    <w:rsid w:val="007D10BF"/>
    <w:rsid w:val="007D22E8"/>
    <w:rsid w:val="007D23A3"/>
    <w:rsid w:val="007D2A00"/>
    <w:rsid w:val="007D33EF"/>
    <w:rsid w:val="007D490C"/>
    <w:rsid w:val="007D5E54"/>
    <w:rsid w:val="007D65C0"/>
    <w:rsid w:val="007E1286"/>
    <w:rsid w:val="007E1B36"/>
    <w:rsid w:val="007E1FB6"/>
    <w:rsid w:val="007E4DFB"/>
    <w:rsid w:val="007E506A"/>
    <w:rsid w:val="007E53E1"/>
    <w:rsid w:val="007E789C"/>
    <w:rsid w:val="007E7CAE"/>
    <w:rsid w:val="007F012B"/>
    <w:rsid w:val="007F0C38"/>
    <w:rsid w:val="007F23F6"/>
    <w:rsid w:val="007F2571"/>
    <w:rsid w:val="007F4092"/>
    <w:rsid w:val="007F5562"/>
    <w:rsid w:val="007F56D9"/>
    <w:rsid w:val="007F5DC6"/>
    <w:rsid w:val="008000BF"/>
    <w:rsid w:val="00800668"/>
    <w:rsid w:val="0080298D"/>
    <w:rsid w:val="00802CD1"/>
    <w:rsid w:val="008051FC"/>
    <w:rsid w:val="00812343"/>
    <w:rsid w:val="008133CF"/>
    <w:rsid w:val="00813822"/>
    <w:rsid w:val="008201AD"/>
    <w:rsid w:val="00820222"/>
    <w:rsid w:val="008223B1"/>
    <w:rsid w:val="00822CAF"/>
    <w:rsid w:val="00823426"/>
    <w:rsid w:val="00824A6D"/>
    <w:rsid w:val="00824F95"/>
    <w:rsid w:val="00825F3E"/>
    <w:rsid w:val="008278D1"/>
    <w:rsid w:val="00830BF4"/>
    <w:rsid w:val="00830FDB"/>
    <w:rsid w:val="008319D0"/>
    <w:rsid w:val="008319E9"/>
    <w:rsid w:val="00832B07"/>
    <w:rsid w:val="00834245"/>
    <w:rsid w:val="0083432D"/>
    <w:rsid w:val="008362C5"/>
    <w:rsid w:val="0083649A"/>
    <w:rsid w:val="0083666F"/>
    <w:rsid w:val="0083781E"/>
    <w:rsid w:val="00840723"/>
    <w:rsid w:val="00840DCA"/>
    <w:rsid w:val="00840FF5"/>
    <w:rsid w:val="00841879"/>
    <w:rsid w:val="00841E25"/>
    <w:rsid w:val="0084206C"/>
    <w:rsid w:val="00842D0B"/>
    <w:rsid w:val="00843863"/>
    <w:rsid w:val="008438CC"/>
    <w:rsid w:val="00843C84"/>
    <w:rsid w:val="00844741"/>
    <w:rsid w:val="00845DA6"/>
    <w:rsid w:val="00846344"/>
    <w:rsid w:val="0084634A"/>
    <w:rsid w:val="00846A95"/>
    <w:rsid w:val="00850043"/>
    <w:rsid w:val="008505BC"/>
    <w:rsid w:val="00850CA1"/>
    <w:rsid w:val="0085148D"/>
    <w:rsid w:val="008515A1"/>
    <w:rsid w:val="00852377"/>
    <w:rsid w:val="00852544"/>
    <w:rsid w:val="00852CD7"/>
    <w:rsid w:val="008541B5"/>
    <w:rsid w:val="00854781"/>
    <w:rsid w:val="00855598"/>
    <w:rsid w:val="00856DB6"/>
    <w:rsid w:val="00856F00"/>
    <w:rsid w:val="008579F1"/>
    <w:rsid w:val="00860FED"/>
    <w:rsid w:val="0086404D"/>
    <w:rsid w:val="0086582B"/>
    <w:rsid w:val="00866806"/>
    <w:rsid w:val="00870CC1"/>
    <w:rsid w:val="008714C0"/>
    <w:rsid w:val="00871653"/>
    <w:rsid w:val="00871A6C"/>
    <w:rsid w:val="00871ADB"/>
    <w:rsid w:val="0087307E"/>
    <w:rsid w:val="00874374"/>
    <w:rsid w:val="00876072"/>
    <w:rsid w:val="00876B05"/>
    <w:rsid w:val="008800E3"/>
    <w:rsid w:val="008805EC"/>
    <w:rsid w:val="00885E7A"/>
    <w:rsid w:val="0088749D"/>
    <w:rsid w:val="0089047F"/>
    <w:rsid w:val="008916B3"/>
    <w:rsid w:val="008926F5"/>
    <w:rsid w:val="0089477A"/>
    <w:rsid w:val="008A18AF"/>
    <w:rsid w:val="008A1DB6"/>
    <w:rsid w:val="008A2307"/>
    <w:rsid w:val="008A2A09"/>
    <w:rsid w:val="008A37E0"/>
    <w:rsid w:val="008A44CB"/>
    <w:rsid w:val="008A50B3"/>
    <w:rsid w:val="008A5752"/>
    <w:rsid w:val="008A5AC2"/>
    <w:rsid w:val="008A5F4E"/>
    <w:rsid w:val="008A7198"/>
    <w:rsid w:val="008A7797"/>
    <w:rsid w:val="008B0B11"/>
    <w:rsid w:val="008B41BC"/>
    <w:rsid w:val="008B613A"/>
    <w:rsid w:val="008B7646"/>
    <w:rsid w:val="008C2EFC"/>
    <w:rsid w:val="008C39A9"/>
    <w:rsid w:val="008C55C0"/>
    <w:rsid w:val="008C56DE"/>
    <w:rsid w:val="008C57E8"/>
    <w:rsid w:val="008C6945"/>
    <w:rsid w:val="008C75E7"/>
    <w:rsid w:val="008D0A5A"/>
    <w:rsid w:val="008D1628"/>
    <w:rsid w:val="008D26B8"/>
    <w:rsid w:val="008D47EB"/>
    <w:rsid w:val="008D66C0"/>
    <w:rsid w:val="008D732E"/>
    <w:rsid w:val="008D7B39"/>
    <w:rsid w:val="008D7BD7"/>
    <w:rsid w:val="008E03BB"/>
    <w:rsid w:val="008E189A"/>
    <w:rsid w:val="008E2406"/>
    <w:rsid w:val="008E2A74"/>
    <w:rsid w:val="008E342B"/>
    <w:rsid w:val="008E38AF"/>
    <w:rsid w:val="008E43CE"/>
    <w:rsid w:val="008F018F"/>
    <w:rsid w:val="008F2E25"/>
    <w:rsid w:val="008F318B"/>
    <w:rsid w:val="008F50B7"/>
    <w:rsid w:val="008F53E0"/>
    <w:rsid w:val="008F6579"/>
    <w:rsid w:val="008F721E"/>
    <w:rsid w:val="008F7C65"/>
    <w:rsid w:val="008F7D23"/>
    <w:rsid w:val="009006CC"/>
    <w:rsid w:val="00901EE0"/>
    <w:rsid w:val="00902664"/>
    <w:rsid w:val="009111D8"/>
    <w:rsid w:val="0091154B"/>
    <w:rsid w:val="009148AF"/>
    <w:rsid w:val="00915CCF"/>
    <w:rsid w:val="00916C26"/>
    <w:rsid w:val="009205A3"/>
    <w:rsid w:val="00922589"/>
    <w:rsid w:val="009240FE"/>
    <w:rsid w:val="009250A2"/>
    <w:rsid w:val="00925D38"/>
    <w:rsid w:val="009261C4"/>
    <w:rsid w:val="009268CB"/>
    <w:rsid w:val="00930589"/>
    <w:rsid w:val="00931D49"/>
    <w:rsid w:val="00932117"/>
    <w:rsid w:val="00932CD1"/>
    <w:rsid w:val="00933BC5"/>
    <w:rsid w:val="009362F1"/>
    <w:rsid w:val="0094069E"/>
    <w:rsid w:val="00941188"/>
    <w:rsid w:val="00941249"/>
    <w:rsid w:val="009413C7"/>
    <w:rsid w:val="00942669"/>
    <w:rsid w:val="00942E59"/>
    <w:rsid w:val="009459AC"/>
    <w:rsid w:val="00945EA0"/>
    <w:rsid w:val="009460A7"/>
    <w:rsid w:val="0094707C"/>
    <w:rsid w:val="00947856"/>
    <w:rsid w:val="009510B1"/>
    <w:rsid w:val="00951DC4"/>
    <w:rsid w:val="00951E1E"/>
    <w:rsid w:val="00954BAB"/>
    <w:rsid w:val="009554DF"/>
    <w:rsid w:val="00955968"/>
    <w:rsid w:val="00956C56"/>
    <w:rsid w:val="009570CF"/>
    <w:rsid w:val="00957173"/>
    <w:rsid w:val="0096466E"/>
    <w:rsid w:val="00964A21"/>
    <w:rsid w:val="00964AC9"/>
    <w:rsid w:val="00964F31"/>
    <w:rsid w:val="00964FDE"/>
    <w:rsid w:val="00965421"/>
    <w:rsid w:val="0096547E"/>
    <w:rsid w:val="00965D16"/>
    <w:rsid w:val="009677C2"/>
    <w:rsid w:val="00967BD9"/>
    <w:rsid w:val="00967DB7"/>
    <w:rsid w:val="00967EED"/>
    <w:rsid w:val="00971E33"/>
    <w:rsid w:val="00971EA5"/>
    <w:rsid w:val="00975645"/>
    <w:rsid w:val="0097789C"/>
    <w:rsid w:val="00980A03"/>
    <w:rsid w:val="00980AC1"/>
    <w:rsid w:val="009817D1"/>
    <w:rsid w:val="0098367E"/>
    <w:rsid w:val="00984514"/>
    <w:rsid w:val="00985907"/>
    <w:rsid w:val="00987C18"/>
    <w:rsid w:val="009901A6"/>
    <w:rsid w:val="00990627"/>
    <w:rsid w:val="009913C9"/>
    <w:rsid w:val="009951A2"/>
    <w:rsid w:val="00995AD1"/>
    <w:rsid w:val="009A03A8"/>
    <w:rsid w:val="009A1ECD"/>
    <w:rsid w:val="009A3BF0"/>
    <w:rsid w:val="009A4879"/>
    <w:rsid w:val="009A4D03"/>
    <w:rsid w:val="009A5E65"/>
    <w:rsid w:val="009A6191"/>
    <w:rsid w:val="009B4D8E"/>
    <w:rsid w:val="009B51E3"/>
    <w:rsid w:val="009B5784"/>
    <w:rsid w:val="009B5786"/>
    <w:rsid w:val="009B7541"/>
    <w:rsid w:val="009C041A"/>
    <w:rsid w:val="009C237D"/>
    <w:rsid w:val="009C6081"/>
    <w:rsid w:val="009C743A"/>
    <w:rsid w:val="009D1998"/>
    <w:rsid w:val="009D1B45"/>
    <w:rsid w:val="009D1CC6"/>
    <w:rsid w:val="009D2EF3"/>
    <w:rsid w:val="009D3B4C"/>
    <w:rsid w:val="009D3F1F"/>
    <w:rsid w:val="009D442D"/>
    <w:rsid w:val="009D5A4F"/>
    <w:rsid w:val="009D6604"/>
    <w:rsid w:val="009E02C2"/>
    <w:rsid w:val="009E0FF3"/>
    <w:rsid w:val="009E22E7"/>
    <w:rsid w:val="009E3988"/>
    <w:rsid w:val="009E4524"/>
    <w:rsid w:val="009E6FFA"/>
    <w:rsid w:val="009F02ED"/>
    <w:rsid w:val="009F18FF"/>
    <w:rsid w:val="009F26D2"/>
    <w:rsid w:val="009F2AE4"/>
    <w:rsid w:val="009F3BC4"/>
    <w:rsid w:val="009F4B25"/>
    <w:rsid w:val="009F518C"/>
    <w:rsid w:val="009F6507"/>
    <w:rsid w:val="009F67EC"/>
    <w:rsid w:val="009F7CA2"/>
    <w:rsid w:val="00A03C04"/>
    <w:rsid w:val="00A05D3C"/>
    <w:rsid w:val="00A06375"/>
    <w:rsid w:val="00A069C3"/>
    <w:rsid w:val="00A06DD3"/>
    <w:rsid w:val="00A117B9"/>
    <w:rsid w:val="00A11FEA"/>
    <w:rsid w:val="00A12F5F"/>
    <w:rsid w:val="00A132BA"/>
    <w:rsid w:val="00A14331"/>
    <w:rsid w:val="00A14496"/>
    <w:rsid w:val="00A17891"/>
    <w:rsid w:val="00A216F6"/>
    <w:rsid w:val="00A221D1"/>
    <w:rsid w:val="00A2257C"/>
    <w:rsid w:val="00A23B67"/>
    <w:rsid w:val="00A2542C"/>
    <w:rsid w:val="00A259D8"/>
    <w:rsid w:val="00A267A4"/>
    <w:rsid w:val="00A26994"/>
    <w:rsid w:val="00A26D81"/>
    <w:rsid w:val="00A275CC"/>
    <w:rsid w:val="00A27A37"/>
    <w:rsid w:val="00A3050F"/>
    <w:rsid w:val="00A30813"/>
    <w:rsid w:val="00A319C5"/>
    <w:rsid w:val="00A323C2"/>
    <w:rsid w:val="00A32DCF"/>
    <w:rsid w:val="00A3549D"/>
    <w:rsid w:val="00A3594D"/>
    <w:rsid w:val="00A35B0A"/>
    <w:rsid w:val="00A36AAE"/>
    <w:rsid w:val="00A40355"/>
    <w:rsid w:val="00A41456"/>
    <w:rsid w:val="00A42127"/>
    <w:rsid w:val="00A4261A"/>
    <w:rsid w:val="00A431A4"/>
    <w:rsid w:val="00A44348"/>
    <w:rsid w:val="00A44726"/>
    <w:rsid w:val="00A44A82"/>
    <w:rsid w:val="00A44FF9"/>
    <w:rsid w:val="00A50446"/>
    <w:rsid w:val="00A50A24"/>
    <w:rsid w:val="00A50D5D"/>
    <w:rsid w:val="00A52162"/>
    <w:rsid w:val="00A521DB"/>
    <w:rsid w:val="00A54277"/>
    <w:rsid w:val="00A54F71"/>
    <w:rsid w:val="00A55511"/>
    <w:rsid w:val="00A6120E"/>
    <w:rsid w:val="00A64C01"/>
    <w:rsid w:val="00A67785"/>
    <w:rsid w:val="00A706BD"/>
    <w:rsid w:val="00A71096"/>
    <w:rsid w:val="00A71C2E"/>
    <w:rsid w:val="00A726EE"/>
    <w:rsid w:val="00A74CA3"/>
    <w:rsid w:val="00A75132"/>
    <w:rsid w:val="00A76094"/>
    <w:rsid w:val="00A772BE"/>
    <w:rsid w:val="00A80DF6"/>
    <w:rsid w:val="00A81B11"/>
    <w:rsid w:val="00A82F86"/>
    <w:rsid w:val="00A844C6"/>
    <w:rsid w:val="00A85658"/>
    <w:rsid w:val="00A87C2D"/>
    <w:rsid w:val="00A87F1F"/>
    <w:rsid w:val="00A90339"/>
    <w:rsid w:val="00A90C1F"/>
    <w:rsid w:val="00A91CBF"/>
    <w:rsid w:val="00A950C9"/>
    <w:rsid w:val="00A95B14"/>
    <w:rsid w:val="00A964D9"/>
    <w:rsid w:val="00A9719A"/>
    <w:rsid w:val="00A97E67"/>
    <w:rsid w:val="00AA0625"/>
    <w:rsid w:val="00AA1712"/>
    <w:rsid w:val="00AA36BA"/>
    <w:rsid w:val="00AA4D9B"/>
    <w:rsid w:val="00AA6A96"/>
    <w:rsid w:val="00AA7082"/>
    <w:rsid w:val="00AA7387"/>
    <w:rsid w:val="00AB4387"/>
    <w:rsid w:val="00AB5715"/>
    <w:rsid w:val="00AB7229"/>
    <w:rsid w:val="00AB7AF2"/>
    <w:rsid w:val="00AB7CBD"/>
    <w:rsid w:val="00AC3027"/>
    <w:rsid w:val="00AC3D12"/>
    <w:rsid w:val="00AC4540"/>
    <w:rsid w:val="00AC458F"/>
    <w:rsid w:val="00AC4628"/>
    <w:rsid w:val="00AC4C1F"/>
    <w:rsid w:val="00AC4DD4"/>
    <w:rsid w:val="00AC7210"/>
    <w:rsid w:val="00AC7493"/>
    <w:rsid w:val="00AC7E6B"/>
    <w:rsid w:val="00AD2C93"/>
    <w:rsid w:val="00AD2E6A"/>
    <w:rsid w:val="00AD410C"/>
    <w:rsid w:val="00AD5DC2"/>
    <w:rsid w:val="00AD6A08"/>
    <w:rsid w:val="00AE02C8"/>
    <w:rsid w:val="00AE0A85"/>
    <w:rsid w:val="00AE0FCD"/>
    <w:rsid w:val="00AE125B"/>
    <w:rsid w:val="00AE37C0"/>
    <w:rsid w:val="00AE5156"/>
    <w:rsid w:val="00AE69BD"/>
    <w:rsid w:val="00AF01FC"/>
    <w:rsid w:val="00AF0971"/>
    <w:rsid w:val="00AF193E"/>
    <w:rsid w:val="00AF1EF5"/>
    <w:rsid w:val="00AF38FB"/>
    <w:rsid w:val="00AF5519"/>
    <w:rsid w:val="00B01076"/>
    <w:rsid w:val="00B02343"/>
    <w:rsid w:val="00B06683"/>
    <w:rsid w:val="00B066EC"/>
    <w:rsid w:val="00B07E8C"/>
    <w:rsid w:val="00B10F79"/>
    <w:rsid w:val="00B11BD1"/>
    <w:rsid w:val="00B14788"/>
    <w:rsid w:val="00B1614F"/>
    <w:rsid w:val="00B22243"/>
    <w:rsid w:val="00B2280E"/>
    <w:rsid w:val="00B2513E"/>
    <w:rsid w:val="00B26427"/>
    <w:rsid w:val="00B26F03"/>
    <w:rsid w:val="00B27C08"/>
    <w:rsid w:val="00B309CE"/>
    <w:rsid w:val="00B319B7"/>
    <w:rsid w:val="00B31C14"/>
    <w:rsid w:val="00B32823"/>
    <w:rsid w:val="00B32DB9"/>
    <w:rsid w:val="00B33A37"/>
    <w:rsid w:val="00B343CE"/>
    <w:rsid w:val="00B367E0"/>
    <w:rsid w:val="00B369C0"/>
    <w:rsid w:val="00B36B87"/>
    <w:rsid w:val="00B37213"/>
    <w:rsid w:val="00B37F0F"/>
    <w:rsid w:val="00B41D16"/>
    <w:rsid w:val="00B41FA6"/>
    <w:rsid w:val="00B43F98"/>
    <w:rsid w:val="00B44F8D"/>
    <w:rsid w:val="00B45049"/>
    <w:rsid w:val="00B45845"/>
    <w:rsid w:val="00B46205"/>
    <w:rsid w:val="00B464EC"/>
    <w:rsid w:val="00B5196E"/>
    <w:rsid w:val="00B51DB1"/>
    <w:rsid w:val="00B525C5"/>
    <w:rsid w:val="00B53074"/>
    <w:rsid w:val="00B55470"/>
    <w:rsid w:val="00B5671A"/>
    <w:rsid w:val="00B57F86"/>
    <w:rsid w:val="00B607EC"/>
    <w:rsid w:val="00B61FAE"/>
    <w:rsid w:val="00B62E6E"/>
    <w:rsid w:val="00B63726"/>
    <w:rsid w:val="00B64663"/>
    <w:rsid w:val="00B65970"/>
    <w:rsid w:val="00B65C45"/>
    <w:rsid w:val="00B66AB3"/>
    <w:rsid w:val="00B67F37"/>
    <w:rsid w:val="00B72B13"/>
    <w:rsid w:val="00B72DE3"/>
    <w:rsid w:val="00B75051"/>
    <w:rsid w:val="00B755ED"/>
    <w:rsid w:val="00B760C3"/>
    <w:rsid w:val="00B77552"/>
    <w:rsid w:val="00B77D04"/>
    <w:rsid w:val="00B80C42"/>
    <w:rsid w:val="00B81BE6"/>
    <w:rsid w:val="00B8264F"/>
    <w:rsid w:val="00B82826"/>
    <w:rsid w:val="00B82AA8"/>
    <w:rsid w:val="00B84219"/>
    <w:rsid w:val="00B850D1"/>
    <w:rsid w:val="00B864D7"/>
    <w:rsid w:val="00B91335"/>
    <w:rsid w:val="00B92343"/>
    <w:rsid w:val="00B932EF"/>
    <w:rsid w:val="00B94853"/>
    <w:rsid w:val="00B96556"/>
    <w:rsid w:val="00B96DBA"/>
    <w:rsid w:val="00B96EC2"/>
    <w:rsid w:val="00B97293"/>
    <w:rsid w:val="00BA0E63"/>
    <w:rsid w:val="00BA0ED5"/>
    <w:rsid w:val="00BA330B"/>
    <w:rsid w:val="00BA34EB"/>
    <w:rsid w:val="00BA76F5"/>
    <w:rsid w:val="00BA7A91"/>
    <w:rsid w:val="00BB13E5"/>
    <w:rsid w:val="00BB5275"/>
    <w:rsid w:val="00BB725F"/>
    <w:rsid w:val="00BB7F89"/>
    <w:rsid w:val="00BC0B40"/>
    <w:rsid w:val="00BC21C5"/>
    <w:rsid w:val="00BC38DF"/>
    <w:rsid w:val="00BC40DA"/>
    <w:rsid w:val="00BC75BB"/>
    <w:rsid w:val="00BC7764"/>
    <w:rsid w:val="00BC7F56"/>
    <w:rsid w:val="00BD0F14"/>
    <w:rsid w:val="00BD34B4"/>
    <w:rsid w:val="00BD4E5F"/>
    <w:rsid w:val="00BD5811"/>
    <w:rsid w:val="00BE0CE2"/>
    <w:rsid w:val="00BE0D9E"/>
    <w:rsid w:val="00BE36BD"/>
    <w:rsid w:val="00BE5454"/>
    <w:rsid w:val="00BE5EE5"/>
    <w:rsid w:val="00BE6141"/>
    <w:rsid w:val="00BE7F6D"/>
    <w:rsid w:val="00BF0216"/>
    <w:rsid w:val="00BF0231"/>
    <w:rsid w:val="00BF05D5"/>
    <w:rsid w:val="00BF0BD7"/>
    <w:rsid w:val="00BF2798"/>
    <w:rsid w:val="00BF3392"/>
    <w:rsid w:val="00BF45FF"/>
    <w:rsid w:val="00BF5696"/>
    <w:rsid w:val="00C0001A"/>
    <w:rsid w:val="00C01BE6"/>
    <w:rsid w:val="00C02154"/>
    <w:rsid w:val="00C02B7D"/>
    <w:rsid w:val="00C03C70"/>
    <w:rsid w:val="00C0408E"/>
    <w:rsid w:val="00C040D8"/>
    <w:rsid w:val="00C0534C"/>
    <w:rsid w:val="00C0747C"/>
    <w:rsid w:val="00C1042C"/>
    <w:rsid w:val="00C107FE"/>
    <w:rsid w:val="00C116F6"/>
    <w:rsid w:val="00C118B0"/>
    <w:rsid w:val="00C1495B"/>
    <w:rsid w:val="00C14FAD"/>
    <w:rsid w:val="00C15681"/>
    <w:rsid w:val="00C15F50"/>
    <w:rsid w:val="00C161C3"/>
    <w:rsid w:val="00C17769"/>
    <w:rsid w:val="00C201AE"/>
    <w:rsid w:val="00C2099F"/>
    <w:rsid w:val="00C21920"/>
    <w:rsid w:val="00C21C9E"/>
    <w:rsid w:val="00C2278F"/>
    <w:rsid w:val="00C22A2B"/>
    <w:rsid w:val="00C23CF9"/>
    <w:rsid w:val="00C24B22"/>
    <w:rsid w:val="00C30062"/>
    <w:rsid w:val="00C30755"/>
    <w:rsid w:val="00C307E5"/>
    <w:rsid w:val="00C316FF"/>
    <w:rsid w:val="00C3255C"/>
    <w:rsid w:val="00C32BDB"/>
    <w:rsid w:val="00C32D29"/>
    <w:rsid w:val="00C33699"/>
    <w:rsid w:val="00C33838"/>
    <w:rsid w:val="00C33E28"/>
    <w:rsid w:val="00C376CD"/>
    <w:rsid w:val="00C40040"/>
    <w:rsid w:val="00C42D7D"/>
    <w:rsid w:val="00C438A5"/>
    <w:rsid w:val="00C46509"/>
    <w:rsid w:val="00C4733A"/>
    <w:rsid w:val="00C502F4"/>
    <w:rsid w:val="00C5285A"/>
    <w:rsid w:val="00C52D35"/>
    <w:rsid w:val="00C53608"/>
    <w:rsid w:val="00C5378E"/>
    <w:rsid w:val="00C5594F"/>
    <w:rsid w:val="00C55B8E"/>
    <w:rsid w:val="00C568AF"/>
    <w:rsid w:val="00C57D00"/>
    <w:rsid w:val="00C608FD"/>
    <w:rsid w:val="00C60C1D"/>
    <w:rsid w:val="00C6123D"/>
    <w:rsid w:val="00C621DB"/>
    <w:rsid w:val="00C622E3"/>
    <w:rsid w:val="00C655F6"/>
    <w:rsid w:val="00C66A15"/>
    <w:rsid w:val="00C70488"/>
    <w:rsid w:val="00C70820"/>
    <w:rsid w:val="00C72F65"/>
    <w:rsid w:val="00C73231"/>
    <w:rsid w:val="00C75022"/>
    <w:rsid w:val="00C75252"/>
    <w:rsid w:val="00C76208"/>
    <w:rsid w:val="00C7715D"/>
    <w:rsid w:val="00C8090A"/>
    <w:rsid w:val="00C809F7"/>
    <w:rsid w:val="00C813EC"/>
    <w:rsid w:val="00C825F8"/>
    <w:rsid w:val="00C83266"/>
    <w:rsid w:val="00C83346"/>
    <w:rsid w:val="00C847F8"/>
    <w:rsid w:val="00C84DA1"/>
    <w:rsid w:val="00C853BD"/>
    <w:rsid w:val="00C86EFF"/>
    <w:rsid w:val="00C879C4"/>
    <w:rsid w:val="00C87B93"/>
    <w:rsid w:val="00C9022A"/>
    <w:rsid w:val="00C9126C"/>
    <w:rsid w:val="00C91360"/>
    <w:rsid w:val="00C91972"/>
    <w:rsid w:val="00C92F8F"/>
    <w:rsid w:val="00C95A51"/>
    <w:rsid w:val="00C9705C"/>
    <w:rsid w:val="00C97312"/>
    <w:rsid w:val="00C979CD"/>
    <w:rsid w:val="00CA06AB"/>
    <w:rsid w:val="00CA0DED"/>
    <w:rsid w:val="00CA1676"/>
    <w:rsid w:val="00CA2243"/>
    <w:rsid w:val="00CA2D10"/>
    <w:rsid w:val="00CA3316"/>
    <w:rsid w:val="00CA7763"/>
    <w:rsid w:val="00CA7993"/>
    <w:rsid w:val="00CB3D61"/>
    <w:rsid w:val="00CB44B3"/>
    <w:rsid w:val="00CB51C5"/>
    <w:rsid w:val="00CB68F6"/>
    <w:rsid w:val="00CB7D27"/>
    <w:rsid w:val="00CC0618"/>
    <w:rsid w:val="00CC10FA"/>
    <w:rsid w:val="00CC1D6A"/>
    <w:rsid w:val="00CC21B5"/>
    <w:rsid w:val="00CC4B9D"/>
    <w:rsid w:val="00CC510E"/>
    <w:rsid w:val="00CC70A5"/>
    <w:rsid w:val="00CC744D"/>
    <w:rsid w:val="00CC784E"/>
    <w:rsid w:val="00CD0222"/>
    <w:rsid w:val="00CD224C"/>
    <w:rsid w:val="00CD38A1"/>
    <w:rsid w:val="00CD46DD"/>
    <w:rsid w:val="00CD717F"/>
    <w:rsid w:val="00CD73C4"/>
    <w:rsid w:val="00CD7DEC"/>
    <w:rsid w:val="00CE2A6F"/>
    <w:rsid w:val="00CE2F08"/>
    <w:rsid w:val="00CE3462"/>
    <w:rsid w:val="00CE3478"/>
    <w:rsid w:val="00CE370D"/>
    <w:rsid w:val="00CE4E46"/>
    <w:rsid w:val="00CE7753"/>
    <w:rsid w:val="00CF0705"/>
    <w:rsid w:val="00CF3574"/>
    <w:rsid w:val="00CF4A7B"/>
    <w:rsid w:val="00D008FB"/>
    <w:rsid w:val="00D018D1"/>
    <w:rsid w:val="00D02D45"/>
    <w:rsid w:val="00D02E5F"/>
    <w:rsid w:val="00D0324C"/>
    <w:rsid w:val="00D03CBF"/>
    <w:rsid w:val="00D04AC4"/>
    <w:rsid w:val="00D04CDF"/>
    <w:rsid w:val="00D05083"/>
    <w:rsid w:val="00D0641D"/>
    <w:rsid w:val="00D065A5"/>
    <w:rsid w:val="00D070E6"/>
    <w:rsid w:val="00D07C8A"/>
    <w:rsid w:val="00D10E74"/>
    <w:rsid w:val="00D126AE"/>
    <w:rsid w:val="00D129C5"/>
    <w:rsid w:val="00D141D7"/>
    <w:rsid w:val="00D148B1"/>
    <w:rsid w:val="00D14D34"/>
    <w:rsid w:val="00D151E5"/>
    <w:rsid w:val="00D1533F"/>
    <w:rsid w:val="00D154D0"/>
    <w:rsid w:val="00D163CD"/>
    <w:rsid w:val="00D172F2"/>
    <w:rsid w:val="00D22951"/>
    <w:rsid w:val="00D24253"/>
    <w:rsid w:val="00D271D5"/>
    <w:rsid w:val="00D32105"/>
    <w:rsid w:val="00D33CC1"/>
    <w:rsid w:val="00D34136"/>
    <w:rsid w:val="00D3420E"/>
    <w:rsid w:val="00D3551E"/>
    <w:rsid w:val="00D36A88"/>
    <w:rsid w:val="00D405BE"/>
    <w:rsid w:val="00D405E7"/>
    <w:rsid w:val="00D40D95"/>
    <w:rsid w:val="00D40DD2"/>
    <w:rsid w:val="00D42A6F"/>
    <w:rsid w:val="00D42E19"/>
    <w:rsid w:val="00D462B7"/>
    <w:rsid w:val="00D46D80"/>
    <w:rsid w:val="00D47BD7"/>
    <w:rsid w:val="00D55B45"/>
    <w:rsid w:val="00D60E17"/>
    <w:rsid w:val="00D60FFE"/>
    <w:rsid w:val="00D61EFB"/>
    <w:rsid w:val="00D65D55"/>
    <w:rsid w:val="00D66075"/>
    <w:rsid w:val="00D678D3"/>
    <w:rsid w:val="00D725FE"/>
    <w:rsid w:val="00D72C39"/>
    <w:rsid w:val="00D73E87"/>
    <w:rsid w:val="00D7470A"/>
    <w:rsid w:val="00D76191"/>
    <w:rsid w:val="00D763D9"/>
    <w:rsid w:val="00D76461"/>
    <w:rsid w:val="00D76631"/>
    <w:rsid w:val="00D77133"/>
    <w:rsid w:val="00D80586"/>
    <w:rsid w:val="00D81969"/>
    <w:rsid w:val="00D82A4E"/>
    <w:rsid w:val="00D83F53"/>
    <w:rsid w:val="00D862F4"/>
    <w:rsid w:val="00D87559"/>
    <w:rsid w:val="00D90217"/>
    <w:rsid w:val="00D9082D"/>
    <w:rsid w:val="00D91103"/>
    <w:rsid w:val="00D95079"/>
    <w:rsid w:val="00D9570B"/>
    <w:rsid w:val="00D95C6E"/>
    <w:rsid w:val="00D977EF"/>
    <w:rsid w:val="00DA1184"/>
    <w:rsid w:val="00DA2BEC"/>
    <w:rsid w:val="00DA314A"/>
    <w:rsid w:val="00DA3469"/>
    <w:rsid w:val="00DA4362"/>
    <w:rsid w:val="00DA439A"/>
    <w:rsid w:val="00DA562D"/>
    <w:rsid w:val="00DA7427"/>
    <w:rsid w:val="00DA772B"/>
    <w:rsid w:val="00DA7795"/>
    <w:rsid w:val="00DA7FF0"/>
    <w:rsid w:val="00DB236A"/>
    <w:rsid w:val="00DB2966"/>
    <w:rsid w:val="00DB2B54"/>
    <w:rsid w:val="00DB37FD"/>
    <w:rsid w:val="00DB51A5"/>
    <w:rsid w:val="00DB603C"/>
    <w:rsid w:val="00DC1BFD"/>
    <w:rsid w:val="00DC3032"/>
    <w:rsid w:val="00DC3E07"/>
    <w:rsid w:val="00DC4700"/>
    <w:rsid w:val="00DC717E"/>
    <w:rsid w:val="00DC7A73"/>
    <w:rsid w:val="00DD11F2"/>
    <w:rsid w:val="00DD2130"/>
    <w:rsid w:val="00DD2F1E"/>
    <w:rsid w:val="00DD7876"/>
    <w:rsid w:val="00DD7D57"/>
    <w:rsid w:val="00DE0201"/>
    <w:rsid w:val="00DE286F"/>
    <w:rsid w:val="00DE2A6F"/>
    <w:rsid w:val="00DE3308"/>
    <w:rsid w:val="00DE3C87"/>
    <w:rsid w:val="00DE42A2"/>
    <w:rsid w:val="00DE43FE"/>
    <w:rsid w:val="00DE5F48"/>
    <w:rsid w:val="00DE6FD4"/>
    <w:rsid w:val="00DE7213"/>
    <w:rsid w:val="00DE74C0"/>
    <w:rsid w:val="00DF090A"/>
    <w:rsid w:val="00DF097F"/>
    <w:rsid w:val="00DF37CF"/>
    <w:rsid w:val="00DF4C87"/>
    <w:rsid w:val="00DF5AA5"/>
    <w:rsid w:val="00DF6F8E"/>
    <w:rsid w:val="00DF7C02"/>
    <w:rsid w:val="00E00202"/>
    <w:rsid w:val="00E00A9C"/>
    <w:rsid w:val="00E01417"/>
    <w:rsid w:val="00E02E89"/>
    <w:rsid w:val="00E0300C"/>
    <w:rsid w:val="00E034BB"/>
    <w:rsid w:val="00E03516"/>
    <w:rsid w:val="00E04389"/>
    <w:rsid w:val="00E072D3"/>
    <w:rsid w:val="00E07D3A"/>
    <w:rsid w:val="00E13CB1"/>
    <w:rsid w:val="00E13F3C"/>
    <w:rsid w:val="00E147FD"/>
    <w:rsid w:val="00E170F2"/>
    <w:rsid w:val="00E173C2"/>
    <w:rsid w:val="00E17CEB"/>
    <w:rsid w:val="00E20071"/>
    <w:rsid w:val="00E2062B"/>
    <w:rsid w:val="00E2105C"/>
    <w:rsid w:val="00E2201D"/>
    <w:rsid w:val="00E227A7"/>
    <w:rsid w:val="00E23E98"/>
    <w:rsid w:val="00E26348"/>
    <w:rsid w:val="00E302DF"/>
    <w:rsid w:val="00E31309"/>
    <w:rsid w:val="00E31831"/>
    <w:rsid w:val="00E323A5"/>
    <w:rsid w:val="00E3668B"/>
    <w:rsid w:val="00E37022"/>
    <w:rsid w:val="00E42AF5"/>
    <w:rsid w:val="00E42FED"/>
    <w:rsid w:val="00E502CF"/>
    <w:rsid w:val="00E52F95"/>
    <w:rsid w:val="00E5349E"/>
    <w:rsid w:val="00E54D61"/>
    <w:rsid w:val="00E5532A"/>
    <w:rsid w:val="00E5573E"/>
    <w:rsid w:val="00E56BF2"/>
    <w:rsid w:val="00E625EE"/>
    <w:rsid w:val="00E63361"/>
    <w:rsid w:val="00E6351B"/>
    <w:rsid w:val="00E63A55"/>
    <w:rsid w:val="00E6505F"/>
    <w:rsid w:val="00E67600"/>
    <w:rsid w:val="00E677E2"/>
    <w:rsid w:val="00E678CC"/>
    <w:rsid w:val="00E73578"/>
    <w:rsid w:val="00E7520A"/>
    <w:rsid w:val="00E754F3"/>
    <w:rsid w:val="00E7571F"/>
    <w:rsid w:val="00E77768"/>
    <w:rsid w:val="00E80265"/>
    <w:rsid w:val="00E8074A"/>
    <w:rsid w:val="00E80D44"/>
    <w:rsid w:val="00E8223B"/>
    <w:rsid w:val="00E83F34"/>
    <w:rsid w:val="00E845C9"/>
    <w:rsid w:val="00E90807"/>
    <w:rsid w:val="00E909E3"/>
    <w:rsid w:val="00E90E86"/>
    <w:rsid w:val="00E91306"/>
    <w:rsid w:val="00E91A7F"/>
    <w:rsid w:val="00E92ECF"/>
    <w:rsid w:val="00E9322B"/>
    <w:rsid w:val="00E93604"/>
    <w:rsid w:val="00E945EB"/>
    <w:rsid w:val="00E9599E"/>
    <w:rsid w:val="00EA03FD"/>
    <w:rsid w:val="00EA05DF"/>
    <w:rsid w:val="00EA2406"/>
    <w:rsid w:val="00EA24CD"/>
    <w:rsid w:val="00EA2A21"/>
    <w:rsid w:val="00EA541B"/>
    <w:rsid w:val="00EA7549"/>
    <w:rsid w:val="00EB091C"/>
    <w:rsid w:val="00EB12E2"/>
    <w:rsid w:val="00EB429F"/>
    <w:rsid w:val="00EB728A"/>
    <w:rsid w:val="00EC02BA"/>
    <w:rsid w:val="00EC04E2"/>
    <w:rsid w:val="00EC1013"/>
    <w:rsid w:val="00EC3142"/>
    <w:rsid w:val="00EC3F1D"/>
    <w:rsid w:val="00EC486F"/>
    <w:rsid w:val="00EC549E"/>
    <w:rsid w:val="00EC5888"/>
    <w:rsid w:val="00ED15A9"/>
    <w:rsid w:val="00ED19BC"/>
    <w:rsid w:val="00ED2135"/>
    <w:rsid w:val="00ED3623"/>
    <w:rsid w:val="00ED3B4F"/>
    <w:rsid w:val="00ED4957"/>
    <w:rsid w:val="00ED4CC2"/>
    <w:rsid w:val="00ED539A"/>
    <w:rsid w:val="00ED6EB4"/>
    <w:rsid w:val="00ED749B"/>
    <w:rsid w:val="00EE1A28"/>
    <w:rsid w:val="00EE2236"/>
    <w:rsid w:val="00EE3AFF"/>
    <w:rsid w:val="00EE45B8"/>
    <w:rsid w:val="00EE491E"/>
    <w:rsid w:val="00EE56F4"/>
    <w:rsid w:val="00EE618D"/>
    <w:rsid w:val="00EE72E0"/>
    <w:rsid w:val="00EF10BA"/>
    <w:rsid w:val="00EF11AD"/>
    <w:rsid w:val="00EF3EDF"/>
    <w:rsid w:val="00EF4223"/>
    <w:rsid w:val="00EF7CA4"/>
    <w:rsid w:val="00EF7CCD"/>
    <w:rsid w:val="00F013E2"/>
    <w:rsid w:val="00F0677F"/>
    <w:rsid w:val="00F10296"/>
    <w:rsid w:val="00F12012"/>
    <w:rsid w:val="00F12319"/>
    <w:rsid w:val="00F15134"/>
    <w:rsid w:val="00F22061"/>
    <w:rsid w:val="00F2505A"/>
    <w:rsid w:val="00F264D6"/>
    <w:rsid w:val="00F26B7E"/>
    <w:rsid w:val="00F272A2"/>
    <w:rsid w:val="00F27EB6"/>
    <w:rsid w:val="00F30090"/>
    <w:rsid w:val="00F3184E"/>
    <w:rsid w:val="00F33AFE"/>
    <w:rsid w:val="00F33F49"/>
    <w:rsid w:val="00F34992"/>
    <w:rsid w:val="00F40E3A"/>
    <w:rsid w:val="00F413D3"/>
    <w:rsid w:val="00F41519"/>
    <w:rsid w:val="00F41AE5"/>
    <w:rsid w:val="00F42C92"/>
    <w:rsid w:val="00F42E29"/>
    <w:rsid w:val="00F43254"/>
    <w:rsid w:val="00F4392F"/>
    <w:rsid w:val="00F442C2"/>
    <w:rsid w:val="00F442DD"/>
    <w:rsid w:val="00F446CD"/>
    <w:rsid w:val="00F451CD"/>
    <w:rsid w:val="00F45650"/>
    <w:rsid w:val="00F4599C"/>
    <w:rsid w:val="00F45FB8"/>
    <w:rsid w:val="00F47BF4"/>
    <w:rsid w:val="00F50890"/>
    <w:rsid w:val="00F536B8"/>
    <w:rsid w:val="00F55447"/>
    <w:rsid w:val="00F556B7"/>
    <w:rsid w:val="00F55F2D"/>
    <w:rsid w:val="00F56677"/>
    <w:rsid w:val="00F5712E"/>
    <w:rsid w:val="00F576B5"/>
    <w:rsid w:val="00F610A5"/>
    <w:rsid w:val="00F618B0"/>
    <w:rsid w:val="00F64694"/>
    <w:rsid w:val="00F650F7"/>
    <w:rsid w:val="00F675B1"/>
    <w:rsid w:val="00F67DFD"/>
    <w:rsid w:val="00F67F5B"/>
    <w:rsid w:val="00F7083A"/>
    <w:rsid w:val="00F70A99"/>
    <w:rsid w:val="00F70DCE"/>
    <w:rsid w:val="00F71EFD"/>
    <w:rsid w:val="00F72B7F"/>
    <w:rsid w:val="00F74A69"/>
    <w:rsid w:val="00F74FED"/>
    <w:rsid w:val="00F7797C"/>
    <w:rsid w:val="00F80365"/>
    <w:rsid w:val="00F803B2"/>
    <w:rsid w:val="00F806BF"/>
    <w:rsid w:val="00F842C4"/>
    <w:rsid w:val="00F85BCA"/>
    <w:rsid w:val="00F91309"/>
    <w:rsid w:val="00F918D5"/>
    <w:rsid w:val="00F964CA"/>
    <w:rsid w:val="00F97F62"/>
    <w:rsid w:val="00FA0B24"/>
    <w:rsid w:val="00FA1F23"/>
    <w:rsid w:val="00FA2000"/>
    <w:rsid w:val="00FA2049"/>
    <w:rsid w:val="00FA28E8"/>
    <w:rsid w:val="00FA2A5C"/>
    <w:rsid w:val="00FA3311"/>
    <w:rsid w:val="00FA3CD7"/>
    <w:rsid w:val="00FA4B0E"/>
    <w:rsid w:val="00FA5980"/>
    <w:rsid w:val="00FA7099"/>
    <w:rsid w:val="00FA7E03"/>
    <w:rsid w:val="00FB13DF"/>
    <w:rsid w:val="00FB2036"/>
    <w:rsid w:val="00FB440B"/>
    <w:rsid w:val="00FB5E63"/>
    <w:rsid w:val="00FB5F07"/>
    <w:rsid w:val="00FB68E1"/>
    <w:rsid w:val="00FB70F4"/>
    <w:rsid w:val="00FC1F42"/>
    <w:rsid w:val="00FC3DCD"/>
    <w:rsid w:val="00FC5045"/>
    <w:rsid w:val="00FC55EB"/>
    <w:rsid w:val="00FC602E"/>
    <w:rsid w:val="00FC6875"/>
    <w:rsid w:val="00FC73FD"/>
    <w:rsid w:val="00FC75A8"/>
    <w:rsid w:val="00FD19A2"/>
    <w:rsid w:val="00FD1E1D"/>
    <w:rsid w:val="00FD29B4"/>
    <w:rsid w:val="00FD394A"/>
    <w:rsid w:val="00FD45A7"/>
    <w:rsid w:val="00FD5484"/>
    <w:rsid w:val="00FD5506"/>
    <w:rsid w:val="00FD5C13"/>
    <w:rsid w:val="00FD6663"/>
    <w:rsid w:val="00FD7032"/>
    <w:rsid w:val="00FD7252"/>
    <w:rsid w:val="00FD7C4C"/>
    <w:rsid w:val="00FE2D5F"/>
    <w:rsid w:val="00FE3F48"/>
    <w:rsid w:val="00FE45B5"/>
    <w:rsid w:val="00FE4AAD"/>
    <w:rsid w:val="00FE6CAE"/>
    <w:rsid w:val="00FE7DDA"/>
    <w:rsid w:val="00FF0A34"/>
    <w:rsid w:val="00FF2C13"/>
    <w:rsid w:val="00FF55DF"/>
    <w:rsid w:val="00FF669B"/>
    <w:rsid w:val="00FF67EA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A64A4"/>
  <w15:chartTrackingRefBased/>
  <w15:docId w15:val="{44A8A88A-09F4-40B4-A8AF-D519299A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4A6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next w:val="a"/>
    <w:link w:val="20"/>
    <w:uiPriority w:val="9"/>
    <w:unhideWhenUsed/>
    <w:qFormat/>
    <w:rsid w:val="00480BCC"/>
    <w:pPr>
      <w:keepNext/>
      <w:keepLines/>
      <w:spacing w:after="8" w:line="251" w:lineRule="auto"/>
      <w:ind w:left="10" w:hanging="10"/>
      <w:outlineLvl w:val="1"/>
    </w:pPr>
    <w:rPr>
      <w:rFonts w:ascii="Times New Roman" w:eastAsia="Times New Roman" w:hAnsi="Times New Roman"/>
      <w:color w:val="000000"/>
      <w:sz w:val="30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770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80BCC"/>
    <w:rPr>
      <w:rFonts w:ascii="Times New Roman" w:eastAsia="Times New Roman" w:hAnsi="Times New Roman"/>
      <w:color w:val="000000"/>
      <w:sz w:val="30"/>
      <w:szCs w:val="22"/>
      <w:lang w:bidi="ar-SA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B5715"/>
    <w:rPr>
      <w:b/>
      <w:bCs/>
    </w:rPr>
  </w:style>
  <w:style w:type="table" w:styleId="a6">
    <w:name w:val="Table Grid"/>
    <w:basedOn w:val="a1"/>
    <w:uiPriority w:val="59"/>
    <w:rsid w:val="0015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E42FED"/>
    <w:rPr>
      <w:i/>
      <w:iCs/>
    </w:rPr>
  </w:style>
  <w:style w:type="character" w:customStyle="1" w:styleId="30">
    <w:name w:val="Заголовок 3 Знак"/>
    <w:link w:val="3"/>
    <w:uiPriority w:val="9"/>
    <w:rsid w:val="00077003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077003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rsid w:val="00077003"/>
    <w:pPr>
      <w:spacing w:after="0" w:line="240" w:lineRule="auto"/>
      <w:ind w:right="-2" w:firstLine="567"/>
      <w:jc w:val="both"/>
    </w:pPr>
    <w:rPr>
      <w:rFonts w:ascii="Times New Roman" w:eastAsia="Times New Roman" w:hAnsi="Times New Roman"/>
      <w:i/>
      <w:iCs/>
      <w:sz w:val="28"/>
      <w:szCs w:val="28"/>
      <w:lang w:eastAsia="x-none"/>
    </w:rPr>
  </w:style>
  <w:style w:type="character" w:customStyle="1" w:styleId="22">
    <w:name w:val="Основний текст 2 Знак"/>
    <w:link w:val="21"/>
    <w:uiPriority w:val="99"/>
    <w:rsid w:val="00077003"/>
    <w:rPr>
      <w:rFonts w:ascii="Times New Roman" w:eastAsia="Times New Roman" w:hAnsi="Times New Roman"/>
      <w:i/>
      <w:iCs/>
      <w:sz w:val="28"/>
      <w:szCs w:val="28"/>
      <w:lang w:val="uk-UA" w:eastAsia="x-none"/>
    </w:rPr>
  </w:style>
  <w:style w:type="paragraph" w:styleId="a8">
    <w:name w:val="List Paragraph"/>
    <w:basedOn w:val="a"/>
    <w:uiPriority w:val="34"/>
    <w:qFormat/>
    <w:rsid w:val="00077003"/>
    <w:pPr>
      <w:spacing w:before="240" w:after="0" w:line="240" w:lineRule="auto"/>
      <w:ind w:left="720"/>
      <w:contextualSpacing/>
      <w:jc w:val="center"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A3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A323C2"/>
    <w:rPr>
      <w:rFonts w:ascii="Courier New" w:eastAsia="Times New Roman" w:hAnsi="Courier New" w:cs="Courier New"/>
    </w:rPr>
  </w:style>
  <w:style w:type="character" w:styleId="a9">
    <w:name w:val="Hyperlink"/>
    <w:uiPriority w:val="99"/>
    <w:unhideWhenUsed/>
    <w:rsid w:val="00A323C2"/>
    <w:rPr>
      <w:color w:val="0000FF"/>
      <w:u w:val="single"/>
    </w:rPr>
  </w:style>
  <w:style w:type="character" w:customStyle="1" w:styleId="212pt">
    <w:name w:val="Основной текст (2) + 12 pt"/>
    <w:aliases w:val="Полужирный"/>
    <w:uiPriority w:val="99"/>
    <w:rsid w:val="004B6673"/>
    <w:rPr>
      <w:rFonts w:ascii="Times New Roman" w:hAnsi="Times New Roman" w:cs="Times New Roman"/>
      <w:b/>
      <w:bCs/>
      <w:sz w:val="24"/>
      <w:szCs w:val="24"/>
      <w:u w:val="none"/>
    </w:rPr>
  </w:style>
  <w:style w:type="paragraph" w:styleId="aa">
    <w:name w:val="No Spacing"/>
    <w:qFormat/>
    <w:rsid w:val="007671EB"/>
    <w:rPr>
      <w:sz w:val="22"/>
      <w:szCs w:val="22"/>
      <w:lang w:val="ru-RU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D4E5F"/>
    <w:pPr>
      <w:spacing w:after="120" w:line="480" w:lineRule="auto"/>
      <w:ind w:left="283"/>
    </w:pPr>
    <w:rPr>
      <w:lang w:eastAsia="x-none"/>
    </w:rPr>
  </w:style>
  <w:style w:type="character" w:customStyle="1" w:styleId="24">
    <w:name w:val="Основний текст з відступом 2 Знак"/>
    <w:link w:val="23"/>
    <w:uiPriority w:val="99"/>
    <w:semiHidden/>
    <w:rsid w:val="00BD4E5F"/>
    <w:rPr>
      <w:sz w:val="22"/>
      <w:szCs w:val="22"/>
      <w:lang w:val="uk-UA"/>
    </w:rPr>
  </w:style>
  <w:style w:type="paragraph" w:styleId="ab">
    <w:name w:val="Plain Text"/>
    <w:basedOn w:val="a"/>
    <w:link w:val="ac"/>
    <w:rsid w:val="00BD4E5F"/>
    <w:pPr>
      <w:spacing w:after="0" w:line="240" w:lineRule="auto"/>
      <w:ind w:firstLine="284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BD4E5F"/>
    <w:rPr>
      <w:rFonts w:ascii="Courier New" w:eastAsia="Times New Roman" w:hAnsi="Courier New"/>
      <w:lang w:val="x-none" w:eastAsia="x-none"/>
    </w:rPr>
  </w:style>
  <w:style w:type="paragraph" w:customStyle="1" w:styleId="11">
    <w:name w:val="Без інтервалів1"/>
    <w:rsid w:val="00A54277"/>
    <w:rPr>
      <w:rFonts w:eastAsia="Times New Roman"/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072B6B"/>
    <w:rPr>
      <w:color w:val="800080"/>
      <w:u w:val="single"/>
    </w:rPr>
  </w:style>
  <w:style w:type="paragraph" w:styleId="ae">
    <w:name w:val="Body Text"/>
    <w:basedOn w:val="a"/>
    <w:link w:val="af"/>
    <w:uiPriority w:val="99"/>
    <w:unhideWhenUsed/>
    <w:rsid w:val="005926B3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rsid w:val="005926B3"/>
    <w:rPr>
      <w:sz w:val="22"/>
      <w:szCs w:val="22"/>
      <w:lang w:val="uk-UA"/>
    </w:rPr>
  </w:style>
  <w:style w:type="paragraph" w:styleId="af0">
    <w:name w:val="header"/>
    <w:basedOn w:val="a"/>
    <w:link w:val="af1"/>
    <w:uiPriority w:val="99"/>
    <w:unhideWhenUsed/>
    <w:rsid w:val="00F26B7E"/>
    <w:pPr>
      <w:tabs>
        <w:tab w:val="center" w:pos="4844"/>
        <w:tab w:val="right" w:pos="9689"/>
      </w:tabs>
    </w:pPr>
    <w:rPr>
      <w:lang w:eastAsia="x-none"/>
    </w:rPr>
  </w:style>
  <w:style w:type="character" w:customStyle="1" w:styleId="af1">
    <w:name w:val="Верхній колонтитул Знак"/>
    <w:link w:val="af0"/>
    <w:uiPriority w:val="99"/>
    <w:rsid w:val="00F26B7E"/>
    <w:rPr>
      <w:sz w:val="22"/>
      <w:szCs w:val="22"/>
      <w:lang w:val="uk-UA"/>
    </w:rPr>
  </w:style>
  <w:style w:type="paragraph" w:styleId="af2">
    <w:name w:val="footer"/>
    <w:basedOn w:val="a"/>
    <w:link w:val="af3"/>
    <w:uiPriority w:val="99"/>
    <w:unhideWhenUsed/>
    <w:rsid w:val="00F26B7E"/>
    <w:pPr>
      <w:tabs>
        <w:tab w:val="center" w:pos="4844"/>
        <w:tab w:val="right" w:pos="9689"/>
      </w:tabs>
    </w:pPr>
    <w:rPr>
      <w:lang w:eastAsia="x-none"/>
    </w:rPr>
  </w:style>
  <w:style w:type="character" w:customStyle="1" w:styleId="af3">
    <w:name w:val="Нижній колонтитул Знак"/>
    <w:link w:val="af2"/>
    <w:uiPriority w:val="99"/>
    <w:rsid w:val="00F26B7E"/>
    <w:rPr>
      <w:sz w:val="22"/>
      <w:szCs w:val="22"/>
      <w:lang w:val="uk-UA"/>
    </w:rPr>
  </w:style>
  <w:style w:type="character" w:customStyle="1" w:styleId="rvts23">
    <w:name w:val="rvts23"/>
    <w:rsid w:val="00A40355"/>
  </w:style>
  <w:style w:type="character" w:styleId="af4">
    <w:name w:val="annotation reference"/>
    <w:uiPriority w:val="99"/>
    <w:semiHidden/>
    <w:unhideWhenUsed/>
    <w:rsid w:val="006E7D0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E7D05"/>
    <w:rPr>
      <w:sz w:val="20"/>
      <w:szCs w:val="20"/>
    </w:rPr>
  </w:style>
  <w:style w:type="character" w:customStyle="1" w:styleId="af6">
    <w:name w:val="Текст примітки Знак"/>
    <w:link w:val="af5"/>
    <w:uiPriority w:val="99"/>
    <w:semiHidden/>
    <w:rsid w:val="006E7D05"/>
    <w:rPr>
      <w:lang w:val="uk-UA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E7D05"/>
    <w:rPr>
      <w:b/>
      <w:bCs/>
    </w:rPr>
  </w:style>
  <w:style w:type="character" w:customStyle="1" w:styleId="af8">
    <w:name w:val="Тема примітки Знак"/>
    <w:link w:val="af7"/>
    <w:uiPriority w:val="99"/>
    <w:semiHidden/>
    <w:rsid w:val="006E7D05"/>
    <w:rPr>
      <w:b/>
      <w:bCs/>
      <w:lang w:val="uk-UA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6E7D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у виносці Знак"/>
    <w:link w:val="af9"/>
    <w:uiPriority w:val="99"/>
    <w:semiHidden/>
    <w:rsid w:val="006E7D05"/>
    <w:rPr>
      <w:rFonts w:ascii="Tahoma" w:hAnsi="Tahoma" w:cs="Tahoma"/>
      <w:sz w:val="16"/>
      <w:szCs w:val="16"/>
      <w:lang w:val="uk-UA" w:eastAsia="en-US"/>
    </w:rPr>
  </w:style>
  <w:style w:type="paragraph" w:styleId="afb">
    <w:name w:val="Revision"/>
    <w:hidden/>
    <w:uiPriority w:val="99"/>
    <w:semiHidden/>
    <w:rsid w:val="00841879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24A6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rvts0">
    <w:name w:val="rvts0"/>
    <w:rsid w:val="0028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521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150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409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138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E9B4-C923-452B-B10C-F2001916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13741</Words>
  <Characters>7833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Апар Олена Миколаївна</cp:lastModifiedBy>
  <cp:revision>6</cp:revision>
  <cp:lastPrinted>2019-05-27T11:55:00Z</cp:lastPrinted>
  <dcterms:created xsi:type="dcterms:W3CDTF">2020-12-24T12:33:00Z</dcterms:created>
  <dcterms:modified xsi:type="dcterms:W3CDTF">2021-02-04T13:00:00Z</dcterms:modified>
</cp:coreProperties>
</file>