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2BDB4" w14:textId="77777777" w:rsidR="009A4B38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>АНАЛІЗ РЕГУЛЯТОРНОГО ВПЛИВУ</w:t>
      </w:r>
    </w:p>
    <w:p w14:paraId="26B455DE" w14:textId="0DCFF972" w:rsidR="009A4B38" w:rsidRPr="00977DD0" w:rsidRDefault="009A4B38" w:rsidP="009A4B38">
      <w:pPr>
        <w:jc w:val="center"/>
        <w:rPr>
          <w:b/>
          <w:sz w:val="28"/>
          <w:szCs w:val="28"/>
        </w:rPr>
      </w:pPr>
      <w:proofErr w:type="spellStart"/>
      <w:r w:rsidRPr="00977DD0">
        <w:rPr>
          <w:b/>
          <w:sz w:val="28"/>
          <w:szCs w:val="28"/>
        </w:rPr>
        <w:t>про</w:t>
      </w:r>
      <w:r w:rsidR="007F5731" w:rsidRPr="00977DD0">
        <w:rPr>
          <w:b/>
          <w:sz w:val="28"/>
          <w:szCs w:val="28"/>
        </w:rPr>
        <w:t>є</w:t>
      </w:r>
      <w:r w:rsidRPr="00977DD0">
        <w:rPr>
          <w:b/>
          <w:sz w:val="28"/>
          <w:szCs w:val="28"/>
        </w:rPr>
        <w:t>кту</w:t>
      </w:r>
      <w:proofErr w:type="spellEnd"/>
      <w:r w:rsidRPr="00977DD0">
        <w:rPr>
          <w:b/>
          <w:sz w:val="28"/>
          <w:szCs w:val="28"/>
        </w:rPr>
        <w:t xml:space="preserve"> </w:t>
      </w:r>
      <w:r w:rsidR="00822322" w:rsidRPr="00977DD0">
        <w:rPr>
          <w:b/>
          <w:sz w:val="28"/>
          <w:szCs w:val="28"/>
        </w:rPr>
        <w:t xml:space="preserve">постанови Кабінету Міністрів України «Про внесення </w:t>
      </w:r>
      <w:r w:rsidRPr="00977DD0">
        <w:rPr>
          <w:b/>
          <w:sz w:val="28"/>
          <w:szCs w:val="28"/>
        </w:rPr>
        <w:t>змін</w:t>
      </w:r>
      <w:r w:rsidR="007F5731" w:rsidRPr="00977DD0">
        <w:rPr>
          <w:b/>
          <w:sz w:val="28"/>
          <w:szCs w:val="28"/>
        </w:rPr>
        <w:t xml:space="preserve">  </w:t>
      </w:r>
      <w:r w:rsidR="005C7ED8" w:rsidRPr="00977DD0">
        <w:rPr>
          <w:b/>
          <w:sz w:val="28"/>
          <w:szCs w:val="28"/>
        </w:rPr>
        <w:t xml:space="preserve">                 у</w:t>
      </w:r>
      <w:r w:rsidRPr="00977DD0">
        <w:rPr>
          <w:b/>
          <w:sz w:val="28"/>
          <w:szCs w:val="28"/>
        </w:rPr>
        <w:t xml:space="preserve"> </w:t>
      </w:r>
      <w:r w:rsidR="00CF2BA8" w:rsidRPr="00977DD0">
        <w:rPr>
          <w:b/>
          <w:sz w:val="28"/>
          <w:szCs w:val="28"/>
        </w:rPr>
        <w:t>д</w:t>
      </w:r>
      <w:r w:rsidRPr="00977DD0">
        <w:rPr>
          <w:b/>
          <w:sz w:val="28"/>
          <w:szCs w:val="28"/>
        </w:rPr>
        <w:t>одат</w:t>
      </w:r>
      <w:r w:rsidR="005C7ED8" w:rsidRPr="00977DD0">
        <w:rPr>
          <w:b/>
          <w:sz w:val="28"/>
          <w:szCs w:val="28"/>
        </w:rPr>
        <w:t>о</w:t>
      </w:r>
      <w:r w:rsidRPr="00977DD0">
        <w:rPr>
          <w:b/>
          <w:sz w:val="28"/>
          <w:szCs w:val="28"/>
        </w:rPr>
        <w:t xml:space="preserve">к до постанови Кабінету Міністрів України </w:t>
      </w:r>
    </w:p>
    <w:p w14:paraId="6F4EF751" w14:textId="77777777" w:rsidR="009A4B38" w:rsidRPr="00977DD0" w:rsidRDefault="009A4B38" w:rsidP="009A4B38">
      <w:pPr>
        <w:jc w:val="center"/>
        <w:rPr>
          <w:b/>
          <w:sz w:val="28"/>
          <w:szCs w:val="28"/>
        </w:rPr>
      </w:pPr>
      <w:r w:rsidRPr="00977DD0">
        <w:rPr>
          <w:b/>
          <w:sz w:val="28"/>
          <w:szCs w:val="28"/>
        </w:rPr>
        <w:t>від 20 грудня 2006 р. № 1765»</w:t>
      </w:r>
    </w:p>
    <w:p w14:paraId="4372DE2E" w14:textId="5FBEE92E" w:rsidR="009A4B38" w:rsidRPr="00977DD0" w:rsidRDefault="009A4B38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14:paraId="3A047D67" w14:textId="77777777" w:rsidR="006A2311" w:rsidRPr="00977DD0" w:rsidRDefault="006A2311" w:rsidP="009A4B38">
      <w:pPr>
        <w:pStyle w:val="3"/>
        <w:spacing w:before="0" w:beforeAutospacing="0" w:after="0" w:afterAutospacing="0"/>
        <w:ind w:left="1080"/>
        <w:jc w:val="center"/>
        <w:rPr>
          <w:sz w:val="28"/>
          <w:szCs w:val="28"/>
        </w:rPr>
      </w:pPr>
    </w:p>
    <w:p w14:paraId="28C25903" w14:textId="57215CF3" w:rsidR="009A4B38" w:rsidRPr="00977DD0" w:rsidRDefault="009A4B38" w:rsidP="007F573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>І. Визначення проблеми</w:t>
      </w:r>
    </w:p>
    <w:p w14:paraId="35F7B7D6" w14:textId="77777777" w:rsidR="006A2311" w:rsidRPr="00977DD0" w:rsidRDefault="006A2311" w:rsidP="007F5731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42DD9AD0" w14:textId="36D1656E" w:rsidR="009A4B38" w:rsidRPr="00977DD0" w:rsidRDefault="009A4B38" w:rsidP="00830A24">
      <w:pPr>
        <w:ind w:firstLine="567"/>
        <w:jc w:val="both"/>
        <w:rPr>
          <w:sz w:val="28"/>
          <w:szCs w:val="28"/>
        </w:rPr>
      </w:pPr>
      <w:proofErr w:type="spellStart"/>
      <w:r w:rsidRPr="00977DD0">
        <w:rPr>
          <w:sz w:val="28"/>
          <w:szCs w:val="28"/>
        </w:rPr>
        <w:t>Про</w:t>
      </w:r>
      <w:r w:rsidR="007040C0" w:rsidRPr="00977DD0">
        <w:rPr>
          <w:sz w:val="28"/>
          <w:szCs w:val="28"/>
        </w:rPr>
        <w:t>є</w:t>
      </w:r>
      <w:r w:rsidRPr="00977DD0">
        <w:rPr>
          <w:sz w:val="28"/>
          <w:szCs w:val="28"/>
        </w:rPr>
        <w:t>кт</w:t>
      </w:r>
      <w:proofErr w:type="spellEnd"/>
      <w:r w:rsidRPr="00977DD0">
        <w:rPr>
          <w:sz w:val="28"/>
          <w:szCs w:val="28"/>
        </w:rPr>
        <w:t xml:space="preserve"> постанови Кабінету Міністрів України «Про внесення змін </w:t>
      </w:r>
      <w:r w:rsidR="005C7ED8" w:rsidRPr="00977DD0">
        <w:rPr>
          <w:sz w:val="28"/>
          <w:szCs w:val="28"/>
        </w:rPr>
        <w:t xml:space="preserve">у </w:t>
      </w:r>
      <w:r w:rsidR="00CF2BA8" w:rsidRPr="00977DD0">
        <w:rPr>
          <w:sz w:val="28"/>
          <w:szCs w:val="28"/>
        </w:rPr>
        <w:t>д</w:t>
      </w:r>
      <w:r w:rsidRPr="00977DD0">
        <w:rPr>
          <w:sz w:val="28"/>
          <w:szCs w:val="28"/>
        </w:rPr>
        <w:t>одат</w:t>
      </w:r>
      <w:r w:rsidR="005C7ED8" w:rsidRPr="00977DD0">
        <w:rPr>
          <w:sz w:val="28"/>
          <w:szCs w:val="28"/>
        </w:rPr>
        <w:t>о</w:t>
      </w:r>
      <w:r w:rsidRPr="00977DD0">
        <w:rPr>
          <w:sz w:val="28"/>
          <w:szCs w:val="28"/>
        </w:rPr>
        <w:t xml:space="preserve">к до постанови Кабінету Міністрів України від 20 грудня 2006 р. № 1765» (далі – </w:t>
      </w:r>
      <w:proofErr w:type="spellStart"/>
      <w:r w:rsidRPr="00977DD0">
        <w:rPr>
          <w:sz w:val="28"/>
          <w:szCs w:val="28"/>
        </w:rPr>
        <w:t>про</w:t>
      </w:r>
      <w:r w:rsidR="007F5731" w:rsidRPr="00977DD0">
        <w:rPr>
          <w:sz w:val="28"/>
          <w:szCs w:val="28"/>
        </w:rPr>
        <w:t>є</w:t>
      </w:r>
      <w:r w:rsidRPr="00977DD0">
        <w:rPr>
          <w:sz w:val="28"/>
          <w:szCs w:val="28"/>
        </w:rPr>
        <w:t>кт</w:t>
      </w:r>
      <w:proofErr w:type="spellEnd"/>
      <w:r w:rsidRPr="00977DD0">
        <w:rPr>
          <w:sz w:val="28"/>
          <w:szCs w:val="28"/>
        </w:rPr>
        <w:t xml:space="preserve"> постанови) розроблено відповідно до вимог додатка XV «Наближення митного законодавства» до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яка ратифікована</w:t>
      </w:r>
      <w:r w:rsidR="00A75F41" w:rsidRPr="00977DD0">
        <w:rPr>
          <w:sz w:val="28"/>
          <w:szCs w:val="28"/>
        </w:rPr>
        <w:t xml:space="preserve"> шляхом прийняття</w:t>
      </w:r>
      <w:r w:rsidRPr="00977DD0">
        <w:rPr>
          <w:sz w:val="28"/>
          <w:szCs w:val="28"/>
        </w:rPr>
        <w:t xml:space="preserve"> Закон</w:t>
      </w:r>
      <w:r w:rsidR="00A75F41" w:rsidRPr="00977DD0">
        <w:rPr>
          <w:sz w:val="28"/>
          <w:szCs w:val="28"/>
        </w:rPr>
        <w:t>у</w:t>
      </w:r>
      <w:r w:rsidRPr="00977DD0">
        <w:rPr>
          <w:sz w:val="28"/>
          <w:szCs w:val="28"/>
        </w:rPr>
        <w:t xml:space="preserve"> України від 16 вересня 2014 року № 1678-VII (далі – Угода).</w:t>
      </w:r>
    </w:p>
    <w:p w14:paraId="4A88E56B" w14:textId="2B94F4FB" w:rsidR="009A4B38" w:rsidRPr="00977DD0" w:rsidRDefault="009A4B38" w:rsidP="00830A24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Україною </w:t>
      </w:r>
      <w:r w:rsidR="008E1743" w:rsidRPr="00977DD0">
        <w:rPr>
          <w:sz w:val="28"/>
          <w:szCs w:val="28"/>
        </w:rPr>
        <w:t>відповідно до додатка XV до г</w:t>
      </w:r>
      <w:r w:rsidR="00795033" w:rsidRPr="00977DD0">
        <w:rPr>
          <w:sz w:val="28"/>
          <w:szCs w:val="28"/>
        </w:rPr>
        <w:t xml:space="preserve">лави 5 </w:t>
      </w:r>
      <w:r w:rsidRPr="00977DD0">
        <w:rPr>
          <w:sz w:val="28"/>
          <w:szCs w:val="28"/>
        </w:rPr>
        <w:t xml:space="preserve">Угоди взято зобов’язання </w:t>
      </w:r>
      <w:proofErr w:type="spellStart"/>
      <w:r w:rsidRPr="00977DD0">
        <w:rPr>
          <w:sz w:val="28"/>
          <w:szCs w:val="28"/>
        </w:rPr>
        <w:t>імплементувати</w:t>
      </w:r>
      <w:proofErr w:type="spellEnd"/>
      <w:r w:rsidRPr="00977DD0">
        <w:rPr>
          <w:sz w:val="28"/>
          <w:szCs w:val="28"/>
        </w:rPr>
        <w:t xml:space="preserve"> до законодавства України положення Митного кодексу Європейського Союзу, зокрема</w:t>
      </w:r>
      <w:r w:rsidR="00A31F06" w:rsidRPr="00977DD0">
        <w:rPr>
          <w:sz w:val="28"/>
          <w:szCs w:val="28"/>
        </w:rPr>
        <w:t>,</w:t>
      </w:r>
      <w:r w:rsidRPr="00977DD0">
        <w:rPr>
          <w:sz w:val="28"/>
          <w:szCs w:val="28"/>
        </w:rPr>
        <w:t xml:space="preserve"> в частині визначення непреференційного походження при імпорті товарів (статті 22 – 24, 26 Митного кодексу ЄС (Регламент (ЄЕС) від 12.10.1992 № 2913/92),</w:t>
      </w:r>
      <w:r w:rsidR="008E1743" w:rsidRPr="00977DD0">
        <w:rPr>
          <w:sz w:val="28"/>
          <w:szCs w:val="28"/>
        </w:rPr>
        <w:t xml:space="preserve"> пункт 2 Пояснювальної записки д</w:t>
      </w:r>
      <w:r w:rsidRPr="00977DD0">
        <w:rPr>
          <w:sz w:val="28"/>
          <w:szCs w:val="28"/>
        </w:rPr>
        <w:t>одатка XV до Угоди).</w:t>
      </w:r>
    </w:p>
    <w:p w14:paraId="32971E53" w14:textId="102FB9BA" w:rsidR="000E4179" w:rsidRPr="00977DD0" w:rsidRDefault="004063BE" w:rsidP="003A76C6">
      <w:pPr>
        <w:ind w:firstLine="567"/>
        <w:jc w:val="both"/>
        <w:rPr>
          <w:sz w:val="28"/>
          <w:szCs w:val="28"/>
          <w:lang w:eastAsia="ar-SA"/>
        </w:rPr>
      </w:pPr>
      <w:r w:rsidRPr="00977DD0">
        <w:rPr>
          <w:sz w:val="28"/>
          <w:szCs w:val="28"/>
        </w:rPr>
        <w:t xml:space="preserve">Вказаний перелік складено відповідно до </w:t>
      </w:r>
      <w:r w:rsidR="008E1743" w:rsidRPr="00977DD0">
        <w:rPr>
          <w:sz w:val="28"/>
          <w:szCs w:val="28"/>
          <w:lang w:eastAsia="ar-SA"/>
        </w:rPr>
        <w:t>д</w:t>
      </w:r>
      <w:r w:rsidR="00403B59" w:rsidRPr="00977DD0">
        <w:rPr>
          <w:sz w:val="28"/>
          <w:szCs w:val="28"/>
          <w:lang w:eastAsia="en-US"/>
        </w:rPr>
        <w:t>одатк</w:t>
      </w:r>
      <w:r w:rsidR="008E1743" w:rsidRPr="00977DD0">
        <w:rPr>
          <w:sz w:val="28"/>
          <w:szCs w:val="28"/>
          <w:lang w:eastAsia="en-US"/>
        </w:rPr>
        <w:t>а</w:t>
      </w:r>
      <w:r w:rsidR="00403B59" w:rsidRPr="00977DD0">
        <w:rPr>
          <w:sz w:val="28"/>
          <w:szCs w:val="28"/>
          <w:lang w:eastAsia="en-US"/>
        </w:rPr>
        <w:t xml:space="preserve"> 22-01</w:t>
      </w:r>
      <w:r w:rsidR="00EA121C" w:rsidRPr="00977DD0">
        <w:rPr>
          <w:sz w:val="28"/>
          <w:szCs w:val="28"/>
          <w:lang w:eastAsia="en-US"/>
        </w:rPr>
        <w:t xml:space="preserve"> </w:t>
      </w:r>
      <w:r w:rsidR="008E1743" w:rsidRPr="00977DD0">
        <w:rPr>
          <w:sz w:val="28"/>
          <w:szCs w:val="28"/>
          <w:lang w:eastAsia="ar-SA"/>
        </w:rPr>
        <w:t xml:space="preserve">Делегованого </w:t>
      </w:r>
      <w:proofErr w:type="spellStart"/>
      <w:r w:rsidR="008E1743" w:rsidRPr="00977DD0">
        <w:rPr>
          <w:sz w:val="28"/>
          <w:szCs w:val="28"/>
          <w:lang w:eastAsia="ar-SA"/>
        </w:rPr>
        <w:t>акта</w:t>
      </w:r>
      <w:proofErr w:type="spellEnd"/>
      <w:r w:rsidR="00EA121C" w:rsidRPr="00977DD0">
        <w:rPr>
          <w:sz w:val="28"/>
          <w:szCs w:val="28"/>
          <w:lang w:eastAsia="ar-SA"/>
        </w:rPr>
        <w:t xml:space="preserve"> (Регламент Комісії (ЄС) від 28.07.2015 № 2446/2015</w:t>
      </w:r>
      <w:r w:rsidR="000E4179" w:rsidRPr="00977DD0">
        <w:rPr>
          <w:sz w:val="28"/>
          <w:szCs w:val="28"/>
          <w:lang w:eastAsia="ar-SA"/>
        </w:rPr>
        <w:t xml:space="preserve"> та </w:t>
      </w:r>
      <w:r w:rsidR="000E4179" w:rsidRPr="00977DD0">
        <w:rPr>
          <w:sz w:val="28"/>
          <w:szCs w:val="28"/>
        </w:rPr>
        <w:t xml:space="preserve">від 16.05.2018 </w:t>
      </w:r>
      <w:r w:rsidR="003951F8" w:rsidRPr="00977DD0">
        <w:rPr>
          <w:sz w:val="28"/>
          <w:szCs w:val="28"/>
        </w:rPr>
        <w:t xml:space="preserve">                                    </w:t>
      </w:r>
      <w:r w:rsidR="000E4179" w:rsidRPr="00977DD0">
        <w:rPr>
          <w:sz w:val="28"/>
          <w:szCs w:val="28"/>
        </w:rPr>
        <w:t>№ 2018/1063</w:t>
      </w:r>
      <w:r w:rsidR="00EA121C" w:rsidRPr="00977DD0">
        <w:rPr>
          <w:sz w:val="28"/>
          <w:szCs w:val="28"/>
          <w:lang w:eastAsia="ar-SA"/>
        </w:rPr>
        <w:t>), який був прийнятий з метою реалізації статей 59 – 63 Митного кодексу Європейського Союзу, затверджений Регламентом Європейського Парламенту та Ради від 09.10.2013 № 952/2013, опублікований в Офіційному віснику ЄС від 10.10.2013 № 269</w:t>
      </w:r>
      <w:r w:rsidR="008E1743" w:rsidRPr="00977DD0">
        <w:rPr>
          <w:sz w:val="28"/>
          <w:szCs w:val="28"/>
          <w:lang w:eastAsia="ar-SA"/>
        </w:rPr>
        <w:t>.</w:t>
      </w:r>
    </w:p>
    <w:p w14:paraId="64B52613" w14:textId="34B31A68" w:rsidR="00A13E68" w:rsidRPr="00977DD0" w:rsidRDefault="00F510CD" w:rsidP="00A13E68">
      <w:pPr>
        <w:ind w:firstLine="567"/>
        <w:jc w:val="both"/>
        <w:rPr>
          <w:sz w:val="28"/>
          <w:szCs w:val="28"/>
          <w:lang w:eastAsia="en-US"/>
        </w:rPr>
      </w:pPr>
      <w:r w:rsidRPr="00977DD0">
        <w:rPr>
          <w:sz w:val="28"/>
          <w:szCs w:val="28"/>
          <w:lang w:eastAsia="en-US"/>
        </w:rPr>
        <w:t>Зазначеним</w:t>
      </w:r>
      <w:r w:rsidR="00A13E68" w:rsidRPr="00977DD0">
        <w:rPr>
          <w:sz w:val="28"/>
          <w:szCs w:val="28"/>
          <w:lang w:eastAsia="en-US"/>
        </w:rPr>
        <w:t xml:space="preserve"> </w:t>
      </w:r>
      <w:r w:rsidRPr="00977DD0">
        <w:rPr>
          <w:sz w:val="28"/>
          <w:szCs w:val="28"/>
          <w:lang w:eastAsia="en-US"/>
        </w:rPr>
        <w:t>Д</w:t>
      </w:r>
      <w:r w:rsidR="00A13E68" w:rsidRPr="00977DD0">
        <w:rPr>
          <w:sz w:val="28"/>
          <w:szCs w:val="28"/>
          <w:lang w:eastAsia="en-US"/>
        </w:rPr>
        <w:t>елегованим актом передбачено уточнити основні критерії достатньої переробки товарів</w:t>
      </w:r>
      <w:r w:rsidR="00A13E68" w:rsidRPr="00977DD0">
        <w:rPr>
          <w:sz w:val="28"/>
          <w:szCs w:val="28"/>
        </w:rPr>
        <w:t xml:space="preserve">, що класифікуються за кодами згідно із УКТЗЕД 0206 (м’ясні субпродукти), групи 11 (продукція борошномельно-круп’яної промисловості), </w:t>
      </w:r>
      <w:proofErr w:type="spellStart"/>
      <w:r w:rsidR="00A13E68" w:rsidRPr="00977DD0">
        <w:rPr>
          <w:sz w:val="28"/>
          <w:szCs w:val="28"/>
        </w:rPr>
        <w:t>ex</w:t>
      </w:r>
      <w:proofErr w:type="spellEnd"/>
      <w:r w:rsidR="00A13E68" w:rsidRPr="00977DD0">
        <w:rPr>
          <w:sz w:val="28"/>
          <w:szCs w:val="28"/>
        </w:rPr>
        <w:t xml:space="preserve"> 2009 (виноградний сік), групи 84, 85 (напівпровідникова електрична апаратура) та </w:t>
      </w:r>
      <w:proofErr w:type="spellStart"/>
      <w:r w:rsidR="00A13E68" w:rsidRPr="00977DD0">
        <w:rPr>
          <w:sz w:val="28"/>
          <w:szCs w:val="28"/>
        </w:rPr>
        <w:t>ex</w:t>
      </w:r>
      <w:proofErr w:type="spellEnd"/>
      <w:r w:rsidR="00A13E68" w:rsidRPr="00977DD0">
        <w:rPr>
          <w:sz w:val="28"/>
          <w:szCs w:val="28"/>
        </w:rPr>
        <w:t xml:space="preserve"> 9029 (напівпровідниковий компонент, що зондує магнітне поле, на основі магніточутливих резистивних елементів, з додатковим компонентом для кондиціонування сигналу чи ні). </w:t>
      </w:r>
      <w:r w:rsidR="00A13E68" w:rsidRPr="00977DD0">
        <w:rPr>
          <w:sz w:val="28"/>
          <w:szCs w:val="28"/>
          <w:lang w:eastAsia="en-US"/>
        </w:rPr>
        <w:t>Визнати операції складання напівпровідникових виробів (апа</w:t>
      </w:r>
      <w:r w:rsidR="00A31F06" w:rsidRPr="00977DD0">
        <w:rPr>
          <w:sz w:val="28"/>
          <w:szCs w:val="28"/>
          <w:lang w:eastAsia="en-US"/>
        </w:rPr>
        <w:t>ратури) достатніми для того, що</w:t>
      </w:r>
      <w:r w:rsidR="00A13E68" w:rsidRPr="00977DD0">
        <w:rPr>
          <w:sz w:val="28"/>
          <w:szCs w:val="28"/>
          <w:lang w:eastAsia="en-US"/>
        </w:rPr>
        <w:t xml:space="preserve">б вони вважались походженням з відповідної країни. </w:t>
      </w:r>
    </w:p>
    <w:p w14:paraId="0CD547D4" w14:textId="52E7DF3B" w:rsidR="00D544A2" w:rsidRPr="00977DD0" w:rsidRDefault="00822322" w:rsidP="00A13E6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  <w:lang w:eastAsia="en-US"/>
        </w:rPr>
        <w:t>Нормативно-правова не</w:t>
      </w:r>
      <w:r w:rsidR="00F63038" w:rsidRPr="00977DD0">
        <w:rPr>
          <w:sz w:val="28"/>
          <w:szCs w:val="28"/>
          <w:lang w:eastAsia="en-US"/>
        </w:rPr>
        <w:t>урегульованість</w:t>
      </w:r>
      <w:r w:rsidR="00D544A2" w:rsidRPr="00977DD0">
        <w:rPr>
          <w:sz w:val="28"/>
          <w:szCs w:val="28"/>
          <w:lang w:eastAsia="en-US"/>
        </w:rPr>
        <w:t xml:space="preserve"> цього питання </w:t>
      </w:r>
      <w:r w:rsidR="000E4179" w:rsidRPr="00977DD0">
        <w:rPr>
          <w:sz w:val="28"/>
          <w:szCs w:val="28"/>
          <w:lang w:eastAsia="en-US"/>
        </w:rPr>
        <w:t>негативно впливає на діяльність вітчизняних суб’єктів господарської діяльності</w:t>
      </w:r>
      <w:r w:rsidR="00D544A2" w:rsidRPr="00977DD0">
        <w:rPr>
          <w:sz w:val="28"/>
          <w:szCs w:val="28"/>
          <w:lang w:eastAsia="en-US"/>
        </w:rPr>
        <w:t xml:space="preserve">, що виробляють м’ясні субпродукти, </w:t>
      </w:r>
      <w:r w:rsidR="00D544A2" w:rsidRPr="00977DD0">
        <w:rPr>
          <w:sz w:val="28"/>
          <w:szCs w:val="28"/>
        </w:rPr>
        <w:t>продукцію борошномельно-круп’яної промисловості і складають конкуренцію виробникам аналогічної імпортної продукції, що ввозиться на митну територію України.</w:t>
      </w:r>
    </w:p>
    <w:p w14:paraId="5A89912A" w14:textId="47835168" w:rsidR="003F61CE" w:rsidRPr="00977DD0" w:rsidRDefault="00D544A2" w:rsidP="00A13E6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Зокрема</w:t>
      </w:r>
      <w:r w:rsidR="00822322" w:rsidRPr="00977DD0">
        <w:rPr>
          <w:sz w:val="28"/>
          <w:szCs w:val="28"/>
        </w:rPr>
        <w:t>,</w:t>
      </w:r>
      <w:r w:rsidRPr="00977DD0">
        <w:rPr>
          <w:sz w:val="28"/>
          <w:szCs w:val="28"/>
        </w:rPr>
        <w:t xml:space="preserve"> </w:t>
      </w:r>
      <w:proofErr w:type="spellStart"/>
      <w:r w:rsidRPr="00977DD0">
        <w:rPr>
          <w:sz w:val="28"/>
          <w:szCs w:val="28"/>
        </w:rPr>
        <w:t>проєктом</w:t>
      </w:r>
      <w:proofErr w:type="spellEnd"/>
      <w:r w:rsidRPr="00977DD0">
        <w:rPr>
          <w:sz w:val="28"/>
          <w:szCs w:val="28"/>
        </w:rPr>
        <w:t xml:space="preserve"> постанови передбачається чітко визначити</w:t>
      </w:r>
      <w:r w:rsidR="00F63038" w:rsidRPr="00977DD0">
        <w:rPr>
          <w:sz w:val="28"/>
          <w:szCs w:val="28"/>
        </w:rPr>
        <w:t xml:space="preserve"> поняття </w:t>
      </w:r>
      <w:r w:rsidR="00F510CD" w:rsidRPr="00977DD0">
        <w:rPr>
          <w:sz w:val="28"/>
          <w:szCs w:val="28"/>
        </w:rPr>
        <w:t>«</w:t>
      </w:r>
      <w:r w:rsidR="00F63038" w:rsidRPr="00977DD0">
        <w:rPr>
          <w:sz w:val="28"/>
          <w:szCs w:val="28"/>
        </w:rPr>
        <w:t>відгодівля тварин</w:t>
      </w:r>
      <w:r w:rsidR="00F510CD" w:rsidRPr="00977DD0">
        <w:rPr>
          <w:sz w:val="28"/>
          <w:szCs w:val="28"/>
        </w:rPr>
        <w:t>»</w:t>
      </w:r>
      <w:r w:rsidRPr="00977DD0">
        <w:rPr>
          <w:sz w:val="28"/>
          <w:szCs w:val="28"/>
        </w:rPr>
        <w:t>,</w:t>
      </w:r>
      <w:r w:rsidR="00F63038" w:rsidRPr="00977DD0">
        <w:rPr>
          <w:sz w:val="28"/>
          <w:szCs w:val="28"/>
        </w:rPr>
        <w:t xml:space="preserve"> а саме,</w:t>
      </w:r>
      <w:r w:rsidRPr="00977DD0">
        <w:rPr>
          <w:sz w:val="28"/>
          <w:szCs w:val="28"/>
        </w:rPr>
        <w:t xml:space="preserve"> що</w:t>
      </w:r>
      <w:r w:rsidR="003F61CE" w:rsidRPr="00977DD0">
        <w:rPr>
          <w:sz w:val="28"/>
          <w:szCs w:val="28"/>
        </w:rPr>
        <w:t xml:space="preserve"> строк</w:t>
      </w:r>
      <w:r w:rsidRPr="00977DD0">
        <w:rPr>
          <w:sz w:val="28"/>
          <w:szCs w:val="28"/>
        </w:rPr>
        <w:t xml:space="preserve"> відгодівл</w:t>
      </w:r>
      <w:r w:rsidR="003F61CE" w:rsidRPr="00977DD0">
        <w:rPr>
          <w:sz w:val="28"/>
          <w:szCs w:val="28"/>
        </w:rPr>
        <w:t>і</w:t>
      </w:r>
      <w:r w:rsidRPr="00977DD0">
        <w:rPr>
          <w:sz w:val="28"/>
          <w:szCs w:val="28"/>
        </w:rPr>
        <w:t xml:space="preserve"> </w:t>
      </w:r>
      <w:r w:rsidR="003F61CE" w:rsidRPr="00977DD0">
        <w:rPr>
          <w:sz w:val="28"/>
          <w:szCs w:val="28"/>
        </w:rPr>
        <w:t xml:space="preserve">великої рогатої худоби, коней, віслюків,  свиней, </w:t>
      </w:r>
      <w:proofErr w:type="spellStart"/>
      <w:r w:rsidR="003F61CE" w:rsidRPr="00977DD0">
        <w:rPr>
          <w:sz w:val="28"/>
          <w:szCs w:val="28"/>
        </w:rPr>
        <w:t>овець</w:t>
      </w:r>
      <w:proofErr w:type="spellEnd"/>
      <w:r w:rsidR="003F61CE" w:rsidRPr="00977DD0">
        <w:rPr>
          <w:sz w:val="28"/>
          <w:szCs w:val="28"/>
        </w:rPr>
        <w:t xml:space="preserve">, кіз та інших тварин повинен складати не менше трьох </w:t>
      </w:r>
      <w:r w:rsidR="003F61CE" w:rsidRPr="00977DD0">
        <w:rPr>
          <w:sz w:val="28"/>
          <w:szCs w:val="28"/>
        </w:rPr>
        <w:lastRenderedPageBreak/>
        <w:t>та двох місяців до забою для того</w:t>
      </w:r>
      <w:r w:rsidR="00A31F06" w:rsidRPr="00977DD0">
        <w:rPr>
          <w:sz w:val="28"/>
          <w:szCs w:val="28"/>
        </w:rPr>
        <w:t>,</w:t>
      </w:r>
      <w:r w:rsidR="003F61CE" w:rsidRPr="00977DD0">
        <w:rPr>
          <w:sz w:val="28"/>
          <w:szCs w:val="28"/>
        </w:rPr>
        <w:t xml:space="preserve"> щоб вироблен</w:t>
      </w:r>
      <w:r w:rsidR="00F63038" w:rsidRPr="00977DD0">
        <w:rPr>
          <w:sz w:val="28"/>
          <w:szCs w:val="28"/>
        </w:rPr>
        <w:t>і</w:t>
      </w:r>
      <w:r w:rsidR="003F61CE" w:rsidRPr="00977DD0">
        <w:rPr>
          <w:sz w:val="28"/>
          <w:szCs w:val="28"/>
        </w:rPr>
        <w:t xml:space="preserve"> із </w:t>
      </w:r>
      <w:r w:rsidR="00F63038" w:rsidRPr="00977DD0">
        <w:rPr>
          <w:sz w:val="28"/>
          <w:szCs w:val="28"/>
        </w:rPr>
        <w:t>так</w:t>
      </w:r>
      <w:r w:rsidR="003F61CE" w:rsidRPr="00977DD0">
        <w:rPr>
          <w:sz w:val="28"/>
          <w:szCs w:val="28"/>
        </w:rPr>
        <w:t>их тварин</w:t>
      </w:r>
      <w:r w:rsidR="00F63038" w:rsidRPr="00977DD0">
        <w:rPr>
          <w:sz w:val="28"/>
          <w:szCs w:val="28"/>
        </w:rPr>
        <w:t xml:space="preserve"> м’ясні  </w:t>
      </w:r>
      <w:r w:rsidR="003F61CE" w:rsidRPr="00977DD0">
        <w:rPr>
          <w:sz w:val="28"/>
          <w:szCs w:val="28"/>
        </w:rPr>
        <w:t xml:space="preserve"> </w:t>
      </w:r>
      <w:r w:rsidR="00F63038" w:rsidRPr="00977DD0">
        <w:rPr>
          <w:sz w:val="28"/>
          <w:szCs w:val="28"/>
        </w:rPr>
        <w:t>суб</w:t>
      </w:r>
      <w:r w:rsidR="003F61CE" w:rsidRPr="00977DD0">
        <w:rPr>
          <w:sz w:val="28"/>
          <w:szCs w:val="28"/>
        </w:rPr>
        <w:t>продук</w:t>
      </w:r>
      <w:r w:rsidR="00F63038" w:rsidRPr="00977DD0">
        <w:rPr>
          <w:sz w:val="28"/>
          <w:szCs w:val="28"/>
        </w:rPr>
        <w:t>ти</w:t>
      </w:r>
      <w:r w:rsidR="003F61CE" w:rsidRPr="00977DD0">
        <w:rPr>
          <w:sz w:val="28"/>
          <w:szCs w:val="28"/>
        </w:rPr>
        <w:t xml:space="preserve"> вважалась походженням з відповідної країни. </w:t>
      </w:r>
    </w:p>
    <w:p w14:paraId="5A8E20BD" w14:textId="2233C863" w:rsidR="00A7699A" w:rsidRPr="00977DD0" w:rsidRDefault="00822322" w:rsidP="00A13E6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В</w:t>
      </w:r>
      <w:r w:rsidR="003F61CE" w:rsidRPr="00977DD0">
        <w:rPr>
          <w:sz w:val="28"/>
          <w:szCs w:val="28"/>
        </w:rPr>
        <w:t xml:space="preserve">казане </w:t>
      </w:r>
      <w:proofErr w:type="spellStart"/>
      <w:r w:rsidRPr="00977DD0">
        <w:rPr>
          <w:sz w:val="28"/>
          <w:szCs w:val="28"/>
        </w:rPr>
        <w:t>надасть</w:t>
      </w:r>
      <w:proofErr w:type="spellEnd"/>
      <w:r w:rsidRPr="00977DD0">
        <w:rPr>
          <w:sz w:val="28"/>
          <w:szCs w:val="28"/>
        </w:rPr>
        <w:t xml:space="preserve"> змогу</w:t>
      </w:r>
      <w:r w:rsidR="00A7699A" w:rsidRPr="00977DD0">
        <w:rPr>
          <w:sz w:val="28"/>
          <w:szCs w:val="28"/>
        </w:rPr>
        <w:t xml:space="preserve"> також</w:t>
      </w:r>
      <w:r w:rsidR="003F61CE" w:rsidRPr="00977DD0">
        <w:rPr>
          <w:sz w:val="28"/>
          <w:szCs w:val="28"/>
        </w:rPr>
        <w:t xml:space="preserve"> усунути можливі</w:t>
      </w:r>
      <w:r w:rsidR="00F63038" w:rsidRPr="00977DD0">
        <w:rPr>
          <w:sz w:val="28"/>
          <w:szCs w:val="28"/>
        </w:rPr>
        <w:t xml:space="preserve"> </w:t>
      </w:r>
      <w:r w:rsidR="00A31F06" w:rsidRPr="00977DD0">
        <w:rPr>
          <w:sz w:val="28"/>
          <w:szCs w:val="28"/>
        </w:rPr>
        <w:t xml:space="preserve">розбіжності в тлумаченні </w:t>
      </w:r>
      <w:proofErr w:type="spellStart"/>
      <w:r w:rsidR="00A31F06" w:rsidRPr="00977DD0">
        <w:rPr>
          <w:sz w:val="28"/>
          <w:szCs w:val="28"/>
        </w:rPr>
        <w:t>терміна</w:t>
      </w:r>
      <w:proofErr w:type="spellEnd"/>
      <w:r w:rsidR="00F63038" w:rsidRPr="00977DD0">
        <w:rPr>
          <w:sz w:val="28"/>
          <w:szCs w:val="28"/>
        </w:rPr>
        <w:t xml:space="preserve"> </w:t>
      </w:r>
      <w:r w:rsidR="00A31F06" w:rsidRPr="00977DD0">
        <w:rPr>
          <w:sz w:val="28"/>
          <w:szCs w:val="28"/>
        </w:rPr>
        <w:t>«</w:t>
      </w:r>
      <w:r w:rsidR="00F63038" w:rsidRPr="00977DD0">
        <w:rPr>
          <w:sz w:val="28"/>
          <w:szCs w:val="28"/>
        </w:rPr>
        <w:t>відгодівля тварин між митними органами і суб’єктами зовнішньоекономічної діяльності</w:t>
      </w:r>
      <w:r w:rsidR="00A31F06" w:rsidRPr="00977DD0">
        <w:rPr>
          <w:sz w:val="28"/>
          <w:szCs w:val="28"/>
        </w:rPr>
        <w:t>»</w:t>
      </w:r>
      <w:r w:rsidR="00A7699A" w:rsidRPr="00977DD0">
        <w:rPr>
          <w:sz w:val="28"/>
          <w:szCs w:val="28"/>
        </w:rPr>
        <w:t>.</w:t>
      </w:r>
    </w:p>
    <w:p w14:paraId="6E296231" w14:textId="665BAEE1" w:rsidR="00A7699A" w:rsidRPr="00977DD0" w:rsidRDefault="00EA3C03" w:rsidP="00A13E68">
      <w:pPr>
        <w:ind w:firstLine="567"/>
        <w:jc w:val="both"/>
        <w:rPr>
          <w:sz w:val="28"/>
          <w:szCs w:val="28"/>
          <w:lang w:eastAsia="uk-UA"/>
        </w:rPr>
      </w:pPr>
      <w:r w:rsidRPr="00977DD0">
        <w:rPr>
          <w:sz w:val="28"/>
          <w:szCs w:val="28"/>
        </w:rPr>
        <w:t>Крім того,</w:t>
      </w:r>
      <w:r w:rsidR="00A7699A" w:rsidRPr="00977DD0">
        <w:rPr>
          <w:sz w:val="28"/>
          <w:szCs w:val="28"/>
        </w:rPr>
        <w:t xml:space="preserve"> </w:t>
      </w:r>
      <w:proofErr w:type="spellStart"/>
      <w:r w:rsidR="00A7699A" w:rsidRPr="00977DD0">
        <w:rPr>
          <w:sz w:val="28"/>
          <w:szCs w:val="28"/>
        </w:rPr>
        <w:t>проєктом</w:t>
      </w:r>
      <w:proofErr w:type="spellEnd"/>
      <w:r w:rsidR="00A7699A" w:rsidRPr="00977DD0">
        <w:rPr>
          <w:sz w:val="28"/>
          <w:szCs w:val="28"/>
        </w:rPr>
        <w:t xml:space="preserve"> </w:t>
      </w:r>
      <w:r w:rsidRPr="00977DD0">
        <w:rPr>
          <w:sz w:val="28"/>
          <w:szCs w:val="28"/>
        </w:rPr>
        <w:t>постанови</w:t>
      </w:r>
      <w:r w:rsidR="00A7699A" w:rsidRPr="00977DD0">
        <w:rPr>
          <w:sz w:val="28"/>
          <w:szCs w:val="28"/>
        </w:rPr>
        <w:t xml:space="preserve"> передбачено врегулювати питання </w:t>
      </w:r>
      <w:r w:rsidR="00F63038" w:rsidRPr="00977DD0">
        <w:rPr>
          <w:sz w:val="28"/>
          <w:szCs w:val="28"/>
        </w:rPr>
        <w:t xml:space="preserve"> щодо </w:t>
      </w:r>
      <w:r w:rsidR="00A7699A" w:rsidRPr="00977DD0">
        <w:rPr>
          <w:sz w:val="28"/>
          <w:szCs w:val="28"/>
        </w:rPr>
        <w:t xml:space="preserve">особливостей визначення країни походження сумішей продуктів </w:t>
      </w:r>
      <w:r w:rsidR="00A7699A" w:rsidRPr="00977DD0">
        <w:rPr>
          <w:sz w:val="28"/>
          <w:szCs w:val="28"/>
          <w:lang w:eastAsia="uk-UA"/>
        </w:rPr>
        <w:t xml:space="preserve">борошномельно-круп’яної промисловості, які містять у своєму складі різні похідні </w:t>
      </w:r>
      <w:r w:rsidR="00F63038" w:rsidRPr="00977DD0">
        <w:rPr>
          <w:sz w:val="28"/>
          <w:szCs w:val="28"/>
          <w:lang w:eastAsia="uk-UA"/>
        </w:rPr>
        <w:t>зернових культур</w:t>
      </w:r>
      <w:r w:rsidR="00A31F06" w:rsidRPr="00977DD0">
        <w:rPr>
          <w:sz w:val="28"/>
          <w:szCs w:val="28"/>
          <w:lang w:eastAsia="uk-UA"/>
        </w:rPr>
        <w:t>, в</w:t>
      </w:r>
      <w:r w:rsidR="00A7699A" w:rsidRPr="00977DD0">
        <w:rPr>
          <w:sz w:val="28"/>
          <w:szCs w:val="28"/>
          <w:lang w:eastAsia="uk-UA"/>
        </w:rPr>
        <w:t xml:space="preserve">изначити правило «змішування», що означає спеціальну і </w:t>
      </w:r>
      <w:proofErr w:type="spellStart"/>
      <w:r w:rsidR="00A7699A" w:rsidRPr="00977DD0">
        <w:rPr>
          <w:sz w:val="28"/>
          <w:szCs w:val="28"/>
          <w:lang w:eastAsia="uk-UA"/>
        </w:rPr>
        <w:t>пропорційно</w:t>
      </w:r>
      <w:proofErr w:type="spellEnd"/>
      <w:r w:rsidR="00A7699A" w:rsidRPr="00977DD0">
        <w:rPr>
          <w:sz w:val="28"/>
          <w:szCs w:val="28"/>
          <w:lang w:eastAsia="uk-UA"/>
        </w:rPr>
        <w:t xml:space="preserve"> контрольовану операцію, що складається з об’єднання двох або більше взаємозамінних матеріалів.</w:t>
      </w:r>
    </w:p>
    <w:p w14:paraId="0AA7E372" w14:textId="427DA2CB" w:rsidR="00640B48" w:rsidRPr="00977DD0" w:rsidRDefault="00640B48" w:rsidP="00A13E6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  <w:lang w:eastAsia="uk-UA"/>
        </w:rPr>
        <w:t xml:space="preserve">Також негативний вплив на діяльність суб’єктів господарської діяльності </w:t>
      </w:r>
      <w:r w:rsidR="00A7699A" w:rsidRPr="00977DD0">
        <w:rPr>
          <w:sz w:val="28"/>
          <w:szCs w:val="28"/>
        </w:rPr>
        <w:t xml:space="preserve"> </w:t>
      </w:r>
      <w:r w:rsidR="00A31F06" w:rsidRPr="00977DD0">
        <w:rPr>
          <w:sz w:val="28"/>
          <w:szCs w:val="28"/>
        </w:rPr>
        <w:t>має не</w:t>
      </w:r>
      <w:r w:rsidRPr="00977DD0">
        <w:rPr>
          <w:sz w:val="28"/>
          <w:szCs w:val="28"/>
        </w:rPr>
        <w:t xml:space="preserve">відповідність у </w:t>
      </w:r>
      <w:r w:rsidR="00822322" w:rsidRPr="00977DD0">
        <w:rPr>
          <w:sz w:val="28"/>
          <w:szCs w:val="28"/>
          <w:lang w:eastAsia="en-US"/>
        </w:rPr>
        <w:t>д</w:t>
      </w:r>
      <w:r w:rsidR="00FC1FA2" w:rsidRPr="00977DD0">
        <w:rPr>
          <w:sz w:val="28"/>
          <w:szCs w:val="28"/>
          <w:lang w:eastAsia="en-US"/>
        </w:rPr>
        <w:t>одатк</w:t>
      </w:r>
      <w:r w:rsidR="00822322" w:rsidRPr="00977DD0">
        <w:rPr>
          <w:sz w:val="28"/>
          <w:szCs w:val="28"/>
          <w:lang w:eastAsia="en-US"/>
        </w:rPr>
        <w:t>у</w:t>
      </w:r>
      <w:r w:rsidR="00FC1FA2" w:rsidRPr="00977DD0">
        <w:rPr>
          <w:sz w:val="28"/>
          <w:szCs w:val="28"/>
          <w:lang w:eastAsia="en-US"/>
        </w:rPr>
        <w:t xml:space="preserve"> до </w:t>
      </w:r>
      <w:r w:rsidR="00EA3C03" w:rsidRPr="00977DD0">
        <w:rPr>
          <w:sz w:val="28"/>
          <w:szCs w:val="28"/>
        </w:rPr>
        <w:t>постанови</w:t>
      </w:r>
      <w:r w:rsidR="00EA3C03" w:rsidRPr="00977DD0">
        <w:rPr>
          <w:rStyle w:val="FontStyle12"/>
          <w:color w:val="auto"/>
          <w:sz w:val="28"/>
          <w:szCs w:val="28"/>
        </w:rPr>
        <w:t xml:space="preserve"> </w:t>
      </w:r>
      <w:r w:rsidR="00EA3C03" w:rsidRPr="00977DD0">
        <w:rPr>
          <w:sz w:val="28"/>
          <w:szCs w:val="28"/>
        </w:rPr>
        <w:t xml:space="preserve">Кабінету Міністрів України              від 20 грудня 2006 року № 1765 «Про порядок встановлення та застосування правила </w:t>
      </w:r>
      <w:proofErr w:type="spellStart"/>
      <w:r w:rsidR="00EA3C03" w:rsidRPr="00977DD0">
        <w:rPr>
          <w:sz w:val="28"/>
          <w:szCs w:val="28"/>
        </w:rPr>
        <w:t>адвалорної</w:t>
      </w:r>
      <w:proofErr w:type="spellEnd"/>
      <w:r w:rsidR="00EA3C03" w:rsidRPr="00977DD0">
        <w:rPr>
          <w:sz w:val="28"/>
          <w:szCs w:val="28"/>
        </w:rPr>
        <w:t xml:space="preserve"> частки та виконання виробничих і технологічних операцій»</w:t>
      </w:r>
      <w:r w:rsidRPr="00977DD0">
        <w:rPr>
          <w:sz w:val="28"/>
          <w:szCs w:val="28"/>
          <w:lang w:eastAsia="en-US"/>
        </w:rPr>
        <w:t xml:space="preserve"> окремих операцій виробництва </w:t>
      </w:r>
      <w:r w:rsidRPr="00977DD0">
        <w:rPr>
          <w:sz w:val="28"/>
          <w:szCs w:val="28"/>
        </w:rPr>
        <w:t>напівпровідникової електричної апаратури та її компон</w:t>
      </w:r>
      <w:r w:rsidR="00A31F06" w:rsidRPr="00977DD0">
        <w:rPr>
          <w:sz w:val="28"/>
          <w:szCs w:val="28"/>
        </w:rPr>
        <w:t>ентів існуючим на сьогодні</w:t>
      </w:r>
      <w:r w:rsidRPr="00977DD0">
        <w:rPr>
          <w:sz w:val="28"/>
          <w:szCs w:val="28"/>
        </w:rPr>
        <w:t xml:space="preserve"> виробничим процесам їх виготовлення.</w:t>
      </w:r>
    </w:p>
    <w:p w14:paraId="018DF814" w14:textId="798D1026" w:rsidR="00B34D2B" w:rsidRPr="00977DD0" w:rsidRDefault="00B34D2B" w:rsidP="00A13E6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Зокрема</w:t>
      </w:r>
      <w:r w:rsidR="00A31F06" w:rsidRPr="00977DD0">
        <w:rPr>
          <w:sz w:val="28"/>
          <w:szCs w:val="28"/>
        </w:rPr>
        <w:t>,</w:t>
      </w:r>
      <w:r w:rsidR="007F05A1" w:rsidRPr="00977DD0">
        <w:rPr>
          <w:sz w:val="28"/>
          <w:szCs w:val="28"/>
        </w:rPr>
        <w:t xml:space="preserve"> окремі технологічні операції, визначені в </w:t>
      </w:r>
      <w:r w:rsidRPr="00977DD0">
        <w:rPr>
          <w:sz w:val="28"/>
          <w:szCs w:val="28"/>
        </w:rPr>
        <w:t>умов</w:t>
      </w:r>
      <w:r w:rsidR="007F05A1" w:rsidRPr="00977DD0">
        <w:rPr>
          <w:sz w:val="28"/>
          <w:szCs w:val="28"/>
        </w:rPr>
        <w:t>і</w:t>
      </w:r>
      <w:r w:rsidRPr="00977DD0">
        <w:rPr>
          <w:sz w:val="28"/>
          <w:szCs w:val="28"/>
        </w:rPr>
        <w:t xml:space="preserve"> отримання непреференційного походження для товарів, що класифікуються у групах 84, 85 та </w:t>
      </w:r>
      <w:proofErr w:type="spellStart"/>
      <w:r w:rsidRPr="00977DD0">
        <w:rPr>
          <w:sz w:val="28"/>
          <w:szCs w:val="28"/>
        </w:rPr>
        <w:t>ex</w:t>
      </w:r>
      <w:proofErr w:type="spellEnd"/>
      <w:r w:rsidRPr="00977DD0">
        <w:rPr>
          <w:sz w:val="28"/>
          <w:szCs w:val="28"/>
        </w:rPr>
        <w:t xml:space="preserve"> 9029 УКТЗЕД</w:t>
      </w:r>
      <w:r w:rsidR="00A31F06" w:rsidRPr="00977DD0">
        <w:rPr>
          <w:sz w:val="28"/>
          <w:szCs w:val="28"/>
        </w:rPr>
        <w:t>,</w:t>
      </w:r>
      <w:r w:rsidRPr="00977DD0">
        <w:rPr>
          <w:sz w:val="28"/>
          <w:szCs w:val="28"/>
        </w:rPr>
        <w:t xml:space="preserve"> не враховують, що </w:t>
      </w:r>
      <w:r w:rsidR="003A0324" w:rsidRPr="00977DD0">
        <w:rPr>
          <w:sz w:val="28"/>
          <w:szCs w:val="28"/>
        </w:rPr>
        <w:t>складання напівпровідникових виробів до чіпів, матриць або інших напівпровідникових виробів здійснюється шляхом пакування або встановлення на загальному носії для підключення або</w:t>
      </w:r>
      <w:r w:rsidR="007F05A1" w:rsidRPr="00977DD0">
        <w:rPr>
          <w:sz w:val="28"/>
          <w:szCs w:val="28"/>
        </w:rPr>
        <w:t xml:space="preserve"> їх</w:t>
      </w:r>
      <w:r w:rsidR="003A0324" w:rsidRPr="00977DD0">
        <w:rPr>
          <w:sz w:val="28"/>
          <w:szCs w:val="28"/>
        </w:rPr>
        <w:t xml:space="preserve"> підключення і монтування</w:t>
      </w:r>
      <w:r w:rsidR="007F05A1" w:rsidRPr="00977DD0">
        <w:rPr>
          <w:sz w:val="28"/>
          <w:szCs w:val="28"/>
        </w:rPr>
        <w:t>. Т</w:t>
      </w:r>
      <w:r w:rsidR="003A0324" w:rsidRPr="00977DD0">
        <w:rPr>
          <w:sz w:val="28"/>
          <w:szCs w:val="28"/>
        </w:rPr>
        <w:t>акі операції не вважаються мінімальними</w:t>
      </w:r>
      <w:r w:rsidR="007F05A1" w:rsidRPr="00977DD0">
        <w:rPr>
          <w:sz w:val="28"/>
          <w:szCs w:val="28"/>
        </w:rPr>
        <w:t xml:space="preserve"> і є достатніми для отримання відповідного походження товару</w:t>
      </w:r>
      <w:r w:rsidR="002857F7" w:rsidRPr="00977DD0">
        <w:rPr>
          <w:sz w:val="28"/>
          <w:szCs w:val="28"/>
        </w:rPr>
        <w:t>.</w:t>
      </w:r>
      <w:r w:rsidR="003A0324" w:rsidRPr="00977DD0">
        <w:rPr>
          <w:sz w:val="28"/>
          <w:szCs w:val="28"/>
        </w:rPr>
        <w:t xml:space="preserve">   </w:t>
      </w:r>
    </w:p>
    <w:p w14:paraId="6EFEDA45" w14:textId="71782BF3" w:rsidR="00A13E68" w:rsidRPr="00977DD0" w:rsidRDefault="00822322" w:rsidP="00A13E68">
      <w:pPr>
        <w:ind w:firstLine="567"/>
        <w:jc w:val="both"/>
        <w:rPr>
          <w:sz w:val="28"/>
          <w:szCs w:val="28"/>
          <w:lang w:eastAsia="en-US"/>
        </w:rPr>
      </w:pPr>
      <w:r w:rsidRPr="00977DD0">
        <w:rPr>
          <w:sz w:val="28"/>
          <w:szCs w:val="28"/>
          <w:lang w:eastAsia="en-US"/>
        </w:rPr>
        <w:t>З огляду на викладене</w:t>
      </w:r>
      <w:r w:rsidR="00A13E68" w:rsidRPr="00977DD0">
        <w:rPr>
          <w:sz w:val="28"/>
          <w:szCs w:val="28"/>
          <w:lang w:eastAsia="en-US"/>
        </w:rPr>
        <w:t xml:space="preserve"> існує невідповідність умов отримання товарами статусу непреференційного походження, що експортуються з України до</w:t>
      </w:r>
      <w:r w:rsidR="000C38E8" w:rsidRPr="00977DD0">
        <w:rPr>
          <w:sz w:val="28"/>
          <w:szCs w:val="28"/>
          <w:lang w:eastAsia="en-US"/>
        </w:rPr>
        <w:t xml:space="preserve"> країн</w:t>
      </w:r>
      <w:r w:rsidR="00A13E68" w:rsidRPr="00977DD0">
        <w:rPr>
          <w:sz w:val="28"/>
          <w:szCs w:val="28"/>
          <w:lang w:eastAsia="en-US"/>
        </w:rPr>
        <w:t xml:space="preserve"> ЄС</w:t>
      </w:r>
      <w:r w:rsidRPr="00977DD0">
        <w:rPr>
          <w:sz w:val="28"/>
          <w:szCs w:val="28"/>
          <w:lang w:eastAsia="en-US"/>
        </w:rPr>
        <w:t>,</w:t>
      </w:r>
      <w:r w:rsidR="00A13E68" w:rsidRPr="00977DD0">
        <w:rPr>
          <w:sz w:val="28"/>
          <w:szCs w:val="28"/>
          <w:lang w:eastAsia="en-US"/>
        </w:rPr>
        <w:t xml:space="preserve"> та </w:t>
      </w:r>
      <w:r w:rsidR="000C38E8" w:rsidRPr="00977DD0">
        <w:rPr>
          <w:sz w:val="28"/>
          <w:szCs w:val="28"/>
          <w:lang w:eastAsia="en-US"/>
        </w:rPr>
        <w:t>товарів із ЄС при</w:t>
      </w:r>
      <w:r w:rsidR="00A13E68" w:rsidRPr="00977DD0">
        <w:rPr>
          <w:sz w:val="28"/>
          <w:szCs w:val="28"/>
          <w:lang w:eastAsia="en-US"/>
        </w:rPr>
        <w:t xml:space="preserve"> імпорт</w:t>
      </w:r>
      <w:r w:rsidR="000C38E8" w:rsidRPr="00977DD0">
        <w:rPr>
          <w:sz w:val="28"/>
          <w:szCs w:val="28"/>
          <w:lang w:eastAsia="en-US"/>
        </w:rPr>
        <w:t>і їх</w:t>
      </w:r>
      <w:r w:rsidR="00A13E68" w:rsidRPr="00977DD0">
        <w:rPr>
          <w:sz w:val="28"/>
          <w:szCs w:val="28"/>
          <w:lang w:eastAsia="en-US"/>
        </w:rPr>
        <w:t xml:space="preserve"> в Україну</w:t>
      </w:r>
      <w:r w:rsidR="000C38E8" w:rsidRPr="00977DD0">
        <w:rPr>
          <w:sz w:val="28"/>
          <w:szCs w:val="28"/>
          <w:lang w:eastAsia="en-US"/>
        </w:rPr>
        <w:t>.</w:t>
      </w:r>
      <w:r w:rsidR="00A13E68" w:rsidRPr="00977DD0">
        <w:rPr>
          <w:sz w:val="28"/>
          <w:szCs w:val="28"/>
          <w:lang w:eastAsia="en-US"/>
        </w:rPr>
        <w:t xml:space="preserve"> </w:t>
      </w:r>
    </w:p>
    <w:p w14:paraId="4208702B" w14:textId="7DD0D869" w:rsidR="00190D4C" w:rsidRPr="00977DD0" w:rsidRDefault="00A13E68" w:rsidP="00A13E68">
      <w:pPr>
        <w:ind w:firstLine="567"/>
        <w:jc w:val="both"/>
        <w:rPr>
          <w:sz w:val="28"/>
          <w:szCs w:val="28"/>
          <w:lang w:eastAsia="en-US"/>
        </w:rPr>
      </w:pPr>
      <w:r w:rsidRPr="00977DD0">
        <w:rPr>
          <w:sz w:val="28"/>
          <w:szCs w:val="28"/>
          <w:lang w:eastAsia="en-US"/>
        </w:rPr>
        <w:t>Отже</w:t>
      </w:r>
      <w:r w:rsidR="00822322" w:rsidRPr="00977DD0">
        <w:rPr>
          <w:sz w:val="28"/>
          <w:szCs w:val="28"/>
          <w:lang w:eastAsia="en-US"/>
        </w:rPr>
        <w:t>,</w:t>
      </w:r>
      <w:r w:rsidRPr="00977DD0">
        <w:rPr>
          <w:sz w:val="28"/>
          <w:szCs w:val="28"/>
          <w:lang w:eastAsia="en-US"/>
        </w:rPr>
        <w:t xml:space="preserve"> на сьогодні існує необхідність приве</w:t>
      </w:r>
      <w:r w:rsidR="00F63038" w:rsidRPr="00977DD0">
        <w:rPr>
          <w:sz w:val="28"/>
          <w:szCs w:val="28"/>
          <w:lang w:eastAsia="en-US"/>
        </w:rPr>
        <w:t>дення</w:t>
      </w:r>
      <w:r w:rsidR="00AB2A1D" w:rsidRPr="00977DD0">
        <w:rPr>
          <w:sz w:val="28"/>
          <w:szCs w:val="28"/>
          <w:lang w:eastAsia="en-US"/>
        </w:rPr>
        <w:t xml:space="preserve"> у відповідність</w:t>
      </w:r>
      <w:r w:rsidRPr="00977DD0">
        <w:rPr>
          <w:sz w:val="28"/>
          <w:szCs w:val="28"/>
          <w:lang w:eastAsia="en-US"/>
        </w:rPr>
        <w:t xml:space="preserve"> </w:t>
      </w:r>
      <w:r w:rsidR="00190D4C" w:rsidRPr="00977DD0">
        <w:rPr>
          <w:sz w:val="28"/>
          <w:szCs w:val="28"/>
          <w:lang w:eastAsia="en-US"/>
        </w:rPr>
        <w:t xml:space="preserve">умов отримання непреференційного походження для </w:t>
      </w:r>
      <w:r w:rsidR="00640B48" w:rsidRPr="00977DD0">
        <w:rPr>
          <w:sz w:val="28"/>
          <w:szCs w:val="28"/>
          <w:lang w:eastAsia="en-US"/>
        </w:rPr>
        <w:t>вказаних</w:t>
      </w:r>
      <w:r w:rsidR="00190D4C" w:rsidRPr="00977DD0">
        <w:rPr>
          <w:sz w:val="28"/>
          <w:szCs w:val="28"/>
          <w:lang w:eastAsia="en-US"/>
        </w:rPr>
        <w:t xml:space="preserve"> </w:t>
      </w:r>
      <w:r w:rsidR="00822322" w:rsidRPr="00977DD0">
        <w:rPr>
          <w:sz w:val="28"/>
          <w:szCs w:val="28"/>
          <w:lang w:eastAsia="en-US"/>
        </w:rPr>
        <w:t xml:space="preserve">вище </w:t>
      </w:r>
      <w:r w:rsidR="00190D4C" w:rsidRPr="00977DD0">
        <w:rPr>
          <w:sz w:val="28"/>
          <w:szCs w:val="28"/>
          <w:lang w:eastAsia="en-US"/>
        </w:rPr>
        <w:t>товарів</w:t>
      </w:r>
      <w:r w:rsidR="00D7220C" w:rsidRPr="00977DD0">
        <w:rPr>
          <w:sz w:val="28"/>
          <w:szCs w:val="28"/>
          <w:lang w:eastAsia="en-US"/>
        </w:rPr>
        <w:t xml:space="preserve"> </w:t>
      </w:r>
      <w:r w:rsidR="00AB42B6" w:rsidRPr="00977DD0">
        <w:rPr>
          <w:sz w:val="28"/>
          <w:szCs w:val="28"/>
          <w:lang w:eastAsia="en-US"/>
        </w:rPr>
        <w:t>в Україні</w:t>
      </w:r>
      <w:r w:rsidR="00F63038" w:rsidRPr="00977DD0">
        <w:rPr>
          <w:sz w:val="28"/>
          <w:szCs w:val="28"/>
          <w:lang w:eastAsia="en-US"/>
        </w:rPr>
        <w:t xml:space="preserve"> для товарів</w:t>
      </w:r>
      <w:r w:rsidR="00F63038" w:rsidRPr="00977DD0">
        <w:rPr>
          <w:sz w:val="28"/>
          <w:szCs w:val="28"/>
        </w:rPr>
        <w:t xml:space="preserve">, що класифікуються за кодами згідно із УКТЗЕД 0206 (м’ясні субпродукти), групи 11 (продукція борошномельно-круп’яної промисловості), </w:t>
      </w:r>
      <w:proofErr w:type="spellStart"/>
      <w:r w:rsidR="00F63038" w:rsidRPr="00977DD0">
        <w:rPr>
          <w:sz w:val="28"/>
          <w:szCs w:val="28"/>
        </w:rPr>
        <w:t>ex</w:t>
      </w:r>
      <w:proofErr w:type="spellEnd"/>
      <w:r w:rsidR="00F63038" w:rsidRPr="00977DD0">
        <w:rPr>
          <w:sz w:val="28"/>
          <w:szCs w:val="28"/>
        </w:rPr>
        <w:t xml:space="preserve"> 2009 (виноградний сік), групи 84, 85 (напівпровідникова електрична апаратура) та </w:t>
      </w:r>
      <w:proofErr w:type="spellStart"/>
      <w:r w:rsidR="00F63038" w:rsidRPr="00977DD0">
        <w:rPr>
          <w:sz w:val="28"/>
          <w:szCs w:val="28"/>
        </w:rPr>
        <w:t>ex</w:t>
      </w:r>
      <w:proofErr w:type="spellEnd"/>
      <w:r w:rsidR="00F63038" w:rsidRPr="00977DD0">
        <w:rPr>
          <w:sz w:val="28"/>
          <w:szCs w:val="28"/>
        </w:rPr>
        <w:t xml:space="preserve"> 9029 (напівпровідниковий компонент, що зондує магнітне поле, на основі магніточутливих резистивних елементів, з додатковим компонентом для кондиціонування сигналу чи ні).</w:t>
      </w:r>
    </w:p>
    <w:p w14:paraId="58C3F910" w14:textId="77777777" w:rsidR="00190D4C" w:rsidRPr="00977DD0" w:rsidRDefault="00190D4C" w:rsidP="00EA121C">
      <w:pPr>
        <w:ind w:firstLine="709"/>
        <w:jc w:val="both"/>
        <w:rPr>
          <w:sz w:val="28"/>
          <w:szCs w:val="28"/>
          <w:lang w:eastAsia="en-US"/>
        </w:rPr>
      </w:pPr>
    </w:p>
    <w:p w14:paraId="7136B3AD" w14:textId="77777777" w:rsidR="009A4B38" w:rsidRPr="00977DD0" w:rsidRDefault="009A4B38" w:rsidP="009A4B38">
      <w:pPr>
        <w:pStyle w:val="a8"/>
        <w:numPr>
          <w:ilvl w:val="0"/>
          <w:numId w:val="2"/>
        </w:numPr>
        <w:jc w:val="both"/>
        <w:rPr>
          <w:rFonts w:eastAsia="Calibri"/>
          <w:sz w:val="28"/>
          <w:szCs w:val="28"/>
          <w:lang w:eastAsia="en-US"/>
        </w:rPr>
      </w:pPr>
      <w:r w:rsidRPr="00977DD0">
        <w:rPr>
          <w:rFonts w:eastAsia="Calibri"/>
          <w:sz w:val="28"/>
          <w:szCs w:val="28"/>
          <w:lang w:eastAsia="en-US"/>
        </w:rPr>
        <w:t>Основні групи (підгрупи), на які проблема справляє вплив:</w:t>
      </w:r>
    </w:p>
    <w:p w14:paraId="5A97DE05" w14:textId="77777777" w:rsidR="009A4B38" w:rsidRPr="00977DD0" w:rsidRDefault="009A4B38" w:rsidP="009A4B38">
      <w:pPr>
        <w:ind w:left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541"/>
        <w:gridCol w:w="2873"/>
        <w:gridCol w:w="2851"/>
      </w:tblGrid>
      <w:tr w:rsidR="009A4B38" w:rsidRPr="00977DD0" w14:paraId="624871EA" w14:textId="77777777" w:rsidTr="00FA0662">
        <w:tc>
          <w:tcPr>
            <w:tcW w:w="3628" w:type="dxa"/>
          </w:tcPr>
          <w:p w14:paraId="0F2D4E7F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Групи (підгрупи)</w:t>
            </w:r>
          </w:p>
          <w:p w14:paraId="58290818" w14:textId="77777777" w:rsidR="009A4B38" w:rsidRPr="00977DD0" w:rsidRDefault="009A4B38" w:rsidP="00FA0662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97" w:type="dxa"/>
          </w:tcPr>
          <w:p w14:paraId="39287622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Так</w:t>
            </w:r>
          </w:p>
        </w:tc>
        <w:tc>
          <w:tcPr>
            <w:tcW w:w="2980" w:type="dxa"/>
          </w:tcPr>
          <w:p w14:paraId="6048C207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Ні</w:t>
            </w:r>
          </w:p>
        </w:tc>
      </w:tr>
      <w:tr w:rsidR="009A4B38" w:rsidRPr="00977DD0" w14:paraId="7877490C" w14:textId="77777777" w:rsidTr="00FA0662">
        <w:tc>
          <w:tcPr>
            <w:tcW w:w="3628" w:type="dxa"/>
          </w:tcPr>
          <w:p w14:paraId="10470304" w14:textId="77777777" w:rsidR="009A4B38" w:rsidRPr="00977DD0" w:rsidRDefault="009A4B38" w:rsidP="00FA0662">
            <w:pPr>
              <w:jc w:val="both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Громадяни</w:t>
            </w:r>
          </w:p>
        </w:tc>
        <w:tc>
          <w:tcPr>
            <w:tcW w:w="2997" w:type="dxa"/>
          </w:tcPr>
          <w:p w14:paraId="0F4B5E3D" w14:textId="77777777" w:rsidR="009A4B38" w:rsidRPr="00977DD0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  <w:r w:rsidRPr="00977DD0"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980" w:type="dxa"/>
          </w:tcPr>
          <w:p w14:paraId="596AFCF6" w14:textId="77777777" w:rsidR="009A4B38" w:rsidRPr="00977DD0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977DD0" w14:paraId="73DE1EBF" w14:textId="77777777" w:rsidTr="00FA0662">
        <w:tc>
          <w:tcPr>
            <w:tcW w:w="3628" w:type="dxa"/>
          </w:tcPr>
          <w:p w14:paraId="133A4FD7" w14:textId="77777777" w:rsidR="009A4B38" w:rsidRPr="00977DD0" w:rsidRDefault="009A4B38" w:rsidP="00FA0662">
            <w:pPr>
              <w:jc w:val="both"/>
              <w:rPr>
                <w:rFonts w:eastAsia="Calibri"/>
                <w:lang w:val="en-US" w:eastAsia="en-US"/>
              </w:rPr>
            </w:pPr>
            <w:r w:rsidRPr="00977DD0">
              <w:rPr>
                <w:rFonts w:eastAsia="Calibri"/>
                <w:lang w:eastAsia="en-US"/>
              </w:rPr>
              <w:t>Держава</w:t>
            </w:r>
          </w:p>
        </w:tc>
        <w:tc>
          <w:tcPr>
            <w:tcW w:w="2997" w:type="dxa"/>
          </w:tcPr>
          <w:p w14:paraId="3F15B5F6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980" w:type="dxa"/>
          </w:tcPr>
          <w:p w14:paraId="3EF26374" w14:textId="77777777" w:rsidR="009A4B38" w:rsidRPr="00977DD0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977DD0" w14:paraId="067BC524" w14:textId="77777777" w:rsidTr="00FA0662">
        <w:tc>
          <w:tcPr>
            <w:tcW w:w="3628" w:type="dxa"/>
          </w:tcPr>
          <w:p w14:paraId="2B4E7BC6" w14:textId="77777777" w:rsidR="009A4B38" w:rsidRPr="00977DD0" w:rsidRDefault="009A4B38" w:rsidP="00FA0662">
            <w:pPr>
              <w:jc w:val="both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Суб’єкти господарювання</w:t>
            </w:r>
          </w:p>
        </w:tc>
        <w:tc>
          <w:tcPr>
            <w:tcW w:w="2997" w:type="dxa"/>
          </w:tcPr>
          <w:p w14:paraId="7CEF3477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980" w:type="dxa"/>
          </w:tcPr>
          <w:p w14:paraId="7FBCBBC1" w14:textId="77777777" w:rsidR="009A4B38" w:rsidRPr="00977DD0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  <w:tr w:rsidR="009A4B38" w:rsidRPr="00977DD0" w14:paraId="44A33DCF" w14:textId="77777777" w:rsidTr="00FA0662">
        <w:tc>
          <w:tcPr>
            <w:tcW w:w="3628" w:type="dxa"/>
          </w:tcPr>
          <w:p w14:paraId="5546AA74" w14:textId="310ACAD8" w:rsidR="009A4B38" w:rsidRPr="00977DD0" w:rsidRDefault="00BE1287" w:rsidP="00FA0662">
            <w:pPr>
              <w:jc w:val="both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 xml:space="preserve">у тому числі суб’єкти </w:t>
            </w:r>
            <w:r w:rsidR="009A4B38" w:rsidRPr="00977DD0">
              <w:rPr>
                <w:rFonts w:eastAsia="Calibri"/>
                <w:lang w:eastAsia="en-US"/>
              </w:rPr>
              <w:t xml:space="preserve">малого підприємництва ⃰⃰⃰⃰⃰⃰  </w:t>
            </w:r>
          </w:p>
        </w:tc>
        <w:tc>
          <w:tcPr>
            <w:tcW w:w="2997" w:type="dxa"/>
          </w:tcPr>
          <w:p w14:paraId="1305FCB5" w14:textId="77777777" w:rsidR="009A4B38" w:rsidRPr="00977DD0" w:rsidRDefault="009A4B38" w:rsidP="00FA0662">
            <w:pPr>
              <w:jc w:val="center"/>
              <w:rPr>
                <w:rFonts w:eastAsia="Calibri"/>
                <w:lang w:eastAsia="en-US"/>
              </w:rPr>
            </w:pPr>
            <w:r w:rsidRPr="00977DD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2980" w:type="dxa"/>
          </w:tcPr>
          <w:p w14:paraId="67BC7A0D" w14:textId="77777777" w:rsidR="009A4B38" w:rsidRPr="00977DD0" w:rsidRDefault="009A4B38" w:rsidP="00FA0662">
            <w:pPr>
              <w:jc w:val="center"/>
              <w:rPr>
                <w:rFonts w:eastAsia="Calibri"/>
                <w:lang w:val="en-US" w:eastAsia="en-US"/>
              </w:rPr>
            </w:pPr>
          </w:p>
        </w:tc>
      </w:tr>
    </w:tbl>
    <w:p w14:paraId="4586F60E" w14:textId="031EE17E" w:rsidR="009A4B38" w:rsidRPr="00977DD0" w:rsidRDefault="009A4B38" w:rsidP="00B466F6">
      <w:pPr>
        <w:pStyle w:val="a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  <w:r w:rsidRPr="00977DD0">
        <w:rPr>
          <w:rFonts w:eastAsia="Calibri"/>
          <w:lang w:eastAsia="en-US"/>
        </w:rPr>
        <w:lastRenderedPageBreak/>
        <w:t xml:space="preserve"> ⃰⃰⃰⃰⃰⃰ </w:t>
      </w:r>
      <w:r w:rsidR="00BE1287" w:rsidRPr="00977DD0">
        <w:rPr>
          <w:rFonts w:eastAsia="Calibri"/>
          <w:lang w:eastAsia="en-US"/>
        </w:rPr>
        <w:t>П</w:t>
      </w:r>
      <w:r w:rsidRPr="00977DD0">
        <w:rPr>
          <w:rFonts w:eastAsia="Calibri"/>
          <w:lang w:eastAsia="en-US"/>
        </w:rPr>
        <w:t>итому вагу суб’єктів малого підприємництва вказати неможливо, оскільки проблема однаково впливає на</w:t>
      </w:r>
      <w:r w:rsidR="00BE1287" w:rsidRPr="00977DD0">
        <w:rPr>
          <w:rFonts w:eastAsia="Calibri"/>
          <w:lang w:eastAsia="en-US"/>
        </w:rPr>
        <w:t xml:space="preserve"> всіх суб’єктів господарювання </w:t>
      </w:r>
      <w:r w:rsidRPr="00977DD0">
        <w:rPr>
          <w:rFonts w:eastAsia="Calibri"/>
          <w:lang w:eastAsia="en-US"/>
        </w:rPr>
        <w:t xml:space="preserve">незалежно від рівня доходу. </w:t>
      </w:r>
    </w:p>
    <w:p w14:paraId="52BD44D6" w14:textId="77777777" w:rsidR="00973B58" w:rsidRPr="00977DD0" w:rsidRDefault="00973B58" w:rsidP="00B466F6">
      <w:pPr>
        <w:pStyle w:val="a3"/>
        <w:spacing w:before="0" w:beforeAutospacing="0" w:after="0" w:afterAutospacing="0"/>
        <w:ind w:firstLine="567"/>
        <w:jc w:val="both"/>
        <w:rPr>
          <w:rFonts w:eastAsia="Calibri"/>
          <w:lang w:eastAsia="en-US"/>
        </w:rPr>
      </w:pPr>
    </w:p>
    <w:p w14:paraId="659A5857" w14:textId="77777777" w:rsidR="009A4B38" w:rsidRPr="00977DD0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7DD0">
        <w:rPr>
          <w:rFonts w:eastAsia="Calibri"/>
          <w:sz w:val="28"/>
          <w:szCs w:val="28"/>
          <w:lang w:eastAsia="en-US"/>
        </w:rPr>
        <w:t>Врегулювання зазначеного питання не може бути здійснено за допомогою:</w:t>
      </w:r>
    </w:p>
    <w:p w14:paraId="6D3BF8F7" w14:textId="197D29C4" w:rsidR="009A4B38" w:rsidRPr="00977DD0" w:rsidRDefault="009A4B38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7DD0">
        <w:rPr>
          <w:rFonts w:eastAsia="Calibri"/>
          <w:sz w:val="28"/>
          <w:szCs w:val="28"/>
          <w:lang w:eastAsia="en-US"/>
        </w:rPr>
        <w:t>ринкових механізмів, оскільки такі питання р</w:t>
      </w:r>
      <w:r w:rsidR="00BE1287" w:rsidRPr="00977DD0">
        <w:rPr>
          <w:rFonts w:eastAsia="Calibri"/>
          <w:sz w:val="28"/>
          <w:szCs w:val="28"/>
          <w:lang w:eastAsia="en-US"/>
        </w:rPr>
        <w:t>егулюються виключно нормативно-</w:t>
      </w:r>
      <w:r w:rsidRPr="00977DD0">
        <w:rPr>
          <w:rFonts w:eastAsia="Calibri"/>
          <w:sz w:val="28"/>
          <w:szCs w:val="28"/>
          <w:lang w:eastAsia="en-US"/>
        </w:rPr>
        <w:t>правовим актом;</w:t>
      </w:r>
    </w:p>
    <w:p w14:paraId="30CB0322" w14:textId="32E5C4DD" w:rsidR="009A4B38" w:rsidRPr="00977DD0" w:rsidRDefault="00BE1287" w:rsidP="009A4B38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7DD0">
        <w:rPr>
          <w:rFonts w:eastAsia="Calibri"/>
          <w:sz w:val="28"/>
          <w:szCs w:val="28"/>
          <w:lang w:eastAsia="en-US"/>
        </w:rPr>
        <w:t>чинного</w:t>
      </w:r>
      <w:r w:rsidR="009A4B38" w:rsidRPr="00977DD0">
        <w:rPr>
          <w:rFonts w:eastAsia="Calibri"/>
          <w:sz w:val="28"/>
          <w:szCs w:val="28"/>
          <w:lang w:eastAsia="en-US"/>
        </w:rPr>
        <w:t xml:space="preserve"> регуляторного </w:t>
      </w:r>
      <w:proofErr w:type="spellStart"/>
      <w:r w:rsidR="009A4B38" w:rsidRPr="00977DD0">
        <w:rPr>
          <w:rFonts w:eastAsia="Calibri"/>
          <w:sz w:val="28"/>
          <w:szCs w:val="28"/>
          <w:lang w:eastAsia="en-US"/>
        </w:rPr>
        <w:t>акта</w:t>
      </w:r>
      <w:proofErr w:type="spellEnd"/>
      <w:r w:rsidR="009A4B38" w:rsidRPr="00977DD0">
        <w:rPr>
          <w:rFonts w:eastAsia="Calibri"/>
          <w:sz w:val="28"/>
          <w:szCs w:val="28"/>
          <w:lang w:eastAsia="en-US"/>
        </w:rPr>
        <w:t xml:space="preserve">, оскільки він не відповідає акту вищої юридичної сили.  </w:t>
      </w:r>
    </w:p>
    <w:p w14:paraId="7743FC4D" w14:textId="5F352BC6" w:rsidR="00C3504A" w:rsidRPr="00977DD0" w:rsidRDefault="00C3504A" w:rsidP="009A4B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5DD21C6" w14:textId="77777777" w:rsidR="006A2311" w:rsidRPr="00977DD0" w:rsidRDefault="006A2311" w:rsidP="009A4B3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063304B8" w14:textId="77777777" w:rsidR="009A4B38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>II. Цілі державного регулювання</w:t>
      </w:r>
    </w:p>
    <w:p w14:paraId="6E48CC4D" w14:textId="77777777" w:rsidR="00C3504A" w:rsidRPr="00977DD0" w:rsidRDefault="00C3504A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79D28E6B" w14:textId="77777777" w:rsidR="009A4B38" w:rsidRPr="00977DD0" w:rsidRDefault="009A4B38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Метою підготовки </w:t>
      </w:r>
      <w:proofErr w:type="spellStart"/>
      <w:r w:rsidRPr="00977DD0">
        <w:rPr>
          <w:sz w:val="28"/>
          <w:szCs w:val="28"/>
        </w:rPr>
        <w:t>про</w:t>
      </w:r>
      <w:r w:rsidR="00F058F8" w:rsidRPr="00977DD0">
        <w:rPr>
          <w:sz w:val="28"/>
          <w:szCs w:val="28"/>
        </w:rPr>
        <w:t>є</w:t>
      </w:r>
      <w:r w:rsidRPr="00977DD0">
        <w:rPr>
          <w:sz w:val="28"/>
          <w:szCs w:val="28"/>
        </w:rPr>
        <w:t>кту</w:t>
      </w:r>
      <w:proofErr w:type="spellEnd"/>
      <w:r w:rsidRPr="00977DD0">
        <w:rPr>
          <w:sz w:val="28"/>
          <w:szCs w:val="28"/>
        </w:rPr>
        <w:t xml:space="preserve"> постанови є:</w:t>
      </w:r>
    </w:p>
    <w:p w14:paraId="1DAEA72B" w14:textId="48698E09" w:rsidR="003361C8" w:rsidRPr="00977DD0" w:rsidRDefault="003361C8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вдосконалення переліку виробничих і технологічних операцій, за якими  визначається країна походження товару, наведеного у додатку до постанови</w:t>
      </w:r>
      <w:r w:rsidR="00D66B93" w:rsidRPr="00977DD0">
        <w:rPr>
          <w:rStyle w:val="FontStyle12"/>
          <w:color w:val="auto"/>
          <w:sz w:val="28"/>
          <w:szCs w:val="28"/>
        </w:rPr>
        <w:t xml:space="preserve"> </w:t>
      </w:r>
      <w:r w:rsidR="00D66B93" w:rsidRPr="00977DD0">
        <w:rPr>
          <w:sz w:val="28"/>
          <w:szCs w:val="28"/>
        </w:rPr>
        <w:t xml:space="preserve">Кабінету Міністрів України від 20 грудня 2006 року № 1765 «Про порядок встановлення та застосування правила </w:t>
      </w:r>
      <w:proofErr w:type="spellStart"/>
      <w:r w:rsidR="00D66B93" w:rsidRPr="00977DD0">
        <w:rPr>
          <w:sz w:val="28"/>
          <w:szCs w:val="28"/>
        </w:rPr>
        <w:t>адвалорної</w:t>
      </w:r>
      <w:proofErr w:type="spellEnd"/>
      <w:r w:rsidR="00D66B93" w:rsidRPr="00977DD0">
        <w:rPr>
          <w:sz w:val="28"/>
          <w:szCs w:val="28"/>
        </w:rPr>
        <w:t xml:space="preserve"> частки та виконання виробничих і технологічних операцій»</w:t>
      </w:r>
      <w:r w:rsidRPr="00977DD0">
        <w:rPr>
          <w:sz w:val="28"/>
          <w:szCs w:val="28"/>
        </w:rPr>
        <w:t xml:space="preserve">; </w:t>
      </w:r>
    </w:p>
    <w:p w14:paraId="504FDFAE" w14:textId="77777777" w:rsidR="009A4B38" w:rsidRPr="00977DD0" w:rsidRDefault="009A4B38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виконання Україною зобов’язань, взятих ві</w:t>
      </w:r>
      <w:r w:rsidR="004063BE" w:rsidRPr="00977DD0">
        <w:rPr>
          <w:sz w:val="28"/>
          <w:szCs w:val="28"/>
        </w:rPr>
        <w:t>дповідно до додатка XV до Угоди щодо</w:t>
      </w:r>
      <w:r w:rsidRPr="00977DD0">
        <w:rPr>
          <w:sz w:val="28"/>
          <w:szCs w:val="28"/>
        </w:rPr>
        <w:t xml:space="preserve"> адаптаці</w:t>
      </w:r>
      <w:r w:rsidR="004063BE" w:rsidRPr="00977DD0">
        <w:rPr>
          <w:sz w:val="28"/>
          <w:szCs w:val="28"/>
        </w:rPr>
        <w:t>ї</w:t>
      </w:r>
      <w:r w:rsidRPr="00977DD0">
        <w:rPr>
          <w:sz w:val="28"/>
          <w:szCs w:val="28"/>
        </w:rPr>
        <w:t xml:space="preserve"> законодавства України до законодавства країн-членів ЄС в частині визначення непреференційного походження при імпорті в Україну товарів для застосування режиму найбільшого сприяння або його відновлення;</w:t>
      </w:r>
    </w:p>
    <w:p w14:paraId="234505DB" w14:textId="2C48A910" w:rsidR="009A4B38" w:rsidRPr="00977DD0" w:rsidRDefault="009A4B38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приведення нормативно-правового </w:t>
      </w:r>
      <w:proofErr w:type="spellStart"/>
      <w:r w:rsidRPr="00977DD0">
        <w:rPr>
          <w:sz w:val="28"/>
          <w:szCs w:val="28"/>
        </w:rPr>
        <w:t>акт</w:t>
      </w:r>
      <w:r w:rsidR="00BE1287" w:rsidRPr="00977DD0">
        <w:rPr>
          <w:sz w:val="28"/>
          <w:szCs w:val="28"/>
        </w:rPr>
        <w:t>а</w:t>
      </w:r>
      <w:proofErr w:type="spellEnd"/>
      <w:r w:rsidRPr="00977DD0">
        <w:rPr>
          <w:sz w:val="28"/>
          <w:szCs w:val="28"/>
        </w:rPr>
        <w:t xml:space="preserve"> України у відповідність до  міжнародних стандартів і практик, які відповідають зобов’язанням України </w:t>
      </w:r>
      <w:r w:rsidR="00973B58" w:rsidRPr="00977DD0">
        <w:rPr>
          <w:sz w:val="28"/>
          <w:szCs w:val="28"/>
        </w:rPr>
        <w:t>у сфері європейської інтеграції;</w:t>
      </w:r>
    </w:p>
    <w:p w14:paraId="29FE6EC3" w14:textId="77777777" w:rsidR="00FF0237" w:rsidRPr="00977DD0" w:rsidRDefault="00FF0237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забезпечення додаткових можливостей </w:t>
      </w:r>
      <w:r w:rsidR="003361C8" w:rsidRPr="00977DD0">
        <w:rPr>
          <w:sz w:val="28"/>
          <w:szCs w:val="28"/>
        </w:rPr>
        <w:t xml:space="preserve">залучення вітчизняних виробників у міжнародну кооперацію виробництва </w:t>
      </w:r>
      <w:r w:rsidRPr="00977DD0">
        <w:rPr>
          <w:sz w:val="28"/>
          <w:szCs w:val="28"/>
        </w:rPr>
        <w:t xml:space="preserve">окремих видів сільськогосподарської продукції; </w:t>
      </w:r>
    </w:p>
    <w:p w14:paraId="20EBFE44" w14:textId="77777777" w:rsidR="00FF0237" w:rsidRPr="00977DD0" w:rsidRDefault="00FF0237" w:rsidP="003A76C6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стимулювання розвитку підприємницької діяльності у сфері виробництва </w:t>
      </w:r>
      <w:r w:rsidR="003361C8" w:rsidRPr="00977DD0">
        <w:rPr>
          <w:sz w:val="28"/>
          <w:szCs w:val="28"/>
        </w:rPr>
        <w:t xml:space="preserve">і переоснащення виробничих </w:t>
      </w:r>
      <w:proofErr w:type="spellStart"/>
      <w:r w:rsidR="003361C8" w:rsidRPr="00977DD0">
        <w:rPr>
          <w:sz w:val="28"/>
          <w:szCs w:val="28"/>
        </w:rPr>
        <w:t>потужностей</w:t>
      </w:r>
      <w:proofErr w:type="spellEnd"/>
      <w:r w:rsidR="003361C8" w:rsidRPr="00977DD0">
        <w:rPr>
          <w:sz w:val="28"/>
          <w:szCs w:val="28"/>
        </w:rPr>
        <w:t xml:space="preserve"> на основі </w:t>
      </w:r>
      <w:r w:rsidR="00AB2A1D" w:rsidRPr="00977DD0">
        <w:rPr>
          <w:sz w:val="28"/>
          <w:szCs w:val="28"/>
          <w:lang w:eastAsia="en-US"/>
        </w:rPr>
        <w:t>напівпровідникових виробів (апаратури)</w:t>
      </w:r>
      <w:r w:rsidRPr="00977DD0">
        <w:rPr>
          <w:sz w:val="28"/>
          <w:szCs w:val="28"/>
        </w:rPr>
        <w:t xml:space="preserve">. </w:t>
      </w:r>
    </w:p>
    <w:p w14:paraId="18863EDD" w14:textId="528359A2" w:rsidR="00E226A3" w:rsidRPr="00977DD0" w:rsidRDefault="00E226A3" w:rsidP="003A76C6">
      <w:pPr>
        <w:ind w:firstLine="567"/>
        <w:jc w:val="both"/>
        <w:rPr>
          <w:sz w:val="28"/>
          <w:szCs w:val="28"/>
        </w:rPr>
      </w:pPr>
    </w:p>
    <w:p w14:paraId="14128BDF" w14:textId="77777777" w:rsidR="006A2311" w:rsidRPr="00977DD0" w:rsidRDefault="006A2311" w:rsidP="003A76C6">
      <w:pPr>
        <w:ind w:firstLine="567"/>
        <w:jc w:val="both"/>
        <w:rPr>
          <w:sz w:val="28"/>
          <w:szCs w:val="28"/>
        </w:rPr>
      </w:pPr>
    </w:p>
    <w:p w14:paraId="712654B0" w14:textId="77777777" w:rsidR="009A4B38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 xml:space="preserve">III. Визначення та оцінка альтернативних способів досягнення цілей </w:t>
      </w:r>
    </w:p>
    <w:p w14:paraId="668BCAD0" w14:textId="77777777" w:rsidR="00C3504A" w:rsidRPr="00977DD0" w:rsidRDefault="00C3504A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1BF0768A" w14:textId="0AC141F7" w:rsidR="009A4B38" w:rsidRPr="00977DD0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Альтернативні способи досягнення цілей державного регулювання</w:t>
      </w:r>
      <w:r w:rsidR="00B466F6" w:rsidRPr="00977DD0">
        <w:rPr>
          <w:b w:val="0"/>
          <w:sz w:val="28"/>
          <w:szCs w:val="28"/>
        </w:rPr>
        <w:t>:</w:t>
      </w:r>
      <w:r w:rsidRPr="00977DD0">
        <w:rPr>
          <w:b w:val="0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1"/>
        <w:gridCol w:w="6774"/>
      </w:tblGrid>
      <w:tr w:rsidR="009A4B38" w:rsidRPr="00977DD0" w14:paraId="5AC401A5" w14:textId="77777777" w:rsidTr="003A76C6">
        <w:tc>
          <w:tcPr>
            <w:tcW w:w="2762" w:type="dxa"/>
          </w:tcPr>
          <w:p w14:paraId="730051F7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Вид альтернативи</w:t>
            </w:r>
          </w:p>
        </w:tc>
        <w:tc>
          <w:tcPr>
            <w:tcW w:w="6867" w:type="dxa"/>
          </w:tcPr>
          <w:p w14:paraId="6E5555A8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 xml:space="preserve">Опис альтернативи </w:t>
            </w:r>
          </w:p>
        </w:tc>
      </w:tr>
      <w:tr w:rsidR="009A4B38" w:rsidRPr="00977DD0" w14:paraId="16C62A9A" w14:textId="77777777" w:rsidTr="003A76C6">
        <w:tc>
          <w:tcPr>
            <w:tcW w:w="2762" w:type="dxa"/>
          </w:tcPr>
          <w:p w14:paraId="2C7FFB46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1</w:t>
            </w:r>
          </w:p>
        </w:tc>
        <w:tc>
          <w:tcPr>
            <w:tcW w:w="6867" w:type="dxa"/>
          </w:tcPr>
          <w:p w14:paraId="44D76839" w14:textId="5A5D8D91" w:rsidR="009A4B38" w:rsidRPr="00977DD0" w:rsidRDefault="00591584" w:rsidP="00973B58">
            <w:pPr>
              <w:pStyle w:val="3"/>
              <w:spacing w:before="0" w:beforeAutospacing="0" w:after="0" w:afterAutospacing="0"/>
              <w:jc w:val="both"/>
              <w:outlineLvl w:val="2"/>
              <w:rPr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Прийняти</w:t>
            </w:r>
            <w:r w:rsidR="009A4B38" w:rsidRPr="00977DD0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9A4B38" w:rsidRPr="00977DD0">
              <w:rPr>
                <w:b w:val="0"/>
                <w:sz w:val="24"/>
                <w:szCs w:val="24"/>
              </w:rPr>
              <w:t>про</w:t>
            </w:r>
            <w:r w:rsidR="00EA121C" w:rsidRPr="00977DD0">
              <w:rPr>
                <w:b w:val="0"/>
                <w:sz w:val="24"/>
                <w:szCs w:val="24"/>
              </w:rPr>
              <w:t>є</w:t>
            </w:r>
            <w:r w:rsidR="009A4B38" w:rsidRPr="00977DD0">
              <w:rPr>
                <w:b w:val="0"/>
                <w:sz w:val="24"/>
                <w:szCs w:val="24"/>
              </w:rPr>
              <w:t>кт</w:t>
            </w:r>
            <w:r w:rsidR="00BE1287" w:rsidRPr="00977DD0">
              <w:rPr>
                <w:b w:val="0"/>
                <w:sz w:val="24"/>
                <w:szCs w:val="24"/>
              </w:rPr>
              <w:t>у</w:t>
            </w:r>
            <w:proofErr w:type="spellEnd"/>
            <w:r w:rsidR="009A4B38" w:rsidRPr="00977DD0">
              <w:rPr>
                <w:b w:val="0"/>
                <w:sz w:val="24"/>
                <w:szCs w:val="24"/>
              </w:rPr>
              <w:t xml:space="preserve"> постанови </w:t>
            </w:r>
          </w:p>
        </w:tc>
      </w:tr>
      <w:tr w:rsidR="009A4B38" w:rsidRPr="00977DD0" w14:paraId="3F352167" w14:textId="77777777" w:rsidTr="003A76C6">
        <w:tc>
          <w:tcPr>
            <w:tcW w:w="2762" w:type="dxa"/>
          </w:tcPr>
          <w:p w14:paraId="4B5D0BE5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2</w:t>
            </w:r>
          </w:p>
        </w:tc>
        <w:tc>
          <w:tcPr>
            <w:tcW w:w="6867" w:type="dxa"/>
          </w:tcPr>
          <w:p w14:paraId="4B9E21A3" w14:textId="77777777" w:rsidR="009A4B38" w:rsidRPr="00977DD0" w:rsidRDefault="009A4B38" w:rsidP="0059158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 xml:space="preserve">Залишити без змін </w:t>
            </w:r>
            <w:r w:rsidRPr="00977DD0">
              <w:rPr>
                <w:rStyle w:val="FontStyle12"/>
                <w:color w:val="auto"/>
                <w:sz w:val="24"/>
                <w:szCs w:val="24"/>
              </w:rPr>
              <w:t>постанову</w:t>
            </w:r>
            <w:r w:rsidRPr="00977DD0">
              <w:rPr>
                <w:rStyle w:val="FontStyle12"/>
                <w:b/>
                <w:color w:val="auto"/>
                <w:sz w:val="24"/>
                <w:szCs w:val="24"/>
              </w:rPr>
              <w:t xml:space="preserve"> </w:t>
            </w:r>
            <w:r w:rsidRPr="00977DD0">
              <w:rPr>
                <w:b w:val="0"/>
                <w:sz w:val="24"/>
                <w:szCs w:val="24"/>
              </w:rPr>
              <w:t xml:space="preserve">Кабінету Міністрів України від 20 грудня 2006 року № 1765 «Про порядок встановлення та застосування правила </w:t>
            </w:r>
            <w:proofErr w:type="spellStart"/>
            <w:r w:rsidRPr="00977DD0">
              <w:rPr>
                <w:b w:val="0"/>
                <w:sz w:val="24"/>
                <w:szCs w:val="24"/>
              </w:rPr>
              <w:t>адвал</w:t>
            </w:r>
            <w:r w:rsidR="00591584" w:rsidRPr="00977DD0">
              <w:rPr>
                <w:b w:val="0"/>
                <w:sz w:val="24"/>
                <w:szCs w:val="24"/>
              </w:rPr>
              <w:t>о</w:t>
            </w:r>
            <w:r w:rsidRPr="00977DD0">
              <w:rPr>
                <w:b w:val="0"/>
                <w:sz w:val="24"/>
                <w:szCs w:val="24"/>
              </w:rPr>
              <w:t>рної</w:t>
            </w:r>
            <w:proofErr w:type="spellEnd"/>
            <w:r w:rsidRPr="00977DD0">
              <w:rPr>
                <w:b w:val="0"/>
                <w:sz w:val="24"/>
                <w:szCs w:val="24"/>
              </w:rPr>
              <w:t xml:space="preserve"> частки та виконання виробничих і технологічних операцій».</w:t>
            </w:r>
          </w:p>
          <w:p w14:paraId="0C7D5511" w14:textId="77777777" w:rsidR="00FF0237" w:rsidRPr="00977DD0" w:rsidRDefault="00FF0237" w:rsidP="00591584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 xml:space="preserve">Зазначений спосіб є неприйнятним, оскільки чинні регуляторні акти потребують приведення у відповідність із вимогами </w:t>
            </w:r>
          </w:p>
        </w:tc>
      </w:tr>
    </w:tbl>
    <w:p w14:paraId="744F370B" w14:textId="4D104114" w:rsidR="00591584" w:rsidRPr="00977DD0" w:rsidRDefault="00591584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039D7DE7" w14:textId="77777777" w:rsidR="00973B58" w:rsidRPr="00977DD0" w:rsidRDefault="00973B58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1DFF9DE7" w14:textId="0FED8A04" w:rsidR="009A4B38" w:rsidRPr="00977DD0" w:rsidRDefault="009A4B38" w:rsidP="00591584">
      <w:pPr>
        <w:pStyle w:val="3"/>
        <w:spacing w:before="0" w:beforeAutospacing="0" w:after="0" w:afterAutospacing="0"/>
        <w:ind w:firstLine="708"/>
        <w:jc w:val="both"/>
        <w:rPr>
          <w:rFonts w:eastAsia="Calibri"/>
          <w:b w:val="0"/>
          <w:sz w:val="28"/>
          <w:szCs w:val="28"/>
          <w:lang w:eastAsia="en-US"/>
        </w:rPr>
      </w:pPr>
      <w:r w:rsidRPr="00977DD0">
        <w:rPr>
          <w:rFonts w:eastAsia="Calibri"/>
          <w:b w:val="0"/>
          <w:sz w:val="28"/>
          <w:szCs w:val="28"/>
          <w:lang w:eastAsia="en-US"/>
        </w:rPr>
        <w:lastRenderedPageBreak/>
        <w:t>Оцінка впливу на сферу інтересів держави</w:t>
      </w:r>
      <w:r w:rsidR="00B466F6" w:rsidRPr="00977DD0">
        <w:rPr>
          <w:rFonts w:eastAsia="Calibri"/>
          <w:b w:val="0"/>
          <w:sz w:val="28"/>
          <w:szCs w:val="28"/>
          <w:lang w:eastAsia="en-US"/>
        </w:rPr>
        <w:t>:</w:t>
      </w:r>
      <w:r w:rsidRPr="00977DD0">
        <w:rPr>
          <w:rFonts w:eastAsia="Calibri"/>
          <w:b w:val="0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8"/>
        <w:gridCol w:w="4069"/>
        <w:gridCol w:w="2878"/>
      </w:tblGrid>
      <w:tr w:rsidR="009A4B38" w:rsidRPr="00977DD0" w14:paraId="5F6F7A1E" w14:textId="77777777" w:rsidTr="003A76C6">
        <w:tc>
          <w:tcPr>
            <w:tcW w:w="2599" w:type="dxa"/>
          </w:tcPr>
          <w:p w14:paraId="725978F6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b w:val="0"/>
                <w:sz w:val="24"/>
                <w:szCs w:val="24"/>
              </w:rPr>
              <w:t>Вид альтернативи</w:t>
            </w:r>
          </w:p>
        </w:tc>
        <w:tc>
          <w:tcPr>
            <w:tcW w:w="4130" w:type="dxa"/>
          </w:tcPr>
          <w:p w14:paraId="6D827199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Вигоди</w:t>
            </w:r>
          </w:p>
        </w:tc>
        <w:tc>
          <w:tcPr>
            <w:tcW w:w="2900" w:type="dxa"/>
          </w:tcPr>
          <w:p w14:paraId="404CDAB7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Витрати</w:t>
            </w:r>
          </w:p>
        </w:tc>
      </w:tr>
      <w:tr w:rsidR="009A4B38" w:rsidRPr="00977DD0" w14:paraId="74046BF5" w14:textId="77777777" w:rsidTr="003A76C6">
        <w:tc>
          <w:tcPr>
            <w:tcW w:w="2599" w:type="dxa"/>
          </w:tcPr>
          <w:p w14:paraId="52ACB05B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1</w:t>
            </w:r>
          </w:p>
        </w:tc>
        <w:tc>
          <w:tcPr>
            <w:tcW w:w="4130" w:type="dxa"/>
          </w:tcPr>
          <w:p w14:paraId="45F67CA2" w14:textId="2F4DD26D" w:rsidR="00A761E7" w:rsidRPr="00977DD0" w:rsidRDefault="00973B58" w:rsidP="00973B5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1. 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Здійснення ефективного контролю за правильністю визначення непреференційного походження товарів.</w:t>
            </w:r>
          </w:p>
          <w:p w14:paraId="1C182A12" w14:textId="2BA919C7" w:rsidR="00A761E7" w:rsidRPr="00977DD0" w:rsidRDefault="00973B58" w:rsidP="00973B5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2. 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Приведення окремих операцій обробки або переробки, які надають товарам статус непреференційного походження в Україні</w:t>
            </w:r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 відповідність з існуючими технологічними умовами їх виробництва.</w:t>
            </w:r>
          </w:p>
          <w:p w14:paraId="6612B87F" w14:textId="38F230EA" w:rsidR="009A4B38" w:rsidRPr="00977DD0" w:rsidRDefault="00973B58" w:rsidP="00973B58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3. </w:t>
            </w:r>
            <w:proofErr w:type="spellStart"/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Надасть</w:t>
            </w:r>
            <w:proofErr w:type="spellEnd"/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змогу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адаптувати законодавств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о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України до законодавства країн-членів ЄС в частині визначення непреференційного походження</w:t>
            </w:r>
            <w:r w:rsidR="003361C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товарів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Створить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сприятлив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і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A761E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умови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для розвитку зовнішньої торгівлі і залучення інвестицій</w:t>
            </w:r>
          </w:p>
        </w:tc>
        <w:tc>
          <w:tcPr>
            <w:tcW w:w="2900" w:type="dxa"/>
          </w:tcPr>
          <w:p w14:paraId="773CD6AC" w14:textId="43B2ACB8" w:rsidR="009A4B38" w:rsidRPr="00977DD0" w:rsidRDefault="00BE1287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Додаткові витрати відсутні</w:t>
            </w:r>
            <w:r w:rsidR="009A4B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A4B38" w:rsidRPr="00977DD0" w14:paraId="7DA48CB5" w14:textId="77777777" w:rsidTr="003A76C6">
        <w:tc>
          <w:tcPr>
            <w:tcW w:w="2599" w:type="dxa"/>
          </w:tcPr>
          <w:p w14:paraId="68AE905C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2</w:t>
            </w:r>
          </w:p>
        </w:tc>
        <w:tc>
          <w:tcPr>
            <w:tcW w:w="4130" w:type="dxa"/>
          </w:tcPr>
          <w:p w14:paraId="0BE50B17" w14:textId="67128C2B" w:rsidR="009A4B38" w:rsidRPr="00977DD0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Залишаючи діюче регулю</w:t>
            </w:r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вання без змін, вигоди відсутні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00" w:type="dxa"/>
          </w:tcPr>
          <w:p w14:paraId="6CE739E2" w14:textId="526C7CCB" w:rsidR="009A4B38" w:rsidRPr="00977DD0" w:rsidRDefault="009A4B38" w:rsidP="00AB2A1D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Високі. Невиконання  Україною в рамках Угоди  зобов’язань </w:t>
            </w:r>
            <w:r w:rsidR="00032A04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щодо 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імплемент</w:t>
            </w:r>
            <w:r w:rsidR="00032A04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ації</w:t>
            </w:r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законодавства України</w:t>
            </w:r>
            <w:r w:rsidR="00032A04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до 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положен</w:t>
            </w:r>
            <w:r w:rsidR="00032A04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ь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Митного кодексу Європейського Союзу, зокрема</w:t>
            </w:r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 частині визначення непреференційного  походження при імпорті товарів. Непривабливий інвестиційн</w:t>
            </w:r>
            <w:r w:rsidR="00AB2A1D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ий</w:t>
            </w:r>
            <w:r w:rsidR="00BE1287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клімат</w:t>
            </w:r>
          </w:p>
        </w:tc>
      </w:tr>
    </w:tbl>
    <w:p w14:paraId="2CB6F477" w14:textId="77777777" w:rsidR="007F5444" w:rsidRPr="00977DD0" w:rsidRDefault="007F5444" w:rsidP="009A4B38">
      <w:pPr>
        <w:pStyle w:val="3"/>
        <w:spacing w:before="0" w:beforeAutospacing="0" w:after="0" w:afterAutospacing="0"/>
        <w:ind w:firstLine="426"/>
        <w:jc w:val="both"/>
        <w:rPr>
          <w:b w:val="0"/>
          <w:sz w:val="24"/>
          <w:szCs w:val="24"/>
        </w:rPr>
      </w:pPr>
    </w:p>
    <w:p w14:paraId="01CD44B0" w14:textId="77777777" w:rsidR="009A4B38" w:rsidRPr="00977DD0" w:rsidRDefault="009A4B38" w:rsidP="009A4B38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Оцінка впливу на сферу інтересів громадян</w:t>
      </w:r>
    </w:p>
    <w:p w14:paraId="3AD0C40B" w14:textId="77777777" w:rsidR="00F058F8" w:rsidRPr="00977DD0" w:rsidRDefault="00F058F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</w:p>
    <w:p w14:paraId="75FDA500" w14:textId="53F4C765" w:rsidR="001D7D08" w:rsidRPr="00977DD0" w:rsidRDefault="009A4B3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  <w:proofErr w:type="spellStart"/>
      <w:r w:rsidRPr="00977DD0">
        <w:rPr>
          <w:b w:val="0"/>
          <w:sz w:val="28"/>
          <w:szCs w:val="28"/>
        </w:rPr>
        <w:t>Про</w:t>
      </w:r>
      <w:r w:rsidR="00F058F8" w:rsidRPr="00977DD0">
        <w:rPr>
          <w:b w:val="0"/>
          <w:sz w:val="28"/>
          <w:szCs w:val="28"/>
        </w:rPr>
        <w:t>є</w:t>
      </w:r>
      <w:r w:rsidRPr="00977DD0">
        <w:rPr>
          <w:b w:val="0"/>
          <w:sz w:val="28"/>
          <w:szCs w:val="28"/>
        </w:rPr>
        <w:t>кт</w:t>
      </w:r>
      <w:proofErr w:type="spellEnd"/>
      <w:r w:rsidRPr="00977DD0">
        <w:rPr>
          <w:b w:val="0"/>
          <w:sz w:val="28"/>
          <w:szCs w:val="28"/>
        </w:rPr>
        <w:t xml:space="preserve"> постанови не розповсюджується </w:t>
      </w:r>
      <w:r w:rsidR="00BE1287" w:rsidRPr="00977DD0">
        <w:rPr>
          <w:b w:val="0"/>
          <w:sz w:val="28"/>
          <w:szCs w:val="28"/>
        </w:rPr>
        <w:t xml:space="preserve"> на сферу інтересів </w:t>
      </w:r>
      <w:r w:rsidR="001D7D08" w:rsidRPr="00977DD0">
        <w:rPr>
          <w:b w:val="0"/>
          <w:sz w:val="28"/>
          <w:szCs w:val="28"/>
        </w:rPr>
        <w:t>громадян</w:t>
      </w:r>
      <w:r w:rsidR="00F058F8" w:rsidRPr="00977DD0">
        <w:rPr>
          <w:b w:val="0"/>
          <w:sz w:val="28"/>
          <w:szCs w:val="28"/>
        </w:rPr>
        <w:t>.</w:t>
      </w:r>
    </w:p>
    <w:p w14:paraId="1EAFDB07" w14:textId="77777777" w:rsidR="00F058F8" w:rsidRPr="00977DD0" w:rsidRDefault="00F058F8" w:rsidP="009A4B38">
      <w:pPr>
        <w:pStyle w:val="3"/>
        <w:spacing w:before="0" w:beforeAutospacing="0" w:after="0" w:afterAutospacing="0"/>
        <w:ind w:left="426"/>
        <w:jc w:val="both"/>
        <w:rPr>
          <w:b w:val="0"/>
          <w:sz w:val="28"/>
          <w:szCs w:val="28"/>
        </w:rPr>
      </w:pPr>
    </w:p>
    <w:p w14:paraId="5B724FEB" w14:textId="77777777" w:rsidR="003A0B73" w:rsidRPr="00977DD0" w:rsidRDefault="009A4B38" w:rsidP="003A0B73">
      <w:pPr>
        <w:pStyle w:val="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977DD0">
        <w:rPr>
          <w:b w:val="0"/>
          <w:sz w:val="28"/>
          <w:szCs w:val="28"/>
        </w:rPr>
        <w:t>Оцінка впливу на сферу інтересів суб’єктів господарювання</w:t>
      </w:r>
      <w:r w:rsidRPr="00977DD0">
        <w:rPr>
          <w:rFonts w:eastAsia="Calibri"/>
          <w:lang w:eastAsia="en-US"/>
        </w:rPr>
        <w:t xml:space="preserve"> </w:t>
      </w:r>
    </w:p>
    <w:p w14:paraId="4B70C2F0" w14:textId="77777777" w:rsidR="00F32A53" w:rsidRPr="00977DD0" w:rsidRDefault="00F32A53" w:rsidP="00F32A53">
      <w:pPr>
        <w:pStyle w:val="3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14:paraId="3FF33F7D" w14:textId="3F718549" w:rsidR="00F32A53" w:rsidRPr="00977DD0" w:rsidRDefault="00F32A53" w:rsidP="00F32A53">
      <w:pPr>
        <w:widowControl w:val="0"/>
        <w:ind w:firstLine="426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Інформація щодо кількості </w:t>
      </w:r>
      <w:r w:rsidRPr="00977DD0">
        <w:rPr>
          <w:bCs/>
          <w:sz w:val="28"/>
          <w:szCs w:val="28"/>
        </w:rPr>
        <w:t>суб’єктів господарювання (в тому числі</w:t>
      </w:r>
      <w:r w:rsidR="00380542" w:rsidRPr="00977DD0">
        <w:rPr>
          <w:bCs/>
          <w:sz w:val="28"/>
          <w:szCs w:val="28"/>
        </w:rPr>
        <w:t xml:space="preserve"> </w:t>
      </w:r>
      <w:r w:rsidR="003A76C6" w:rsidRPr="00977DD0">
        <w:rPr>
          <w:bCs/>
          <w:sz w:val="28"/>
          <w:szCs w:val="28"/>
        </w:rPr>
        <w:t xml:space="preserve">фізичних осіб </w:t>
      </w:r>
      <w:r w:rsidR="00B466F6" w:rsidRPr="00977DD0">
        <w:rPr>
          <w:bCs/>
          <w:sz w:val="28"/>
          <w:szCs w:val="28"/>
        </w:rPr>
        <w:t xml:space="preserve">– </w:t>
      </w:r>
      <w:r w:rsidR="003A76C6" w:rsidRPr="00977DD0">
        <w:rPr>
          <w:bCs/>
          <w:sz w:val="28"/>
          <w:szCs w:val="28"/>
        </w:rPr>
        <w:t>підприємців</w:t>
      </w:r>
      <w:r w:rsidRPr="00977DD0">
        <w:rPr>
          <w:bCs/>
          <w:sz w:val="28"/>
          <w:szCs w:val="28"/>
        </w:rPr>
        <w:t>), які здійснюють</w:t>
      </w:r>
      <w:r w:rsidR="003938CB" w:rsidRPr="00977DD0">
        <w:rPr>
          <w:bCs/>
          <w:sz w:val="28"/>
          <w:szCs w:val="28"/>
        </w:rPr>
        <w:t xml:space="preserve"> зовнішньоекономічні операції</w:t>
      </w:r>
      <w:r w:rsidRPr="00977DD0">
        <w:rPr>
          <w:bCs/>
          <w:sz w:val="28"/>
          <w:szCs w:val="28"/>
        </w:rPr>
        <w:t>, станом на 01.0</w:t>
      </w:r>
      <w:r w:rsidR="001C4069" w:rsidRPr="00977DD0">
        <w:rPr>
          <w:bCs/>
          <w:sz w:val="28"/>
          <w:szCs w:val="28"/>
        </w:rPr>
        <w:t>1</w:t>
      </w:r>
      <w:r w:rsidRPr="00977DD0">
        <w:rPr>
          <w:bCs/>
          <w:sz w:val="28"/>
          <w:szCs w:val="28"/>
        </w:rPr>
        <w:t>.202</w:t>
      </w:r>
      <w:r w:rsidR="001C4069" w:rsidRPr="00977DD0">
        <w:rPr>
          <w:bCs/>
          <w:sz w:val="28"/>
          <w:szCs w:val="28"/>
        </w:rPr>
        <w:t>1</w:t>
      </w:r>
      <w:r w:rsidRPr="00977DD0">
        <w:rPr>
          <w:sz w:val="28"/>
          <w:szCs w:val="28"/>
        </w:rPr>
        <w:t xml:space="preserve">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591584" w:rsidRPr="00977DD0" w14:paraId="711BED35" w14:textId="77777777" w:rsidTr="006A2022">
        <w:tc>
          <w:tcPr>
            <w:tcW w:w="9488" w:type="dxa"/>
            <w:gridSpan w:val="3"/>
          </w:tcPr>
          <w:p w14:paraId="71D77121" w14:textId="77777777" w:rsidR="00591584" w:rsidRPr="00977DD0" w:rsidRDefault="00591584" w:rsidP="00591584">
            <w:pPr>
              <w:widowControl w:val="0"/>
              <w:jc w:val="center"/>
              <w:rPr>
                <w:sz w:val="28"/>
                <w:szCs w:val="28"/>
              </w:rPr>
            </w:pPr>
            <w:r w:rsidRPr="00977DD0">
              <w:rPr>
                <w:bCs/>
                <w:sz w:val="28"/>
                <w:szCs w:val="28"/>
              </w:rPr>
              <w:t>Кількість суб’єктів господарювання (експортерів)</w:t>
            </w:r>
            <w:r w:rsidRPr="00977DD0">
              <w:rPr>
                <w:bCs/>
                <w:sz w:val="28"/>
                <w:szCs w:val="28"/>
                <w:vertAlign w:val="superscript"/>
              </w:rPr>
              <w:t>*</w:t>
            </w:r>
          </w:p>
        </w:tc>
      </w:tr>
      <w:tr w:rsidR="00591584" w:rsidRPr="00977DD0" w14:paraId="0D452E3D" w14:textId="77777777" w:rsidTr="00591584">
        <w:tc>
          <w:tcPr>
            <w:tcW w:w="3162" w:type="dxa"/>
          </w:tcPr>
          <w:p w14:paraId="5767EB96" w14:textId="77777777" w:rsidR="00591584" w:rsidRPr="00977DD0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977DD0">
              <w:rPr>
                <w:bCs/>
                <w:sz w:val="28"/>
                <w:szCs w:val="28"/>
              </w:rPr>
              <w:t>Всього</w:t>
            </w:r>
          </w:p>
        </w:tc>
        <w:tc>
          <w:tcPr>
            <w:tcW w:w="3163" w:type="dxa"/>
          </w:tcPr>
          <w:p w14:paraId="48C5B188" w14:textId="77777777" w:rsidR="00591584" w:rsidRPr="00977DD0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977DD0">
              <w:rPr>
                <w:bCs/>
                <w:sz w:val="28"/>
                <w:szCs w:val="28"/>
              </w:rPr>
              <w:t>Юридичних осіб</w:t>
            </w:r>
          </w:p>
        </w:tc>
        <w:tc>
          <w:tcPr>
            <w:tcW w:w="3163" w:type="dxa"/>
          </w:tcPr>
          <w:p w14:paraId="633898A7" w14:textId="77777777" w:rsidR="00591584" w:rsidRPr="00977DD0" w:rsidRDefault="00591584" w:rsidP="00591584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77DD0">
              <w:rPr>
                <w:bCs/>
                <w:sz w:val="28"/>
                <w:szCs w:val="28"/>
              </w:rPr>
              <w:t>Фізичних осіб – підприємців</w:t>
            </w:r>
          </w:p>
        </w:tc>
      </w:tr>
      <w:tr w:rsidR="00591584" w:rsidRPr="00977DD0" w14:paraId="460D97D7" w14:textId="77777777" w:rsidTr="00591584">
        <w:tc>
          <w:tcPr>
            <w:tcW w:w="3162" w:type="dxa"/>
          </w:tcPr>
          <w:p w14:paraId="320B9F65" w14:textId="77777777" w:rsidR="00591584" w:rsidRPr="00977DD0" w:rsidRDefault="00591584" w:rsidP="001C4069">
            <w:pPr>
              <w:widowControl w:val="0"/>
              <w:jc w:val="both"/>
              <w:rPr>
                <w:sz w:val="28"/>
                <w:szCs w:val="28"/>
              </w:rPr>
            </w:pPr>
            <w:r w:rsidRPr="00977DD0">
              <w:rPr>
                <w:sz w:val="28"/>
                <w:szCs w:val="28"/>
              </w:rPr>
              <w:t>152</w:t>
            </w:r>
            <w:r w:rsidR="001C4069" w:rsidRPr="00977DD0">
              <w:rPr>
                <w:sz w:val="28"/>
                <w:szCs w:val="28"/>
              </w:rPr>
              <w:t>97</w:t>
            </w:r>
          </w:p>
        </w:tc>
        <w:tc>
          <w:tcPr>
            <w:tcW w:w="3163" w:type="dxa"/>
          </w:tcPr>
          <w:p w14:paraId="02EEB93E" w14:textId="77777777" w:rsidR="00591584" w:rsidRPr="00977DD0" w:rsidRDefault="00591584" w:rsidP="001C4069">
            <w:pPr>
              <w:widowControl w:val="0"/>
              <w:jc w:val="both"/>
              <w:rPr>
                <w:sz w:val="28"/>
                <w:szCs w:val="28"/>
              </w:rPr>
            </w:pPr>
            <w:r w:rsidRPr="00977DD0">
              <w:rPr>
                <w:bCs/>
                <w:sz w:val="28"/>
                <w:szCs w:val="28"/>
              </w:rPr>
              <w:t>12</w:t>
            </w:r>
            <w:r w:rsidR="001C4069" w:rsidRPr="00977DD0">
              <w:rPr>
                <w:bCs/>
                <w:sz w:val="28"/>
                <w:szCs w:val="28"/>
              </w:rPr>
              <w:t>434</w:t>
            </w:r>
          </w:p>
        </w:tc>
        <w:tc>
          <w:tcPr>
            <w:tcW w:w="3163" w:type="dxa"/>
          </w:tcPr>
          <w:p w14:paraId="1B4520F2" w14:textId="77777777" w:rsidR="00591584" w:rsidRPr="00977DD0" w:rsidRDefault="00591584" w:rsidP="00591584">
            <w:pPr>
              <w:widowControl w:val="0"/>
              <w:jc w:val="both"/>
              <w:rPr>
                <w:sz w:val="28"/>
                <w:szCs w:val="28"/>
              </w:rPr>
            </w:pPr>
            <w:r w:rsidRPr="00977DD0">
              <w:rPr>
                <w:sz w:val="28"/>
                <w:szCs w:val="28"/>
              </w:rPr>
              <w:t>2863</w:t>
            </w:r>
          </w:p>
        </w:tc>
      </w:tr>
    </w:tbl>
    <w:p w14:paraId="1286FF3B" w14:textId="1051977A" w:rsidR="001E2C6D" w:rsidRPr="00977DD0" w:rsidRDefault="00B466F6" w:rsidP="00B466F6">
      <w:pPr>
        <w:pStyle w:val="a8"/>
        <w:shd w:val="clear" w:color="auto" w:fill="FFFFFF" w:themeFill="background1"/>
        <w:ind w:left="0" w:firstLine="567"/>
        <w:jc w:val="both"/>
        <w:rPr>
          <w:rFonts w:eastAsia="Calibri"/>
          <w:bCs/>
          <w:lang w:eastAsia="en-US"/>
        </w:rPr>
      </w:pPr>
      <w:r w:rsidRPr="00977DD0">
        <w:rPr>
          <w:rFonts w:eastAsia="Calibri"/>
          <w:lang w:eastAsia="en-US"/>
        </w:rPr>
        <w:lastRenderedPageBreak/>
        <w:t xml:space="preserve">⃰⃰⃰⃰⃰⃰ </w:t>
      </w:r>
      <w:r w:rsidR="00785336" w:rsidRPr="00977DD0">
        <w:rPr>
          <w:rFonts w:eastAsia="Calibri"/>
          <w:bCs/>
          <w:lang w:eastAsia="en-US"/>
        </w:rPr>
        <w:t>М</w:t>
      </w:r>
      <w:r w:rsidR="006729EA" w:rsidRPr="00977DD0">
        <w:rPr>
          <w:rFonts w:eastAsia="Calibri"/>
          <w:bCs/>
          <w:lang w:eastAsia="en-US"/>
        </w:rPr>
        <w:t>етодологія введення митної статистики не передбачає</w:t>
      </w:r>
      <w:r w:rsidR="003951F8" w:rsidRPr="00977DD0">
        <w:rPr>
          <w:rFonts w:eastAsia="Calibri"/>
          <w:bCs/>
          <w:lang w:eastAsia="en-US"/>
        </w:rPr>
        <w:t xml:space="preserve"> </w:t>
      </w:r>
      <w:r w:rsidR="00973B58" w:rsidRPr="00977DD0">
        <w:rPr>
          <w:rFonts w:eastAsia="Calibri"/>
          <w:bCs/>
          <w:lang w:eastAsia="en-US"/>
        </w:rPr>
        <w:t>для цілей митного оформлення збо</w:t>
      </w:r>
      <w:r w:rsidR="003951F8" w:rsidRPr="00977DD0">
        <w:rPr>
          <w:rFonts w:eastAsia="Calibri"/>
          <w:bCs/>
          <w:lang w:eastAsia="en-US"/>
        </w:rPr>
        <w:t>р</w:t>
      </w:r>
      <w:r w:rsidR="00973B58" w:rsidRPr="00977DD0">
        <w:rPr>
          <w:rFonts w:eastAsia="Calibri"/>
          <w:bCs/>
          <w:lang w:eastAsia="en-US"/>
        </w:rPr>
        <w:t>у та обробки</w:t>
      </w:r>
      <w:r w:rsidR="003951F8" w:rsidRPr="00977DD0">
        <w:rPr>
          <w:rFonts w:eastAsia="Calibri"/>
          <w:bCs/>
          <w:lang w:eastAsia="en-US"/>
        </w:rPr>
        <w:t xml:space="preserve"> інформації щодо к</w:t>
      </w:r>
      <w:r w:rsidR="001E2C6D" w:rsidRPr="00977DD0">
        <w:rPr>
          <w:rFonts w:eastAsia="Calibri"/>
          <w:bCs/>
          <w:lang w:eastAsia="en-US"/>
        </w:rPr>
        <w:t>ільк</w:t>
      </w:r>
      <w:r w:rsidR="003951F8" w:rsidRPr="00977DD0">
        <w:rPr>
          <w:rFonts w:eastAsia="Calibri"/>
          <w:bCs/>
          <w:lang w:eastAsia="en-US"/>
        </w:rPr>
        <w:t>о</w:t>
      </w:r>
      <w:r w:rsidR="001E2C6D" w:rsidRPr="00977DD0">
        <w:rPr>
          <w:rFonts w:eastAsia="Calibri"/>
          <w:bCs/>
          <w:lang w:eastAsia="en-US"/>
        </w:rPr>
        <w:t>ст</w:t>
      </w:r>
      <w:r w:rsidR="003951F8" w:rsidRPr="00977DD0">
        <w:rPr>
          <w:rFonts w:eastAsia="Calibri"/>
          <w:bCs/>
          <w:lang w:eastAsia="en-US"/>
        </w:rPr>
        <w:t>і</w:t>
      </w:r>
      <w:r w:rsidR="001E2C6D" w:rsidRPr="00977DD0">
        <w:rPr>
          <w:rFonts w:eastAsia="Calibri"/>
          <w:bCs/>
          <w:lang w:eastAsia="en-US"/>
        </w:rPr>
        <w:t xml:space="preserve"> суб’єктів господарювання, що підпадають під дію регулювання, у розрізі великих, середніх, малих та мікропідприємств</w:t>
      </w:r>
      <w:r w:rsidR="003951F8" w:rsidRPr="00977DD0">
        <w:rPr>
          <w:rFonts w:eastAsia="Calibri"/>
          <w:bCs/>
          <w:lang w:eastAsia="en-US"/>
        </w:rPr>
        <w:t>.</w:t>
      </w:r>
      <w:r w:rsidR="001E2C6D" w:rsidRPr="00977DD0">
        <w:rPr>
          <w:rFonts w:eastAsia="Calibri"/>
          <w:bCs/>
          <w:i/>
          <w:lang w:eastAsia="en-US"/>
        </w:rPr>
        <w:t xml:space="preserve"> </w:t>
      </w:r>
      <w:r w:rsidR="003951F8" w:rsidRPr="00977DD0">
        <w:rPr>
          <w:rFonts w:eastAsia="Calibri"/>
          <w:bCs/>
          <w:lang w:eastAsia="en-US"/>
        </w:rPr>
        <w:t>П</w:t>
      </w:r>
      <w:r w:rsidR="001E2C6D" w:rsidRPr="00977DD0">
        <w:rPr>
          <w:rFonts w:eastAsia="Calibri"/>
          <w:bCs/>
          <w:lang w:eastAsia="en-US"/>
        </w:rPr>
        <w:t>роблема однаково впливає на всіх суб’єктів господарювання незалежно від форми власності та рівня доходу.</w:t>
      </w:r>
    </w:p>
    <w:p w14:paraId="1C7701C7" w14:textId="77777777" w:rsidR="00973B58" w:rsidRPr="00977DD0" w:rsidRDefault="00973B58" w:rsidP="00B466F6">
      <w:pPr>
        <w:pStyle w:val="a8"/>
        <w:shd w:val="clear" w:color="auto" w:fill="FFFFFF" w:themeFill="background1"/>
        <w:ind w:left="0" w:firstLine="567"/>
        <w:jc w:val="both"/>
        <w:rPr>
          <w:rFonts w:eastAsia="Calibri"/>
          <w:bCs/>
          <w:i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1"/>
        <w:gridCol w:w="4013"/>
        <w:gridCol w:w="3191"/>
      </w:tblGrid>
      <w:tr w:rsidR="009A4B38" w:rsidRPr="00977DD0" w14:paraId="225E644E" w14:textId="77777777" w:rsidTr="00C3504A">
        <w:tc>
          <w:tcPr>
            <w:tcW w:w="2334" w:type="dxa"/>
          </w:tcPr>
          <w:p w14:paraId="5FFA3207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Вид альтернативи</w:t>
            </w:r>
          </w:p>
        </w:tc>
        <w:tc>
          <w:tcPr>
            <w:tcW w:w="4072" w:type="dxa"/>
          </w:tcPr>
          <w:p w14:paraId="1C5E2E35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Вигоди</w:t>
            </w:r>
          </w:p>
        </w:tc>
        <w:tc>
          <w:tcPr>
            <w:tcW w:w="3223" w:type="dxa"/>
          </w:tcPr>
          <w:p w14:paraId="641F5DCD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Витрати</w:t>
            </w:r>
          </w:p>
        </w:tc>
      </w:tr>
      <w:tr w:rsidR="009A4B38" w:rsidRPr="00977DD0" w14:paraId="13850599" w14:textId="77777777" w:rsidTr="00C3504A">
        <w:tc>
          <w:tcPr>
            <w:tcW w:w="2334" w:type="dxa"/>
          </w:tcPr>
          <w:p w14:paraId="1A3ACE38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1</w:t>
            </w:r>
          </w:p>
        </w:tc>
        <w:tc>
          <w:tcPr>
            <w:tcW w:w="4072" w:type="dxa"/>
          </w:tcPr>
          <w:p w14:paraId="5D05F191" w14:textId="3816A901" w:rsidR="009A4B38" w:rsidRPr="00977DD0" w:rsidRDefault="009A4B38" w:rsidP="00F058F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 xml:space="preserve">Реалізація норм </w:t>
            </w:r>
            <w:proofErr w:type="spellStart"/>
            <w:r w:rsidRPr="00977DD0">
              <w:rPr>
                <w:b w:val="0"/>
                <w:sz w:val="24"/>
                <w:szCs w:val="24"/>
              </w:rPr>
              <w:t>про</w:t>
            </w:r>
            <w:r w:rsidR="00F058F8" w:rsidRPr="00977DD0">
              <w:rPr>
                <w:b w:val="0"/>
                <w:sz w:val="24"/>
                <w:szCs w:val="24"/>
              </w:rPr>
              <w:t>є</w:t>
            </w:r>
            <w:r w:rsidR="00B466F6" w:rsidRPr="00977DD0">
              <w:rPr>
                <w:b w:val="0"/>
                <w:sz w:val="24"/>
                <w:szCs w:val="24"/>
              </w:rPr>
              <w:t>кту</w:t>
            </w:r>
            <w:proofErr w:type="spellEnd"/>
            <w:r w:rsidR="00B466F6" w:rsidRPr="00977DD0">
              <w:rPr>
                <w:b w:val="0"/>
                <w:sz w:val="24"/>
                <w:szCs w:val="24"/>
              </w:rPr>
              <w:t xml:space="preserve"> постанови </w:t>
            </w:r>
            <w:proofErr w:type="spellStart"/>
            <w:r w:rsidR="00B466F6" w:rsidRPr="00977DD0">
              <w:rPr>
                <w:b w:val="0"/>
                <w:sz w:val="24"/>
                <w:szCs w:val="24"/>
              </w:rPr>
              <w:t>надасть</w:t>
            </w:r>
            <w:proofErr w:type="spellEnd"/>
            <w:r w:rsidR="00B466F6" w:rsidRPr="00977DD0">
              <w:rPr>
                <w:b w:val="0"/>
                <w:sz w:val="24"/>
                <w:szCs w:val="24"/>
              </w:rPr>
              <w:t xml:space="preserve"> змогу</w:t>
            </w:r>
            <w:r w:rsidRPr="00977DD0">
              <w:rPr>
                <w:b w:val="0"/>
                <w:sz w:val="24"/>
                <w:szCs w:val="24"/>
              </w:rPr>
              <w:t xml:space="preserve"> суб’єктам господарювання </w:t>
            </w:r>
            <w:r w:rsidR="001C4069" w:rsidRPr="00977DD0">
              <w:rPr>
                <w:b w:val="0"/>
                <w:sz w:val="24"/>
                <w:szCs w:val="24"/>
              </w:rPr>
              <w:t>застосовувати</w:t>
            </w:r>
            <w:r w:rsidR="00860489" w:rsidRPr="00977DD0">
              <w:rPr>
                <w:b w:val="0"/>
                <w:sz w:val="24"/>
                <w:szCs w:val="24"/>
              </w:rPr>
              <w:t xml:space="preserve"> чітко визначені умови отримання товарами не</w:t>
            </w:r>
            <w:r w:rsidR="00B466F6" w:rsidRPr="00977DD0">
              <w:rPr>
                <w:b w:val="0"/>
                <w:sz w:val="24"/>
                <w:szCs w:val="24"/>
              </w:rPr>
              <w:t xml:space="preserve">преференційного походження для </w:t>
            </w:r>
            <w:r w:rsidR="00860489" w:rsidRPr="00977DD0">
              <w:rPr>
                <w:b w:val="0"/>
                <w:sz w:val="24"/>
                <w:szCs w:val="24"/>
              </w:rPr>
              <w:t xml:space="preserve">застосування </w:t>
            </w:r>
            <w:r w:rsidRPr="00977DD0">
              <w:rPr>
                <w:b w:val="0"/>
                <w:sz w:val="24"/>
                <w:szCs w:val="24"/>
              </w:rPr>
              <w:t>режим</w:t>
            </w:r>
            <w:r w:rsidR="00860489" w:rsidRPr="00977DD0">
              <w:rPr>
                <w:b w:val="0"/>
                <w:sz w:val="24"/>
                <w:szCs w:val="24"/>
              </w:rPr>
              <w:t>у</w:t>
            </w:r>
            <w:r w:rsidRPr="00977DD0">
              <w:rPr>
                <w:b w:val="0"/>
                <w:sz w:val="24"/>
                <w:szCs w:val="24"/>
              </w:rPr>
              <w:t xml:space="preserve"> найбільшого сприяння при</w:t>
            </w:r>
            <w:r w:rsidR="002B2478" w:rsidRPr="00977DD0">
              <w:rPr>
                <w:b w:val="0"/>
                <w:sz w:val="24"/>
                <w:szCs w:val="24"/>
              </w:rPr>
              <w:t xml:space="preserve"> їх</w:t>
            </w:r>
            <w:r w:rsidRPr="00977DD0">
              <w:rPr>
                <w:b w:val="0"/>
                <w:sz w:val="24"/>
                <w:szCs w:val="24"/>
              </w:rPr>
              <w:t xml:space="preserve"> імпорті в Україну </w:t>
            </w:r>
            <w:r w:rsidR="008E624B" w:rsidRPr="00977DD0">
              <w:rPr>
                <w:b w:val="0"/>
                <w:sz w:val="24"/>
                <w:szCs w:val="24"/>
              </w:rPr>
              <w:t>для</w:t>
            </w:r>
            <w:r w:rsidR="00860489" w:rsidRPr="00977DD0">
              <w:rPr>
                <w:b w:val="0"/>
                <w:sz w:val="24"/>
                <w:szCs w:val="24"/>
              </w:rPr>
              <w:t xml:space="preserve"> застосуванням</w:t>
            </w:r>
            <w:r w:rsidRPr="00977DD0">
              <w:rPr>
                <w:b w:val="0"/>
                <w:sz w:val="24"/>
                <w:szCs w:val="24"/>
              </w:rPr>
              <w:t xml:space="preserve"> пільгових ставок ввізного мита</w:t>
            </w:r>
            <w:r w:rsidR="00860489" w:rsidRPr="00977DD0">
              <w:rPr>
                <w:b w:val="0"/>
                <w:sz w:val="24"/>
                <w:szCs w:val="24"/>
              </w:rPr>
              <w:t xml:space="preserve"> Митного тарифу України.</w:t>
            </w:r>
          </w:p>
          <w:p w14:paraId="48111C7F" w14:textId="5439174A" w:rsidR="001C4069" w:rsidRPr="00977DD0" w:rsidRDefault="001C4069" w:rsidP="003A7938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 xml:space="preserve">Привести 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операці</w:t>
            </w:r>
            <w:r w:rsidR="003A79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ї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обробки або переробки, які надають</w:t>
            </w:r>
            <w:r w:rsidR="003A7938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окремим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товарам статус непреференційного походження в Україні</w:t>
            </w:r>
            <w:r w:rsidR="00B466F6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у відповідність з існуючими технологічними умовами їх виробництва</w:t>
            </w:r>
          </w:p>
        </w:tc>
        <w:tc>
          <w:tcPr>
            <w:tcW w:w="3223" w:type="dxa"/>
          </w:tcPr>
          <w:p w14:paraId="537EFF4A" w14:textId="5A6FAC35" w:rsidR="009A4B38" w:rsidRPr="00977DD0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Додаткові </w:t>
            </w:r>
            <w:r w:rsidR="00B466F6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витрати відсутні</w:t>
            </w:r>
          </w:p>
          <w:p w14:paraId="4A149AD7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</w:p>
        </w:tc>
      </w:tr>
      <w:tr w:rsidR="009A4B38" w:rsidRPr="00977DD0" w14:paraId="65F294DE" w14:textId="77777777" w:rsidTr="00C3504A">
        <w:tc>
          <w:tcPr>
            <w:tcW w:w="2334" w:type="dxa"/>
          </w:tcPr>
          <w:p w14:paraId="713469BD" w14:textId="77777777" w:rsidR="009A4B38" w:rsidRPr="00977DD0" w:rsidRDefault="009A4B38" w:rsidP="00FA0662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b w:val="0"/>
                <w:sz w:val="24"/>
                <w:szCs w:val="24"/>
              </w:rPr>
              <w:t>Альтернатива 2</w:t>
            </w:r>
          </w:p>
        </w:tc>
        <w:tc>
          <w:tcPr>
            <w:tcW w:w="4072" w:type="dxa"/>
          </w:tcPr>
          <w:p w14:paraId="02C9697B" w14:textId="0E41E9DE" w:rsidR="009A4B38" w:rsidRPr="00977DD0" w:rsidRDefault="009A4B38" w:rsidP="00FA0662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Залишаючи діюче регулювання без змін, виго</w:t>
            </w:r>
            <w:r w:rsidR="00B466F6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ди відсутні, оскільки проблема залишається невирішеною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23" w:type="dxa"/>
          </w:tcPr>
          <w:p w14:paraId="03E043DE" w14:textId="47155ECB" w:rsidR="009A4B38" w:rsidRPr="00977DD0" w:rsidRDefault="009A4B38" w:rsidP="00525FB1">
            <w:pPr>
              <w:pStyle w:val="3"/>
              <w:spacing w:before="0" w:beforeAutospacing="0" w:after="0" w:afterAutospacing="0"/>
              <w:jc w:val="both"/>
              <w:outlineLvl w:val="2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Витрати високі</w:t>
            </w:r>
            <w:r w:rsidR="00880043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Pr="00977DD0">
              <w:rPr>
                <w:rFonts w:eastAsia="Calibri"/>
                <w:b w:val="0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Непривабливий інвестиційний клімат </w:t>
            </w:r>
            <w:r w:rsidR="00525FB1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у зв’язку із</w:t>
            </w: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2841E0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застосування</w:t>
            </w:r>
            <w:r w:rsidR="00525FB1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м</w:t>
            </w:r>
            <w:r w:rsidR="002841E0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 Україні правил визначення непреференційного походження</w:t>
            </w:r>
            <w:r w:rsidR="00B466F6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,</w:t>
            </w:r>
            <w:r w:rsidR="002841E0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відмінних від правил,</w:t>
            </w:r>
            <w:r w:rsidR="00AB5A19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r w:rsidR="002841E0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що заст</w:t>
            </w:r>
            <w:r w:rsidR="00B466F6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осовуються в Європейському Союзі</w:t>
            </w:r>
            <w:r w:rsidR="00525FB1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.</w:t>
            </w:r>
            <w:r w:rsidR="002841E0"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</w:p>
          <w:p w14:paraId="4D984742" w14:textId="77777777" w:rsidR="001C4069" w:rsidRPr="00977DD0" w:rsidRDefault="001C4069" w:rsidP="00525FB1">
            <w:pPr>
              <w:pStyle w:val="3"/>
              <w:spacing w:before="0" w:beforeAutospacing="0" w:after="0" w:afterAutospacing="0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977DD0">
              <w:rPr>
                <w:rFonts w:eastAsia="Calibri"/>
                <w:b w:val="0"/>
                <w:sz w:val="24"/>
                <w:szCs w:val="24"/>
                <w:lang w:eastAsia="en-US"/>
              </w:rPr>
              <w:t>Можливі непорозуміння між митницями Держмитслужби  та суб’єктами господарювання з питання правильності визначення непреференційного походження товару</w:t>
            </w:r>
          </w:p>
        </w:tc>
      </w:tr>
    </w:tbl>
    <w:p w14:paraId="2645FAC4" w14:textId="77777777" w:rsidR="009A4B38" w:rsidRPr="00977DD0" w:rsidRDefault="009A4B38" w:rsidP="009A4B38">
      <w:pPr>
        <w:pStyle w:val="3"/>
        <w:spacing w:before="0" w:beforeAutospacing="0" w:after="0" w:afterAutospacing="0"/>
        <w:rPr>
          <w:sz w:val="24"/>
          <w:szCs w:val="24"/>
        </w:rPr>
      </w:pPr>
    </w:p>
    <w:p w14:paraId="65B1FD2E" w14:textId="77777777" w:rsidR="003F4AC1" w:rsidRPr="00977DD0" w:rsidRDefault="003F4AC1" w:rsidP="003F4AC1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Реалізація </w:t>
      </w:r>
      <w:proofErr w:type="spellStart"/>
      <w:r w:rsidRPr="00977DD0">
        <w:rPr>
          <w:b w:val="0"/>
          <w:sz w:val="28"/>
          <w:szCs w:val="28"/>
        </w:rPr>
        <w:t>проєкту</w:t>
      </w:r>
      <w:proofErr w:type="spellEnd"/>
      <w:r w:rsidRPr="00977DD0">
        <w:rPr>
          <w:b w:val="0"/>
          <w:sz w:val="28"/>
          <w:szCs w:val="28"/>
        </w:rPr>
        <w:t xml:space="preserve"> постанови не потребує фінансування з державного чи місцевого бюджетів. </w:t>
      </w:r>
    </w:p>
    <w:p w14:paraId="784AAE97" w14:textId="10EF329B" w:rsidR="003F4AC1" w:rsidRPr="00977DD0" w:rsidRDefault="003F4AC1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437521C0" w14:textId="66BE743D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337E29CB" w14:textId="7894CC39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7F6B9FA3" w14:textId="41BCCD65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03206D24" w14:textId="77777777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4B03D80B" w14:textId="77777777" w:rsidR="006A2311" w:rsidRPr="00977DD0" w:rsidRDefault="006A2311" w:rsidP="009A4B38">
      <w:pPr>
        <w:pStyle w:val="3"/>
        <w:spacing w:before="0" w:beforeAutospacing="0" w:after="0" w:afterAutospacing="0"/>
        <w:jc w:val="center"/>
        <w:rPr>
          <w:b w:val="0"/>
          <w:sz w:val="28"/>
          <w:szCs w:val="28"/>
        </w:rPr>
      </w:pPr>
    </w:p>
    <w:p w14:paraId="6418D1BC" w14:textId="77777777" w:rsidR="00C3504A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lastRenderedPageBreak/>
        <w:t xml:space="preserve">IV. Вибір найбільш оптимального альтернативного способу </w:t>
      </w:r>
    </w:p>
    <w:p w14:paraId="2733154E" w14:textId="77777777" w:rsidR="009A4B38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>досягнення цілей</w:t>
      </w:r>
    </w:p>
    <w:p w14:paraId="6DC51C69" w14:textId="77777777" w:rsidR="009926A3" w:rsidRPr="00977DD0" w:rsidRDefault="009926A3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3DDFE87F" w14:textId="77777777" w:rsidR="009926A3" w:rsidRPr="00977DD0" w:rsidRDefault="009926A3" w:rsidP="009926A3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За результатом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 визначених цілей.</w:t>
      </w:r>
    </w:p>
    <w:p w14:paraId="51E72FD2" w14:textId="5BA49E85" w:rsidR="00C3504A" w:rsidRPr="00977DD0" w:rsidRDefault="009926A3" w:rsidP="009926A3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Вартість балів визначається за чотирибальною сис</w:t>
      </w:r>
      <w:r w:rsidR="00B466F6" w:rsidRPr="00977DD0">
        <w:rPr>
          <w:b w:val="0"/>
          <w:sz w:val="28"/>
          <w:szCs w:val="28"/>
        </w:rPr>
        <w:t>темою оцінки ступеня досягнення</w:t>
      </w:r>
      <w:r w:rsidRPr="00977DD0">
        <w:rPr>
          <w:b w:val="0"/>
          <w:sz w:val="28"/>
          <w:szCs w:val="28"/>
        </w:rPr>
        <w:t xml:space="preserve"> визначених цілей.   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2"/>
        <w:gridCol w:w="2854"/>
        <w:gridCol w:w="4613"/>
      </w:tblGrid>
      <w:tr w:rsidR="009A4B38" w:rsidRPr="00977DD0" w14:paraId="3132C895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226368" w14:textId="77777777" w:rsidR="009A4B38" w:rsidRPr="00977DD0" w:rsidRDefault="009A4B38" w:rsidP="00FA0662">
            <w:pPr>
              <w:jc w:val="center"/>
            </w:pPr>
            <w:r w:rsidRPr="00977DD0">
              <w:t>Рейтинг результативності (досягнення цілей під час вирішення проблеми)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4C57A3" w14:textId="77777777" w:rsidR="009A4B38" w:rsidRPr="00977DD0" w:rsidRDefault="009A4B38" w:rsidP="00FA0662">
            <w:pPr>
              <w:jc w:val="center"/>
            </w:pPr>
            <w:r w:rsidRPr="00977DD0">
              <w:t>Бал результативності (за чотирибальною системою оцінки)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ACACD4C" w14:textId="77777777" w:rsidR="009A4B38" w:rsidRPr="00977DD0" w:rsidRDefault="009A4B38" w:rsidP="00FA0662">
            <w:pPr>
              <w:jc w:val="center"/>
            </w:pPr>
            <w:r w:rsidRPr="00977DD0">
              <w:t xml:space="preserve">Коментарі щодо присвоєння відповідного </w:t>
            </w:r>
            <w:proofErr w:type="spellStart"/>
            <w:r w:rsidRPr="00977DD0">
              <w:t>бала</w:t>
            </w:r>
            <w:proofErr w:type="spellEnd"/>
          </w:p>
        </w:tc>
      </w:tr>
      <w:tr w:rsidR="009A4B38" w:rsidRPr="00977DD0" w14:paraId="460F1EE2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45CC28" w14:textId="77777777" w:rsidR="009A4B38" w:rsidRPr="00977DD0" w:rsidRDefault="009A4B38" w:rsidP="00FA0662">
            <w:pPr>
              <w:jc w:val="both"/>
            </w:pPr>
            <w:r w:rsidRPr="00977DD0">
              <w:t>Альтернатива 1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B5CDB6" w14:textId="77777777" w:rsidR="009A4B38" w:rsidRPr="00977DD0" w:rsidRDefault="009A4B38" w:rsidP="00FA0662">
            <w:pPr>
              <w:jc w:val="center"/>
            </w:pPr>
            <w:r w:rsidRPr="00977DD0">
              <w:t>3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A174EA" w14:textId="69971CBC" w:rsidR="009A4B38" w:rsidRPr="00977DD0" w:rsidRDefault="009A4B38" w:rsidP="00FA0662">
            <w:pPr>
              <w:jc w:val="both"/>
            </w:pPr>
            <w:r w:rsidRPr="00977DD0">
              <w:t>Цілі прийняття регулято</w:t>
            </w:r>
            <w:r w:rsidR="007C6621" w:rsidRPr="00977DD0">
              <w:t xml:space="preserve">рного </w:t>
            </w:r>
            <w:proofErr w:type="spellStart"/>
            <w:r w:rsidR="007C6621" w:rsidRPr="00977DD0">
              <w:t>акта</w:t>
            </w:r>
            <w:proofErr w:type="spellEnd"/>
            <w:r w:rsidR="007C6621" w:rsidRPr="00977DD0">
              <w:t xml:space="preserve"> можуть бути досягнуті</w:t>
            </w:r>
            <w:r w:rsidRPr="00977DD0">
              <w:t xml:space="preserve"> повною міро</w:t>
            </w:r>
            <w:r w:rsidR="0049418E" w:rsidRPr="00977DD0">
              <w:t>ю</w:t>
            </w:r>
          </w:p>
        </w:tc>
      </w:tr>
      <w:tr w:rsidR="009A4B38" w:rsidRPr="00977DD0" w14:paraId="0BACC5FA" w14:textId="77777777" w:rsidTr="003A76C6">
        <w:trPr>
          <w:tblCellSpacing w:w="22" w:type="dxa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D2090D4" w14:textId="77777777" w:rsidR="009A4B38" w:rsidRPr="00977DD0" w:rsidRDefault="009A4B38" w:rsidP="00FA0662">
            <w:pPr>
              <w:jc w:val="both"/>
            </w:pPr>
            <w:r w:rsidRPr="00977DD0">
              <w:t>Альтернатива 2</w:t>
            </w:r>
          </w:p>
        </w:tc>
        <w:tc>
          <w:tcPr>
            <w:tcW w:w="1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60EEDA" w14:textId="77777777" w:rsidR="009A4B38" w:rsidRPr="00977DD0" w:rsidRDefault="009A4B38" w:rsidP="00FA0662">
            <w:pPr>
              <w:jc w:val="center"/>
            </w:pPr>
            <w:r w:rsidRPr="00977DD0">
              <w:t>1</w:t>
            </w:r>
          </w:p>
        </w:tc>
        <w:tc>
          <w:tcPr>
            <w:tcW w:w="2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B8193C" w14:textId="51AAFE31" w:rsidR="009A4B38" w:rsidRPr="00977DD0" w:rsidRDefault="004A5250" w:rsidP="004A5250">
            <w:pPr>
              <w:jc w:val="both"/>
            </w:pPr>
            <w:r w:rsidRPr="00977DD0">
              <w:t>Альтернатива 2 н</w:t>
            </w:r>
            <w:r w:rsidR="0049418E" w:rsidRPr="00977DD0">
              <w:t>е дає змоги</w:t>
            </w:r>
            <w:r w:rsidR="009A4B38" w:rsidRPr="00977DD0">
              <w:t xml:space="preserve"> досягнути поставлен</w:t>
            </w:r>
            <w:r w:rsidR="0049418E" w:rsidRPr="00977DD0">
              <w:t>их цілей державного регулювання</w:t>
            </w:r>
            <w:r w:rsidR="009A4B38" w:rsidRPr="00977DD0">
              <w:t xml:space="preserve"> </w:t>
            </w:r>
          </w:p>
        </w:tc>
      </w:tr>
    </w:tbl>
    <w:p w14:paraId="7E33BD9E" w14:textId="77777777" w:rsidR="002F399D" w:rsidRPr="00977DD0" w:rsidRDefault="002F399D" w:rsidP="009A4B3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74"/>
        <w:gridCol w:w="4030"/>
        <w:gridCol w:w="1227"/>
        <w:gridCol w:w="2178"/>
      </w:tblGrid>
      <w:tr w:rsidR="00C06E1D" w:rsidRPr="00977DD0" w14:paraId="5C473229" w14:textId="77777777" w:rsidTr="005A3A0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E4046" w14:textId="77777777" w:rsidR="002B2478" w:rsidRPr="00977DD0" w:rsidRDefault="002B2478" w:rsidP="002B2478">
            <w:pPr>
              <w:jc w:val="center"/>
            </w:pPr>
            <w:r w:rsidRPr="00977DD0">
              <w:t xml:space="preserve">Рейтинг результативності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F48A3B" w14:textId="77777777" w:rsidR="002B2478" w:rsidRPr="00977DD0" w:rsidRDefault="002B2478" w:rsidP="00857310">
            <w:pPr>
              <w:jc w:val="center"/>
            </w:pPr>
            <w:r w:rsidRPr="00977DD0">
              <w:t>Вигоди (підсумок)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7DA3F" w14:textId="77777777" w:rsidR="002B2478" w:rsidRPr="00977DD0" w:rsidRDefault="002B2478" w:rsidP="00857310">
            <w:pPr>
              <w:jc w:val="center"/>
            </w:pPr>
          </w:p>
          <w:p w14:paraId="642C4A13" w14:textId="77777777" w:rsidR="002B2478" w:rsidRPr="00977DD0" w:rsidRDefault="002B2478" w:rsidP="00857310">
            <w:pPr>
              <w:jc w:val="center"/>
            </w:pPr>
            <w:r w:rsidRPr="00977DD0">
              <w:t xml:space="preserve">Витрати </w:t>
            </w:r>
          </w:p>
          <w:p w14:paraId="122294AB" w14:textId="77777777" w:rsidR="002B2478" w:rsidRPr="00977DD0" w:rsidRDefault="002B2478" w:rsidP="00857310">
            <w:pPr>
              <w:jc w:val="center"/>
            </w:pPr>
            <w:r w:rsidRPr="00977DD0">
              <w:t>(підсумок)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AE2ED3" w14:textId="77777777" w:rsidR="002B2478" w:rsidRPr="00977DD0" w:rsidRDefault="002B2478" w:rsidP="002B2478">
            <w:pPr>
              <w:jc w:val="both"/>
            </w:pPr>
            <w:r w:rsidRPr="00977DD0">
              <w:t>Обґрунтування відповідного                         місця альтернативи у рейтингу</w:t>
            </w:r>
          </w:p>
        </w:tc>
      </w:tr>
      <w:tr w:rsidR="00C06E1D" w:rsidRPr="00977DD0" w14:paraId="2E1FF8FA" w14:textId="77777777" w:rsidTr="005A3A0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5C431C" w14:textId="77777777" w:rsidR="002B2478" w:rsidRPr="00977DD0" w:rsidRDefault="002B2478" w:rsidP="00857310">
            <w:pPr>
              <w:jc w:val="both"/>
            </w:pPr>
            <w:r w:rsidRPr="00977DD0">
              <w:t>Альтернатива 1</w:t>
            </w:r>
          </w:p>
          <w:p w14:paraId="18875873" w14:textId="77777777" w:rsidR="00830A24" w:rsidRPr="00977DD0" w:rsidRDefault="00830A24" w:rsidP="00857310">
            <w:pPr>
              <w:jc w:val="both"/>
            </w:pPr>
          </w:p>
          <w:p w14:paraId="1B58EE00" w14:textId="77777777" w:rsidR="002B2478" w:rsidRPr="00977DD0" w:rsidRDefault="002B2478" w:rsidP="00857310">
            <w:pPr>
              <w:jc w:val="both"/>
            </w:pPr>
            <w:r w:rsidRPr="00977DD0">
              <w:t xml:space="preserve">Реалізація норм </w:t>
            </w:r>
            <w:proofErr w:type="spellStart"/>
            <w:r w:rsidRPr="00977DD0">
              <w:t>проєкту</w:t>
            </w:r>
            <w:proofErr w:type="spellEnd"/>
            <w:r w:rsidRPr="00977DD0">
              <w:t xml:space="preserve"> постанови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AF2EA5" w14:textId="6FA01CF6" w:rsidR="002B2478" w:rsidRPr="00977DD0" w:rsidRDefault="008E624B" w:rsidP="00C06E1D">
            <w:pPr>
              <w:jc w:val="both"/>
            </w:pPr>
            <w:r w:rsidRPr="00977DD0">
              <w:t>Вирішення проблеми визначення чітких умов непреференційного походжен</w:t>
            </w:r>
            <w:r w:rsidR="00F26E1A" w:rsidRPr="00977DD0">
              <w:t xml:space="preserve">ня окремих товарів  </w:t>
            </w:r>
            <w:proofErr w:type="spellStart"/>
            <w:r w:rsidR="00F26E1A" w:rsidRPr="00977DD0">
              <w:t>надасть</w:t>
            </w:r>
            <w:proofErr w:type="spellEnd"/>
            <w:r w:rsidR="00F26E1A" w:rsidRPr="00977DD0">
              <w:t xml:space="preserve"> змогу</w:t>
            </w:r>
            <w:r w:rsidR="0049418E" w:rsidRPr="00977DD0">
              <w:t xml:space="preserve"> </w:t>
            </w:r>
            <w:r w:rsidRPr="00977DD0">
              <w:t>застосовувати до них режим найбільшого сприяння та</w:t>
            </w:r>
            <w:r w:rsidR="00C06E1D" w:rsidRPr="00977DD0">
              <w:t xml:space="preserve"> </w:t>
            </w:r>
            <w:r w:rsidRPr="00977DD0">
              <w:t>пільгові ставки ввізного мита Митного тарифу України. Виконання міжнародних зобов’язань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D5613" w14:textId="77777777" w:rsidR="002B2478" w:rsidRPr="00977DD0" w:rsidRDefault="00C06E1D" w:rsidP="00C06E1D">
            <w:pPr>
              <w:jc w:val="center"/>
            </w:pPr>
            <w:r w:rsidRPr="00977DD0">
              <w:t>в</w:t>
            </w:r>
            <w:r w:rsidR="008E624B" w:rsidRPr="00977DD0">
              <w:t>ідсут</w:t>
            </w:r>
            <w:r w:rsidRPr="00977DD0">
              <w:t>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FBBA1F" w14:textId="14A67BC8" w:rsidR="002B2478" w:rsidRPr="00977DD0" w:rsidRDefault="00C06E1D" w:rsidP="00857310">
            <w:pPr>
              <w:jc w:val="both"/>
            </w:pPr>
            <w:r w:rsidRPr="00977DD0">
              <w:t xml:space="preserve"> Цілі прийняття регуляторного </w:t>
            </w:r>
            <w:proofErr w:type="spellStart"/>
            <w:r w:rsidRPr="00977DD0">
              <w:t>акта</w:t>
            </w:r>
            <w:proofErr w:type="spellEnd"/>
            <w:r w:rsidRPr="00977DD0">
              <w:t xml:space="preserve"> можуть бути реалізовані повною  </w:t>
            </w:r>
            <w:r w:rsidR="0049418E" w:rsidRPr="00977DD0">
              <w:t>мірою</w:t>
            </w:r>
          </w:p>
        </w:tc>
      </w:tr>
      <w:tr w:rsidR="00C06E1D" w:rsidRPr="00977DD0" w14:paraId="070214DD" w14:textId="77777777" w:rsidTr="005A3A08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9F4DC3" w14:textId="77777777" w:rsidR="002B2478" w:rsidRPr="00977DD0" w:rsidRDefault="002B2478" w:rsidP="00857310">
            <w:pPr>
              <w:jc w:val="both"/>
            </w:pPr>
            <w:r w:rsidRPr="00977DD0">
              <w:t>Альтернатива 2</w:t>
            </w:r>
          </w:p>
          <w:p w14:paraId="4976FB7E" w14:textId="77777777" w:rsidR="00830A24" w:rsidRPr="00977DD0" w:rsidRDefault="00830A24" w:rsidP="00857310">
            <w:pPr>
              <w:jc w:val="both"/>
              <w:rPr>
                <w:rFonts w:eastAsia="Calibri"/>
                <w:lang w:eastAsia="en-US"/>
              </w:rPr>
            </w:pPr>
          </w:p>
          <w:p w14:paraId="749AFFD0" w14:textId="77777777" w:rsidR="002B2478" w:rsidRPr="00977DD0" w:rsidRDefault="002B2478" w:rsidP="00830A24">
            <w:pPr>
              <w:jc w:val="both"/>
            </w:pPr>
            <w:r w:rsidRPr="00977DD0">
              <w:rPr>
                <w:rFonts w:eastAsia="Calibri"/>
                <w:lang w:eastAsia="en-US"/>
              </w:rPr>
              <w:t>Залиши</w:t>
            </w:r>
            <w:r w:rsidR="00830A24" w:rsidRPr="00977DD0">
              <w:rPr>
                <w:rFonts w:eastAsia="Calibri"/>
                <w:lang w:eastAsia="en-US"/>
              </w:rPr>
              <w:t>ти</w:t>
            </w:r>
            <w:r w:rsidRPr="00977DD0">
              <w:rPr>
                <w:rFonts w:eastAsia="Calibri"/>
                <w:lang w:eastAsia="en-US"/>
              </w:rPr>
              <w:t> діюче регулювання без змін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450200" w14:textId="13556546" w:rsidR="002B2478" w:rsidRPr="00977DD0" w:rsidRDefault="002B2478" w:rsidP="0049418E">
            <w:pPr>
              <w:jc w:val="both"/>
            </w:pPr>
            <w:r w:rsidRPr="00977DD0">
              <w:rPr>
                <w:bCs/>
              </w:rPr>
              <w:t xml:space="preserve">Відсутні, оскільки подальша відсутність нормативного врегулювання </w:t>
            </w:r>
            <w:r w:rsidR="008E624B" w:rsidRPr="00977DD0">
              <w:t>визначення чітких умов непреференційного походже</w:t>
            </w:r>
            <w:r w:rsidR="00F26E1A" w:rsidRPr="00977DD0">
              <w:t>ння окремих товарів не дасть змоги</w:t>
            </w:r>
            <w:r w:rsidR="008E624B" w:rsidRPr="00977DD0">
              <w:t xml:space="preserve">   застосовувати до них режим найбільшого сприяння </w:t>
            </w:r>
            <w:r w:rsidR="00C06E1D" w:rsidRPr="00977DD0">
              <w:t>та</w:t>
            </w:r>
            <w:r w:rsidR="008E624B" w:rsidRPr="00977DD0">
              <w:t xml:space="preserve"> пільгов</w:t>
            </w:r>
            <w:r w:rsidR="00C06E1D" w:rsidRPr="00977DD0">
              <w:t>і</w:t>
            </w:r>
            <w:r w:rsidR="008E624B" w:rsidRPr="00977DD0">
              <w:t xml:space="preserve"> ставк</w:t>
            </w:r>
            <w:r w:rsidR="00C06E1D" w:rsidRPr="00977DD0">
              <w:t>и</w:t>
            </w:r>
            <w:r w:rsidR="008E624B" w:rsidRPr="00977DD0">
              <w:t xml:space="preserve"> ввізного мита</w:t>
            </w:r>
            <w:r w:rsidR="0049418E" w:rsidRPr="00977DD0">
              <w:rPr>
                <w:b/>
              </w:rPr>
              <w:t xml:space="preserve"> </w:t>
            </w:r>
            <w:r w:rsidR="0049418E" w:rsidRPr="00977DD0">
              <w:t>Митного тарифу України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6A6310" w14:textId="77777777" w:rsidR="002B2478" w:rsidRPr="00977DD0" w:rsidRDefault="008E624B" w:rsidP="008E624B">
            <w:pPr>
              <w:jc w:val="center"/>
            </w:pPr>
            <w:r w:rsidRPr="00977DD0">
              <w:t>відсутні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6724F7" w14:textId="77777777" w:rsidR="002B2478" w:rsidRPr="00977DD0" w:rsidRDefault="008E624B" w:rsidP="00857310">
            <w:pPr>
              <w:jc w:val="both"/>
            </w:pPr>
            <w:r w:rsidRPr="00977DD0">
              <w:rPr>
                <w:bCs/>
              </w:rPr>
              <w:t>Є недопустимим, оскільки не вирішує цілей державного регулювання</w:t>
            </w:r>
          </w:p>
        </w:tc>
      </w:tr>
    </w:tbl>
    <w:p w14:paraId="0B789DFA" w14:textId="4C32F791" w:rsidR="00830A24" w:rsidRPr="00977DD0" w:rsidRDefault="00830A24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5A50563F" w14:textId="51A019C2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06090D3C" w14:textId="77777777" w:rsidR="00F26E1A" w:rsidRPr="00977DD0" w:rsidRDefault="00F26E1A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0F755876" w14:textId="77777777" w:rsidR="006A2311" w:rsidRPr="00977DD0" w:rsidRDefault="006A2311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14:paraId="2D5132A0" w14:textId="77777777" w:rsidR="009A4B38" w:rsidRPr="00977DD0" w:rsidRDefault="009A4B38" w:rsidP="009A4B38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lastRenderedPageBreak/>
        <w:t>V. Механізми та заходи, які забезпечать розв’язання визначеної проблеми</w:t>
      </w:r>
    </w:p>
    <w:p w14:paraId="1F0FDD73" w14:textId="77777777" w:rsidR="00C3504A" w:rsidRPr="00977DD0" w:rsidRDefault="00C3504A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3EAF3688" w14:textId="2438D2EE" w:rsidR="009A4B38" w:rsidRPr="00977DD0" w:rsidRDefault="00AE4D58" w:rsidP="00867FC0">
      <w:pPr>
        <w:pStyle w:val="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Механізмом, який забезпечить р</w:t>
      </w:r>
      <w:r w:rsidR="009A4B38" w:rsidRPr="00977DD0">
        <w:rPr>
          <w:b w:val="0"/>
          <w:sz w:val="28"/>
          <w:szCs w:val="28"/>
        </w:rPr>
        <w:t xml:space="preserve">озв’язання </w:t>
      </w:r>
      <w:r w:rsidRPr="00977DD0">
        <w:rPr>
          <w:b w:val="0"/>
          <w:sz w:val="28"/>
          <w:szCs w:val="28"/>
        </w:rPr>
        <w:t xml:space="preserve">визначеної </w:t>
      </w:r>
      <w:r w:rsidR="009A4B38" w:rsidRPr="00977DD0">
        <w:rPr>
          <w:b w:val="0"/>
          <w:sz w:val="28"/>
          <w:szCs w:val="28"/>
        </w:rPr>
        <w:t>проблеми</w:t>
      </w:r>
      <w:r w:rsidRPr="00977DD0">
        <w:rPr>
          <w:b w:val="0"/>
          <w:sz w:val="28"/>
          <w:szCs w:val="28"/>
        </w:rPr>
        <w:t>, є</w:t>
      </w:r>
      <w:r w:rsidR="009A4B38" w:rsidRPr="00977DD0">
        <w:rPr>
          <w:b w:val="0"/>
          <w:sz w:val="28"/>
          <w:szCs w:val="28"/>
        </w:rPr>
        <w:t xml:space="preserve">  прийнятт</w:t>
      </w:r>
      <w:r w:rsidR="00B466F6" w:rsidRPr="00977DD0">
        <w:rPr>
          <w:b w:val="0"/>
          <w:sz w:val="28"/>
          <w:szCs w:val="28"/>
        </w:rPr>
        <w:t xml:space="preserve">я зазначеного регуляторного </w:t>
      </w:r>
      <w:proofErr w:type="spellStart"/>
      <w:r w:rsidR="00B466F6" w:rsidRPr="00977DD0">
        <w:rPr>
          <w:b w:val="0"/>
          <w:sz w:val="28"/>
          <w:szCs w:val="28"/>
        </w:rPr>
        <w:t>акта</w:t>
      </w:r>
      <w:proofErr w:type="spellEnd"/>
      <w:r w:rsidR="009A4B38" w:rsidRPr="00977DD0">
        <w:rPr>
          <w:b w:val="0"/>
          <w:sz w:val="28"/>
          <w:szCs w:val="28"/>
        </w:rPr>
        <w:t xml:space="preserve">. </w:t>
      </w:r>
    </w:p>
    <w:p w14:paraId="00EF4002" w14:textId="77777777" w:rsidR="00FB00C9" w:rsidRPr="00977DD0" w:rsidRDefault="00F63038" w:rsidP="00867FC0">
      <w:pPr>
        <w:pStyle w:val="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Пропонується</w:t>
      </w:r>
      <w:r w:rsidR="00F26E1A" w:rsidRPr="00977DD0">
        <w:rPr>
          <w:b w:val="0"/>
          <w:sz w:val="28"/>
          <w:szCs w:val="28"/>
        </w:rPr>
        <w:t xml:space="preserve"> прийняти </w:t>
      </w:r>
      <w:proofErr w:type="spellStart"/>
      <w:r w:rsidR="00F26E1A" w:rsidRPr="00977DD0">
        <w:rPr>
          <w:b w:val="0"/>
          <w:sz w:val="28"/>
          <w:szCs w:val="28"/>
        </w:rPr>
        <w:t>проєкт</w:t>
      </w:r>
      <w:proofErr w:type="spellEnd"/>
      <w:r w:rsidR="00F26E1A" w:rsidRPr="00977DD0">
        <w:rPr>
          <w:b w:val="0"/>
          <w:sz w:val="28"/>
          <w:szCs w:val="28"/>
        </w:rPr>
        <w:t xml:space="preserve"> постанови, яким</w:t>
      </w:r>
      <w:r w:rsidR="00FB00C9" w:rsidRPr="00977DD0">
        <w:rPr>
          <w:b w:val="0"/>
          <w:sz w:val="28"/>
          <w:szCs w:val="28"/>
        </w:rPr>
        <w:t xml:space="preserve"> передбачається:</w:t>
      </w:r>
    </w:p>
    <w:p w14:paraId="68C1BC7C" w14:textId="29816533" w:rsidR="00FB00C9" w:rsidRPr="00977DD0" w:rsidRDefault="00F63038" w:rsidP="00FB00C9">
      <w:pPr>
        <w:pStyle w:val="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уточнити перелік виробничих і технологічних операцій у додатку до постанови Кабінету Міністрів України від 20 грудня 2006 р. № 1765</w:t>
      </w:r>
      <w:r w:rsidR="00F26E1A" w:rsidRPr="00977DD0">
        <w:rPr>
          <w:b w:val="0"/>
          <w:sz w:val="28"/>
          <w:szCs w:val="28"/>
        </w:rPr>
        <w:t xml:space="preserve"> «Про порядок встановлення та застосування правила </w:t>
      </w:r>
      <w:proofErr w:type="spellStart"/>
      <w:r w:rsidR="00F26E1A" w:rsidRPr="00977DD0">
        <w:rPr>
          <w:b w:val="0"/>
          <w:sz w:val="28"/>
          <w:szCs w:val="28"/>
        </w:rPr>
        <w:t>адвалорної</w:t>
      </w:r>
      <w:proofErr w:type="spellEnd"/>
      <w:r w:rsidR="00F26E1A" w:rsidRPr="00977DD0">
        <w:rPr>
          <w:b w:val="0"/>
          <w:sz w:val="28"/>
          <w:szCs w:val="28"/>
        </w:rPr>
        <w:t xml:space="preserve"> частки та виконання виробничих і технологічних операцій»</w:t>
      </w:r>
      <w:r w:rsidRPr="00977DD0">
        <w:rPr>
          <w:b w:val="0"/>
          <w:sz w:val="28"/>
          <w:szCs w:val="28"/>
        </w:rPr>
        <w:t>, за якими  визначається країна походження товарів, що класифікуються за кодами згідно із УК</w:t>
      </w:r>
      <w:r w:rsidR="00FB00C9" w:rsidRPr="00977DD0">
        <w:rPr>
          <w:b w:val="0"/>
          <w:sz w:val="28"/>
          <w:szCs w:val="28"/>
        </w:rPr>
        <w:t xml:space="preserve">ТЗЕД 0206 (м’ясні субпродукти), </w:t>
      </w:r>
      <w:r w:rsidRPr="00977DD0">
        <w:rPr>
          <w:b w:val="0"/>
          <w:sz w:val="28"/>
          <w:szCs w:val="28"/>
        </w:rPr>
        <w:t xml:space="preserve">групи 11 (продукція борошномельно-круп’яної промисловості), </w:t>
      </w:r>
      <w:proofErr w:type="spellStart"/>
      <w:r w:rsidRPr="00977DD0">
        <w:rPr>
          <w:b w:val="0"/>
          <w:sz w:val="28"/>
          <w:szCs w:val="28"/>
        </w:rPr>
        <w:t>ex</w:t>
      </w:r>
      <w:proofErr w:type="spellEnd"/>
      <w:r w:rsidRPr="00977DD0">
        <w:rPr>
          <w:b w:val="0"/>
          <w:sz w:val="28"/>
          <w:szCs w:val="28"/>
        </w:rPr>
        <w:t xml:space="preserve"> 2009 (виноградний сік), групи 84, 85 (напівпровідникова електрична апаратура) та </w:t>
      </w:r>
      <w:proofErr w:type="spellStart"/>
      <w:r w:rsidRPr="00977DD0">
        <w:rPr>
          <w:b w:val="0"/>
          <w:sz w:val="28"/>
          <w:szCs w:val="28"/>
        </w:rPr>
        <w:t>ex</w:t>
      </w:r>
      <w:proofErr w:type="spellEnd"/>
      <w:r w:rsidRPr="00977DD0">
        <w:rPr>
          <w:b w:val="0"/>
          <w:sz w:val="28"/>
          <w:szCs w:val="28"/>
        </w:rPr>
        <w:t xml:space="preserve"> 9029 (напівпровідниковий компонент, що зондує магнітне поле, на основі магніточутливих резистивних елементів, з додатковим компонентом для</w:t>
      </w:r>
      <w:r w:rsidR="00FB00C9" w:rsidRPr="00977DD0">
        <w:rPr>
          <w:b w:val="0"/>
          <w:sz w:val="28"/>
          <w:szCs w:val="28"/>
        </w:rPr>
        <w:t xml:space="preserve"> кондиціонування сигналу чи ні);</w:t>
      </w:r>
    </w:p>
    <w:p w14:paraId="61CC12B2" w14:textId="64DA72F5" w:rsidR="00FB00C9" w:rsidRPr="00977DD0" w:rsidRDefault="00FB00C9" w:rsidP="00FB00C9">
      <w:pPr>
        <w:pStyle w:val="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в</w:t>
      </w:r>
      <w:r w:rsidR="00F63038" w:rsidRPr="00977DD0">
        <w:rPr>
          <w:b w:val="0"/>
          <w:sz w:val="28"/>
          <w:szCs w:val="28"/>
        </w:rPr>
        <w:t>изнати операції складання напівпровідникових виробів (апа</w:t>
      </w:r>
      <w:r w:rsidR="00F26E1A" w:rsidRPr="00977DD0">
        <w:rPr>
          <w:b w:val="0"/>
          <w:sz w:val="28"/>
          <w:szCs w:val="28"/>
        </w:rPr>
        <w:t>ратури) достатніми для того, що</w:t>
      </w:r>
      <w:r w:rsidR="00F63038" w:rsidRPr="00977DD0">
        <w:rPr>
          <w:b w:val="0"/>
          <w:sz w:val="28"/>
          <w:szCs w:val="28"/>
        </w:rPr>
        <w:t>б вони вважались походженням з відповідної країн</w:t>
      </w:r>
      <w:r w:rsidRPr="00977DD0">
        <w:rPr>
          <w:b w:val="0"/>
          <w:sz w:val="28"/>
          <w:szCs w:val="28"/>
        </w:rPr>
        <w:t>и;</w:t>
      </w:r>
    </w:p>
    <w:p w14:paraId="74AE6856" w14:textId="3AEC0A8B" w:rsidR="00F63038" w:rsidRPr="00977DD0" w:rsidRDefault="00FB00C9" w:rsidP="00FB00C9">
      <w:pPr>
        <w:pStyle w:val="3"/>
        <w:shd w:val="clear" w:color="auto" w:fill="FFFFFF" w:themeFill="background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в</w:t>
      </w:r>
      <w:r w:rsidR="00F63038" w:rsidRPr="00977DD0">
        <w:rPr>
          <w:b w:val="0"/>
          <w:sz w:val="28"/>
          <w:szCs w:val="28"/>
        </w:rPr>
        <w:t xml:space="preserve">изначити поняття </w:t>
      </w:r>
      <w:r w:rsidR="00F26E1A" w:rsidRPr="00977DD0">
        <w:rPr>
          <w:b w:val="0"/>
          <w:sz w:val="28"/>
          <w:szCs w:val="28"/>
        </w:rPr>
        <w:t>«</w:t>
      </w:r>
      <w:r w:rsidR="00F63038" w:rsidRPr="00977DD0">
        <w:rPr>
          <w:b w:val="0"/>
          <w:sz w:val="28"/>
          <w:szCs w:val="28"/>
        </w:rPr>
        <w:t>відгодівля тварин</w:t>
      </w:r>
      <w:r w:rsidR="00F26E1A" w:rsidRPr="00977DD0">
        <w:rPr>
          <w:b w:val="0"/>
          <w:sz w:val="28"/>
          <w:szCs w:val="28"/>
        </w:rPr>
        <w:t>»</w:t>
      </w:r>
      <w:r w:rsidR="00F63038" w:rsidRPr="00977DD0">
        <w:rPr>
          <w:b w:val="0"/>
          <w:sz w:val="28"/>
          <w:szCs w:val="28"/>
        </w:rPr>
        <w:t xml:space="preserve">, а саме, що строк відгодівлі великої рогатої худоби, коней, віслюків,  свиней, </w:t>
      </w:r>
      <w:proofErr w:type="spellStart"/>
      <w:r w:rsidR="00F63038" w:rsidRPr="00977DD0">
        <w:rPr>
          <w:b w:val="0"/>
          <w:sz w:val="28"/>
          <w:szCs w:val="28"/>
        </w:rPr>
        <w:t>овець</w:t>
      </w:r>
      <w:proofErr w:type="spellEnd"/>
      <w:r w:rsidR="00F63038" w:rsidRPr="00977DD0">
        <w:rPr>
          <w:b w:val="0"/>
          <w:sz w:val="28"/>
          <w:szCs w:val="28"/>
        </w:rPr>
        <w:t>, кіз та інших тварин повинен складати не менше трьох та двох місяців до забою для того</w:t>
      </w:r>
      <w:r w:rsidR="00F26E1A" w:rsidRPr="00977DD0">
        <w:rPr>
          <w:b w:val="0"/>
          <w:sz w:val="28"/>
          <w:szCs w:val="28"/>
        </w:rPr>
        <w:t>,</w:t>
      </w:r>
      <w:r w:rsidR="00F63038" w:rsidRPr="00977DD0">
        <w:rPr>
          <w:b w:val="0"/>
          <w:sz w:val="28"/>
          <w:szCs w:val="28"/>
        </w:rPr>
        <w:t xml:space="preserve"> щоб вир</w:t>
      </w:r>
      <w:r w:rsidR="00822322" w:rsidRPr="00977DD0">
        <w:rPr>
          <w:b w:val="0"/>
          <w:sz w:val="28"/>
          <w:szCs w:val="28"/>
        </w:rPr>
        <w:t xml:space="preserve">облені із таких тварин м’ясні </w:t>
      </w:r>
      <w:r w:rsidR="00F63038" w:rsidRPr="00977DD0">
        <w:rPr>
          <w:b w:val="0"/>
          <w:sz w:val="28"/>
          <w:szCs w:val="28"/>
        </w:rPr>
        <w:t xml:space="preserve">субпродукти вважалась походженням з відповідної країни.  </w:t>
      </w:r>
    </w:p>
    <w:p w14:paraId="42B588BF" w14:textId="15A65FA9" w:rsidR="00F63038" w:rsidRPr="00977DD0" w:rsidRDefault="00F63038" w:rsidP="00867FC0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  <w:r w:rsidRPr="00977DD0">
        <w:rPr>
          <w:bCs/>
          <w:sz w:val="28"/>
          <w:szCs w:val="28"/>
        </w:rPr>
        <w:t>За</w:t>
      </w:r>
      <w:r w:rsidR="004E2EC3" w:rsidRPr="00977DD0">
        <w:rPr>
          <w:bCs/>
          <w:sz w:val="28"/>
          <w:szCs w:val="28"/>
        </w:rPr>
        <w:t>пропоновані зміни забезпечать розв’язання</w:t>
      </w:r>
      <w:r w:rsidR="00534B77" w:rsidRPr="00977DD0">
        <w:rPr>
          <w:bCs/>
          <w:sz w:val="28"/>
          <w:szCs w:val="28"/>
        </w:rPr>
        <w:t xml:space="preserve"> </w:t>
      </w:r>
      <w:r w:rsidRPr="00977DD0">
        <w:rPr>
          <w:bCs/>
          <w:sz w:val="28"/>
          <w:szCs w:val="28"/>
        </w:rPr>
        <w:t xml:space="preserve">питання щодо особливостей визначення країни походження сумішей продуктів борошномельно-круп’яної промисловості, які містять у своєму складі різні похідні зернових </w:t>
      </w:r>
      <w:r w:rsidR="004E2EC3" w:rsidRPr="00977DD0">
        <w:rPr>
          <w:bCs/>
          <w:sz w:val="28"/>
          <w:szCs w:val="28"/>
        </w:rPr>
        <w:t>культур; визначення правила</w:t>
      </w:r>
      <w:r w:rsidRPr="00977DD0">
        <w:rPr>
          <w:bCs/>
          <w:sz w:val="28"/>
          <w:szCs w:val="28"/>
        </w:rPr>
        <w:t xml:space="preserve"> «змішування», що означає спеціальну і </w:t>
      </w:r>
      <w:proofErr w:type="spellStart"/>
      <w:r w:rsidRPr="00977DD0">
        <w:rPr>
          <w:bCs/>
          <w:sz w:val="28"/>
          <w:szCs w:val="28"/>
        </w:rPr>
        <w:t>пропорційно</w:t>
      </w:r>
      <w:proofErr w:type="spellEnd"/>
      <w:r w:rsidRPr="00977DD0">
        <w:rPr>
          <w:bCs/>
          <w:sz w:val="28"/>
          <w:szCs w:val="28"/>
        </w:rPr>
        <w:t xml:space="preserve"> контрольовану операцію, що складається з об’єднання двох або більше взаємозамінних матеріалів.</w:t>
      </w:r>
    </w:p>
    <w:p w14:paraId="494BED70" w14:textId="3C0063EF" w:rsidR="00F63038" w:rsidRPr="00977DD0" w:rsidRDefault="00F63038" w:rsidP="00867FC0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  <w:r w:rsidRPr="00977DD0">
        <w:rPr>
          <w:bCs/>
          <w:sz w:val="28"/>
          <w:szCs w:val="28"/>
        </w:rPr>
        <w:t xml:space="preserve">Також </w:t>
      </w:r>
      <w:proofErr w:type="spellStart"/>
      <w:r w:rsidR="00C97A5C" w:rsidRPr="00977DD0">
        <w:rPr>
          <w:bCs/>
          <w:sz w:val="28"/>
          <w:szCs w:val="28"/>
        </w:rPr>
        <w:t>нададуть</w:t>
      </w:r>
      <w:proofErr w:type="spellEnd"/>
      <w:r w:rsidR="00822322" w:rsidRPr="00977DD0">
        <w:rPr>
          <w:bCs/>
          <w:sz w:val="28"/>
          <w:szCs w:val="28"/>
        </w:rPr>
        <w:t xml:space="preserve"> змогу</w:t>
      </w:r>
      <w:r w:rsidRPr="00977DD0">
        <w:rPr>
          <w:bCs/>
          <w:sz w:val="28"/>
          <w:szCs w:val="28"/>
        </w:rPr>
        <w:t xml:space="preserve"> привести умови отриман</w:t>
      </w:r>
      <w:r w:rsidR="00822322" w:rsidRPr="00977DD0">
        <w:rPr>
          <w:bCs/>
          <w:sz w:val="28"/>
          <w:szCs w:val="28"/>
        </w:rPr>
        <w:t>ня непреференційного походження</w:t>
      </w:r>
      <w:r w:rsidRPr="00977DD0">
        <w:rPr>
          <w:bCs/>
          <w:sz w:val="28"/>
          <w:szCs w:val="28"/>
        </w:rPr>
        <w:t xml:space="preserve"> в частині дотримання виконання операцій виробництва високотехнологічної напівпровідникової електричної апаратури та її компонентів у відповідніс</w:t>
      </w:r>
      <w:r w:rsidR="004E2EC3" w:rsidRPr="00977DD0">
        <w:rPr>
          <w:bCs/>
          <w:sz w:val="28"/>
          <w:szCs w:val="28"/>
        </w:rPr>
        <w:t>ть з існуючими на сь</w:t>
      </w:r>
      <w:r w:rsidR="00822322" w:rsidRPr="00977DD0">
        <w:rPr>
          <w:bCs/>
          <w:sz w:val="28"/>
          <w:szCs w:val="28"/>
        </w:rPr>
        <w:t>огодні</w:t>
      </w:r>
      <w:r w:rsidRPr="00977DD0">
        <w:rPr>
          <w:bCs/>
          <w:sz w:val="28"/>
          <w:szCs w:val="28"/>
        </w:rPr>
        <w:t xml:space="preserve"> виробничими процесам</w:t>
      </w:r>
      <w:r w:rsidR="00822322" w:rsidRPr="00977DD0">
        <w:rPr>
          <w:bCs/>
          <w:sz w:val="28"/>
          <w:szCs w:val="28"/>
        </w:rPr>
        <w:t>и</w:t>
      </w:r>
      <w:r w:rsidRPr="00977DD0">
        <w:rPr>
          <w:bCs/>
          <w:sz w:val="28"/>
          <w:szCs w:val="28"/>
        </w:rPr>
        <w:t xml:space="preserve"> їх виготовлення.</w:t>
      </w:r>
    </w:p>
    <w:p w14:paraId="57E195E0" w14:textId="7D69B511" w:rsidR="00F63038" w:rsidRPr="00977DD0" w:rsidRDefault="00F63038" w:rsidP="00867FC0">
      <w:pPr>
        <w:shd w:val="clear" w:color="auto" w:fill="FFFFFF" w:themeFill="background1"/>
        <w:ind w:firstLine="567"/>
        <w:jc w:val="both"/>
        <w:rPr>
          <w:bCs/>
          <w:sz w:val="28"/>
          <w:szCs w:val="28"/>
        </w:rPr>
      </w:pPr>
      <w:r w:rsidRPr="00977DD0">
        <w:rPr>
          <w:bCs/>
          <w:sz w:val="28"/>
          <w:szCs w:val="28"/>
        </w:rPr>
        <w:t>Таким чином</w:t>
      </w:r>
      <w:r w:rsidR="00822322" w:rsidRPr="00977DD0">
        <w:rPr>
          <w:bCs/>
          <w:sz w:val="28"/>
          <w:szCs w:val="28"/>
        </w:rPr>
        <w:t>,</w:t>
      </w:r>
      <w:r w:rsidRPr="00977DD0">
        <w:rPr>
          <w:bCs/>
          <w:sz w:val="28"/>
          <w:szCs w:val="28"/>
        </w:rPr>
        <w:t xml:space="preserve"> прийняття </w:t>
      </w:r>
      <w:proofErr w:type="spellStart"/>
      <w:r w:rsidRPr="00977DD0">
        <w:rPr>
          <w:bCs/>
          <w:sz w:val="28"/>
          <w:szCs w:val="28"/>
        </w:rPr>
        <w:t>проєкту</w:t>
      </w:r>
      <w:proofErr w:type="spellEnd"/>
      <w:r w:rsidRPr="00977DD0">
        <w:rPr>
          <w:bCs/>
          <w:sz w:val="28"/>
          <w:szCs w:val="28"/>
        </w:rPr>
        <w:t xml:space="preserve"> постанови сприятиме спрощенню митно</w:t>
      </w:r>
      <w:r w:rsidR="00534B77" w:rsidRPr="00977DD0">
        <w:rPr>
          <w:bCs/>
          <w:sz w:val="28"/>
          <w:szCs w:val="28"/>
        </w:rPr>
        <w:t>го</w:t>
      </w:r>
      <w:r w:rsidRPr="00977DD0">
        <w:rPr>
          <w:bCs/>
          <w:sz w:val="28"/>
          <w:szCs w:val="28"/>
        </w:rPr>
        <w:t xml:space="preserve"> оформленн</w:t>
      </w:r>
      <w:r w:rsidR="00534B77" w:rsidRPr="00977DD0">
        <w:rPr>
          <w:bCs/>
          <w:sz w:val="28"/>
          <w:szCs w:val="28"/>
        </w:rPr>
        <w:t>я</w:t>
      </w:r>
      <w:r w:rsidRPr="00977DD0">
        <w:rPr>
          <w:bCs/>
          <w:sz w:val="28"/>
          <w:szCs w:val="28"/>
        </w:rPr>
        <w:t xml:space="preserve"> таких товарів і забезпечить дотри</w:t>
      </w:r>
      <w:r w:rsidR="00822322" w:rsidRPr="00977DD0">
        <w:rPr>
          <w:bCs/>
          <w:sz w:val="28"/>
          <w:szCs w:val="28"/>
        </w:rPr>
        <w:t>мання Україною  положень додатка XV до глави 5</w:t>
      </w:r>
      <w:r w:rsidRPr="00977DD0">
        <w:rPr>
          <w:bCs/>
          <w:sz w:val="28"/>
          <w:szCs w:val="28"/>
        </w:rPr>
        <w:t xml:space="preserve"> Угоди. </w:t>
      </w:r>
    </w:p>
    <w:p w14:paraId="010302CA" w14:textId="77777777" w:rsidR="00F63038" w:rsidRPr="00977DD0" w:rsidRDefault="00F63038" w:rsidP="00867FC0">
      <w:pPr>
        <w:shd w:val="clear" w:color="auto" w:fill="FFFFFF" w:themeFill="background1"/>
        <w:ind w:firstLine="709"/>
        <w:jc w:val="both"/>
        <w:rPr>
          <w:bCs/>
          <w:sz w:val="28"/>
          <w:szCs w:val="28"/>
        </w:rPr>
      </w:pPr>
    </w:p>
    <w:p w14:paraId="0D8B0F2C" w14:textId="77777777" w:rsidR="00F63038" w:rsidRPr="00977DD0" w:rsidRDefault="00F63038" w:rsidP="003646F8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</w:p>
    <w:p w14:paraId="5BC63060" w14:textId="6FF0D95E" w:rsidR="009A4B38" w:rsidRPr="00977DD0" w:rsidRDefault="00880043" w:rsidP="003646F8">
      <w:pPr>
        <w:ind w:firstLine="567"/>
        <w:jc w:val="center"/>
        <w:rPr>
          <w:b/>
          <w:sz w:val="28"/>
          <w:szCs w:val="28"/>
        </w:rPr>
      </w:pPr>
      <w:r w:rsidRPr="00977DD0">
        <w:rPr>
          <w:b/>
          <w:sz w:val="28"/>
          <w:szCs w:val="28"/>
          <w:lang w:val="en-US"/>
        </w:rPr>
        <w:t>VI</w:t>
      </w:r>
      <w:r w:rsidRPr="00977DD0">
        <w:rPr>
          <w:b/>
          <w:sz w:val="28"/>
          <w:szCs w:val="28"/>
        </w:rPr>
        <w:t xml:space="preserve">. Оцінка виконання вимог регуляторного </w:t>
      </w:r>
      <w:proofErr w:type="spellStart"/>
      <w:r w:rsidRPr="00977DD0">
        <w:rPr>
          <w:b/>
          <w:sz w:val="28"/>
          <w:szCs w:val="28"/>
        </w:rPr>
        <w:t>акта</w:t>
      </w:r>
      <w:proofErr w:type="spellEnd"/>
      <w:r w:rsidRPr="00977DD0">
        <w:rPr>
          <w:b/>
          <w:sz w:val="28"/>
          <w:szCs w:val="28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 </w:t>
      </w:r>
    </w:p>
    <w:p w14:paraId="05CFE68F" w14:textId="77777777" w:rsidR="00C97A5C" w:rsidRPr="00977DD0" w:rsidRDefault="00C97A5C" w:rsidP="003646F8">
      <w:pPr>
        <w:ind w:firstLine="567"/>
        <w:jc w:val="center"/>
        <w:rPr>
          <w:b/>
          <w:sz w:val="28"/>
          <w:szCs w:val="28"/>
        </w:rPr>
      </w:pPr>
    </w:p>
    <w:p w14:paraId="322B55AF" w14:textId="77777777" w:rsidR="009A4B38" w:rsidRPr="00977DD0" w:rsidRDefault="009A4B38" w:rsidP="003646F8">
      <w:pPr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lastRenderedPageBreak/>
        <w:t xml:space="preserve">Для впровадження та виконання вимог регуляторного </w:t>
      </w:r>
      <w:proofErr w:type="spellStart"/>
      <w:r w:rsidRPr="00977DD0">
        <w:rPr>
          <w:sz w:val="28"/>
          <w:szCs w:val="28"/>
        </w:rPr>
        <w:t>акта</w:t>
      </w:r>
      <w:proofErr w:type="spellEnd"/>
      <w:r w:rsidRPr="00977DD0">
        <w:rPr>
          <w:sz w:val="28"/>
          <w:szCs w:val="28"/>
        </w:rPr>
        <w:t xml:space="preserve"> органи виконавчої влади</w:t>
      </w:r>
      <w:r w:rsidR="00B25A89" w:rsidRPr="00977DD0">
        <w:rPr>
          <w:sz w:val="28"/>
          <w:szCs w:val="28"/>
        </w:rPr>
        <w:t xml:space="preserve"> та </w:t>
      </w:r>
      <w:r w:rsidRPr="00977DD0">
        <w:rPr>
          <w:sz w:val="28"/>
          <w:szCs w:val="28"/>
        </w:rPr>
        <w:t>суб’єкти господарювання не нестимуть додаткових витрат</w:t>
      </w:r>
      <w:r w:rsidR="0056343E" w:rsidRPr="00977DD0">
        <w:rPr>
          <w:sz w:val="28"/>
          <w:szCs w:val="28"/>
        </w:rPr>
        <w:t xml:space="preserve"> і ресурсів на адміністрування органами виконавчої влади його положень</w:t>
      </w:r>
      <w:r w:rsidRPr="00977DD0">
        <w:rPr>
          <w:sz w:val="28"/>
          <w:szCs w:val="28"/>
        </w:rPr>
        <w:t>.</w:t>
      </w:r>
    </w:p>
    <w:p w14:paraId="4382E8B9" w14:textId="77777777" w:rsidR="00C3504A" w:rsidRPr="00977DD0" w:rsidRDefault="00C3504A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1026EC5C" w14:textId="77777777" w:rsidR="00C3504A" w:rsidRPr="00977DD0" w:rsidRDefault="00C3504A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40462F28" w14:textId="77777777" w:rsidR="009A4B38" w:rsidRPr="00977DD0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 xml:space="preserve">VII. Обґрунтування запропонованого строку дії регуляторного </w:t>
      </w:r>
      <w:proofErr w:type="spellStart"/>
      <w:r w:rsidRPr="00977DD0">
        <w:rPr>
          <w:sz w:val="28"/>
          <w:szCs w:val="28"/>
        </w:rPr>
        <w:t>акта</w:t>
      </w:r>
      <w:proofErr w:type="spellEnd"/>
    </w:p>
    <w:p w14:paraId="5F8BF20A" w14:textId="77777777" w:rsidR="009A4B38" w:rsidRPr="00977DD0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b w:val="0"/>
          <w:sz w:val="28"/>
          <w:szCs w:val="28"/>
        </w:rPr>
      </w:pPr>
    </w:p>
    <w:p w14:paraId="16D141AD" w14:textId="77777777" w:rsidR="00BB2D47" w:rsidRPr="00977DD0" w:rsidRDefault="00880043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Строк</w:t>
      </w:r>
      <w:r w:rsidR="009A4B38" w:rsidRPr="00977DD0">
        <w:rPr>
          <w:sz w:val="28"/>
          <w:szCs w:val="28"/>
        </w:rPr>
        <w:t xml:space="preserve"> дії </w:t>
      </w:r>
      <w:r w:rsidR="00A75F41" w:rsidRPr="00977DD0">
        <w:rPr>
          <w:sz w:val="28"/>
          <w:szCs w:val="28"/>
        </w:rPr>
        <w:t xml:space="preserve">регуляторного </w:t>
      </w:r>
      <w:proofErr w:type="spellStart"/>
      <w:r w:rsidR="00A75F41" w:rsidRPr="00977DD0">
        <w:rPr>
          <w:sz w:val="28"/>
          <w:szCs w:val="28"/>
        </w:rPr>
        <w:t>акта</w:t>
      </w:r>
      <w:proofErr w:type="spellEnd"/>
      <w:r w:rsidR="00A75F41" w:rsidRPr="00977DD0">
        <w:rPr>
          <w:sz w:val="28"/>
          <w:szCs w:val="28"/>
        </w:rPr>
        <w:t xml:space="preserve"> </w:t>
      </w:r>
      <w:r w:rsidR="009A4B38" w:rsidRPr="00977DD0">
        <w:rPr>
          <w:sz w:val="28"/>
          <w:szCs w:val="28"/>
        </w:rPr>
        <w:t>є необмеженим, оскільки</w:t>
      </w:r>
      <w:r w:rsidRPr="00977DD0">
        <w:rPr>
          <w:sz w:val="28"/>
          <w:szCs w:val="28"/>
        </w:rPr>
        <w:t xml:space="preserve"> акти законодавства</w:t>
      </w:r>
      <w:r w:rsidR="009A4B38" w:rsidRPr="00977DD0">
        <w:rPr>
          <w:sz w:val="28"/>
          <w:szCs w:val="28"/>
        </w:rPr>
        <w:t xml:space="preserve">, на виконання яких </w:t>
      </w:r>
      <w:r w:rsidR="00B73D5F" w:rsidRPr="00977DD0">
        <w:rPr>
          <w:sz w:val="28"/>
          <w:szCs w:val="28"/>
        </w:rPr>
        <w:t xml:space="preserve">розроблено </w:t>
      </w:r>
      <w:r w:rsidR="00A75F41" w:rsidRPr="00977DD0">
        <w:rPr>
          <w:sz w:val="28"/>
          <w:szCs w:val="28"/>
        </w:rPr>
        <w:t>акт</w:t>
      </w:r>
      <w:r w:rsidR="009A4B38" w:rsidRPr="00977DD0">
        <w:rPr>
          <w:sz w:val="28"/>
          <w:szCs w:val="28"/>
        </w:rPr>
        <w:t xml:space="preserve">, мають необмежений </w:t>
      </w:r>
      <w:r w:rsidR="009A163F" w:rsidRPr="00977DD0">
        <w:rPr>
          <w:sz w:val="28"/>
          <w:szCs w:val="28"/>
        </w:rPr>
        <w:t>строк</w:t>
      </w:r>
      <w:r w:rsidR="009A4B38" w:rsidRPr="00977DD0">
        <w:rPr>
          <w:sz w:val="28"/>
          <w:szCs w:val="28"/>
        </w:rPr>
        <w:t xml:space="preserve"> дії.</w:t>
      </w:r>
      <w:r w:rsidR="004374B9" w:rsidRPr="00977DD0">
        <w:rPr>
          <w:sz w:val="28"/>
          <w:szCs w:val="28"/>
        </w:rPr>
        <w:t xml:space="preserve"> </w:t>
      </w:r>
    </w:p>
    <w:p w14:paraId="74D14DBB" w14:textId="3A03BB59" w:rsidR="009A4B38" w:rsidRPr="00977DD0" w:rsidRDefault="004374B9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Змі</w:t>
      </w:r>
      <w:r w:rsidR="0049418E" w:rsidRPr="00977DD0">
        <w:rPr>
          <w:sz w:val="28"/>
          <w:szCs w:val="28"/>
        </w:rPr>
        <w:t xml:space="preserve">на строку дії регуляторного </w:t>
      </w:r>
      <w:proofErr w:type="spellStart"/>
      <w:r w:rsidR="0049418E" w:rsidRPr="00977DD0">
        <w:rPr>
          <w:sz w:val="28"/>
          <w:szCs w:val="28"/>
        </w:rPr>
        <w:t>акта</w:t>
      </w:r>
      <w:proofErr w:type="spellEnd"/>
      <w:r w:rsidR="0049418E" w:rsidRPr="00977DD0">
        <w:rPr>
          <w:sz w:val="28"/>
          <w:szCs w:val="28"/>
        </w:rPr>
        <w:t xml:space="preserve"> можлива у</w:t>
      </w:r>
      <w:r w:rsidRPr="00977DD0">
        <w:rPr>
          <w:sz w:val="28"/>
          <w:szCs w:val="28"/>
        </w:rPr>
        <w:t xml:space="preserve"> разі зміни положень </w:t>
      </w:r>
      <w:r w:rsidR="0056343E" w:rsidRPr="00977DD0">
        <w:rPr>
          <w:sz w:val="28"/>
          <w:szCs w:val="28"/>
        </w:rPr>
        <w:t xml:space="preserve">міжнародно-правових чи </w:t>
      </w:r>
      <w:r w:rsidRPr="00977DD0">
        <w:rPr>
          <w:sz w:val="28"/>
          <w:szCs w:val="28"/>
        </w:rPr>
        <w:t>законодав</w:t>
      </w:r>
      <w:r w:rsidR="0056343E" w:rsidRPr="00977DD0">
        <w:rPr>
          <w:sz w:val="28"/>
          <w:szCs w:val="28"/>
        </w:rPr>
        <w:t>чих актів України</w:t>
      </w:r>
      <w:r w:rsidRPr="00977DD0">
        <w:rPr>
          <w:sz w:val="28"/>
          <w:szCs w:val="28"/>
        </w:rPr>
        <w:t xml:space="preserve">, на виконання яких розроблений регуляторний акт.  </w:t>
      </w:r>
    </w:p>
    <w:p w14:paraId="1C9FEE81" w14:textId="7AE9F2B3" w:rsidR="009A4B38" w:rsidRPr="00977DD0" w:rsidRDefault="009A4B38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C10B43C" w14:textId="77777777" w:rsidR="00CD22B1" w:rsidRPr="00977DD0" w:rsidRDefault="00CD22B1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28DA28" w14:textId="77777777" w:rsidR="006A2311" w:rsidRPr="00977DD0" w:rsidRDefault="006A2311" w:rsidP="003646F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E8D902C" w14:textId="77777777" w:rsidR="009A4B38" w:rsidRPr="00977DD0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t xml:space="preserve">VIII. Визначення показників результативності дії регуляторного </w:t>
      </w:r>
      <w:proofErr w:type="spellStart"/>
      <w:r w:rsidRPr="00977DD0">
        <w:rPr>
          <w:sz w:val="28"/>
          <w:szCs w:val="28"/>
        </w:rPr>
        <w:t>акта</w:t>
      </w:r>
      <w:proofErr w:type="spellEnd"/>
    </w:p>
    <w:p w14:paraId="57E0C27F" w14:textId="77777777" w:rsidR="009A4B38" w:rsidRPr="00977DD0" w:rsidRDefault="009A4B38" w:rsidP="003646F8">
      <w:pPr>
        <w:pStyle w:val="3"/>
        <w:spacing w:before="0" w:beforeAutospacing="0" w:after="0" w:afterAutospacing="0"/>
        <w:ind w:firstLine="567"/>
        <w:rPr>
          <w:sz w:val="28"/>
          <w:szCs w:val="28"/>
        </w:rPr>
      </w:pPr>
    </w:p>
    <w:p w14:paraId="64926C29" w14:textId="77777777" w:rsidR="009A4B38" w:rsidRPr="00977DD0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1. </w:t>
      </w:r>
      <w:r w:rsidR="009A4B38" w:rsidRPr="00977DD0">
        <w:rPr>
          <w:b w:val="0"/>
          <w:sz w:val="28"/>
          <w:szCs w:val="28"/>
        </w:rPr>
        <w:t xml:space="preserve">Додаткових надходжень до держбюджету не передбачається, </w:t>
      </w:r>
      <w:r w:rsidRPr="00977DD0">
        <w:rPr>
          <w:b w:val="0"/>
          <w:sz w:val="28"/>
          <w:szCs w:val="28"/>
        </w:rPr>
        <w:t>о</w:t>
      </w:r>
      <w:r w:rsidR="009A4B38" w:rsidRPr="00977DD0">
        <w:rPr>
          <w:b w:val="0"/>
          <w:sz w:val="28"/>
          <w:szCs w:val="28"/>
        </w:rPr>
        <w:t>скільки регуляторн</w:t>
      </w:r>
      <w:r w:rsidR="00880043" w:rsidRPr="00977DD0">
        <w:rPr>
          <w:b w:val="0"/>
          <w:sz w:val="28"/>
          <w:szCs w:val="28"/>
        </w:rPr>
        <w:t>им</w:t>
      </w:r>
      <w:r w:rsidR="009A4B38" w:rsidRPr="00977DD0">
        <w:rPr>
          <w:b w:val="0"/>
          <w:sz w:val="28"/>
          <w:szCs w:val="28"/>
        </w:rPr>
        <w:t xml:space="preserve"> акт</w:t>
      </w:r>
      <w:r w:rsidR="00880043" w:rsidRPr="00977DD0">
        <w:rPr>
          <w:b w:val="0"/>
          <w:sz w:val="28"/>
          <w:szCs w:val="28"/>
        </w:rPr>
        <w:t>ом</w:t>
      </w:r>
      <w:r w:rsidR="009A4B38" w:rsidRPr="00977DD0">
        <w:rPr>
          <w:b w:val="0"/>
          <w:sz w:val="28"/>
          <w:szCs w:val="28"/>
        </w:rPr>
        <w:t xml:space="preserve"> не запроваджують</w:t>
      </w:r>
      <w:r w:rsidR="00880043" w:rsidRPr="00977DD0">
        <w:rPr>
          <w:b w:val="0"/>
          <w:sz w:val="28"/>
          <w:szCs w:val="28"/>
        </w:rPr>
        <w:t>ся</w:t>
      </w:r>
      <w:r w:rsidR="009A4B38" w:rsidRPr="00977DD0">
        <w:rPr>
          <w:b w:val="0"/>
          <w:sz w:val="28"/>
          <w:szCs w:val="28"/>
        </w:rPr>
        <w:t xml:space="preserve"> нов</w:t>
      </w:r>
      <w:r w:rsidR="00880043" w:rsidRPr="00977DD0">
        <w:rPr>
          <w:b w:val="0"/>
          <w:sz w:val="28"/>
          <w:szCs w:val="28"/>
        </w:rPr>
        <w:t>і</w:t>
      </w:r>
      <w:r w:rsidR="009A4B38" w:rsidRPr="00977DD0">
        <w:rPr>
          <w:b w:val="0"/>
          <w:sz w:val="28"/>
          <w:szCs w:val="28"/>
        </w:rPr>
        <w:t xml:space="preserve"> податк</w:t>
      </w:r>
      <w:r w:rsidR="00880043" w:rsidRPr="00977DD0">
        <w:rPr>
          <w:b w:val="0"/>
          <w:sz w:val="28"/>
          <w:szCs w:val="28"/>
        </w:rPr>
        <w:t>и</w:t>
      </w:r>
      <w:r w:rsidR="009A4B38" w:rsidRPr="00977DD0">
        <w:rPr>
          <w:b w:val="0"/>
          <w:sz w:val="28"/>
          <w:szCs w:val="28"/>
        </w:rPr>
        <w:t xml:space="preserve"> і збор</w:t>
      </w:r>
      <w:r w:rsidR="00880043" w:rsidRPr="00977DD0">
        <w:rPr>
          <w:b w:val="0"/>
          <w:sz w:val="28"/>
          <w:szCs w:val="28"/>
        </w:rPr>
        <w:t>и</w:t>
      </w:r>
      <w:r w:rsidR="009A4B38" w:rsidRPr="00977DD0">
        <w:rPr>
          <w:b w:val="0"/>
          <w:sz w:val="28"/>
          <w:szCs w:val="28"/>
        </w:rPr>
        <w:t xml:space="preserve"> (обов’язков</w:t>
      </w:r>
      <w:r w:rsidR="00880043" w:rsidRPr="00977DD0">
        <w:rPr>
          <w:b w:val="0"/>
          <w:sz w:val="28"/>
          <w:szCs w:val="28"/>
        </w:rPr>
        <w:t>і</w:t>
      </w:r>
      <w:r w:rsidR="009A4B38" w:rsidRPr="00977DD0">
        <w:rPr>
          <w:b w:val="0"/>
          <w:sz w:val="28"/>
          <w:szCs w:val="28"/>
        </w:rPr>
        <w:t xml:space="preserve"> платеж</w:t>
      </w:r>
      <w:r w:rsidR="00880043" w:rsidRPr="00977DD0">
        <w:rPr>
          <w:b w:val="0"/>
          <w:sz w:val="28"/>
          <w:szCs w:val="28"/>
        </w:rPr>
        <w:t>і</w:t>
      </w:r>
      <w:r w:rsidR="009A4B38" w:rsidRPr="00977DD0">
        <w:rPr>
          <w:b w:val="0"/>
          <w:sz w:val="28"/>
          <w:szCs w:val="28"/>
        </w:rPr>
        <w:t>).</w:t>
      </w:r>
    </w:p>
    <w:p w14:paraId="604C3B8E" w14:textId="2314B0FB" w:rsidR="009A4B38" w:rsidRPr="00977DD0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2. </w:t>
      </w:r>
      <w:r w:rsidR="009A4B38" w:rsidRPr="00977DD0">
        <w:rPr>
          <w:b w:val="0"/>
          <w:sz w:val="28"/>
          <w:szCs w:val="28"/>
        </w:rPr>
        <w:t xml:space="preserve">Дія </w:t>
      </w:r>
      <w:proofErr w:type="spellStart"/>
      <w:r w:rsidR="009A4B38" w:rsidRPr="00977DD0">
        <w:rPr>
          <w:b w:val="0"/>
          <w:sz w:val="28"/>
          <w:szCs w:val="28"/>
        </w:rPr>
        <w:t>акта</w:t>
      </w:r>
      <w:proofErr w:type="spellEnd"/>
      <w:r w:rsidR="009A4B38" w:rsidRPr="00977DD0">
        <w:rPr>
          <w:b w:val="0"/>
          <w:sz w:val="28"/>
          <w:szCs w:val="28"/>
        </w:rPr>
        <w:t xml:space="preserve"> поширюється на </w:t>
      </w:r>
      <w:r w:rsidR="00B25A89" w:rsidRPr="00977DD0">
        <w:rPr>
          <w:b w:val="0"/>
          <w:sz w:val="28"/>
          <w:szCs w:val="28"/>
        </w:rPr>
        <w:t xml:space="preserve">всіх </w:t>
      </w:r>
      <w:r w:rsidR="009A4B38" w:rsidRPr="00977DD0">
        <w:rPr>
          <w:b w:val="0"/>
          <w:sz w:val="28"/>
          <w:szCs w:val="28"/>
        </w:rPr>
        <w:t>суб’єктів господарювання</w:t>
      </w:r>
      <w:r w:rsidR="00C97A5C" w:rsidRPr="00977DD0">
        <w:rPr>
          <w:b w:val="0"/>
          <w:sz w:val="28"/>
          <w:szCs w:val="28"/>
        </w:rPr>
        <w:t xml:space="preserve"> – 15 297</w:t>
      </w:r>
      <w:r w:rsidR="009A4B38" w:rsidRPr="00977DD0">
        <w:rPr>
          <w:b w:val="0"/>
          <w:sz w:val="28"/>
          <w:szCs w:val="28"/>
        </w:rPr>
        <w:t>, що проводять зовнішньоекономічну діяльність</w:t>
      </w:r>
      <w:r w:rsidR="00785336" w:rsidRPr="00977DD0">
        <w:rPr>
          <w:b w:val="0"/>
          <w:sz w:val="28"/>
          <w:szCs w:val="28"/>
        </w:rPr>
        <w:t xml:space="preserve"> з товарами, що класифікуються за кодами згідно із УКТЗЕД 0206, групи 11, </w:t>
      </w:r>
      <w:proofErr w:type="spellStart"/>
      <w:r w:rsidR="00785336" w:rsidRPr="00977DD0">
        <w:rPr>
          <w:b w:val="0"/>
          <w:sz w:val="28"/>
          <w:szCs w:val="28"/>
        </w:rPr>
        <w:t>ex</w:t>
      </w:r>
      <w:proofErr w:type="spellEnd"/>
      <w:r w:rsidR="00785336" w:rsidRPr="00977DD0">
        <w:rPr>
          <w:b w:val="0"/>
          <w:sz w:val="28"/>
          <w:szCs w:val="28"/>
        </w:rPr>
        <w:t xml:space="preserve"> 2009 (виноградний сік), групи 84, 85 та </w:t>
      </w:r>
      <w:proofErr w:type="spellStart"/>
      <w:r w:rsidR="00785336" w:rsidRPr="00977DD0">
        <w:rPr>
          <w:b w:val="0"/>
          <w:sz w:val="28"/>
          <w:szCs w:val="28"/>
        </w:rPr>
        <w:t>ex</w:t>
      </w:r>
      <w:proofErr w:type="spellEnd"/>
      <w:r w:rsidR="00785336" w:rsidRPr="00977DD0">
        <w:rPr>
          <w:b w:val="0"/>
          <w:sz w:val="28"/>
          <w:szCs w:val="28"/>
        </w:rPr>
        <w:t xml:space="preserve"> 9029</w:t>
      </w:r>
      <w:r w:rsidR="009A4B38" w:rsidRPr="00977DD0">
        <w:rPr>
          <w:b w:val="0"/>
          <w:sz w:val="28"/>
          <w:szCs w:val="28"/>
        </w:rPr>
        <w:t>.</w:t>
      </w:r>
    </w:p>
    <w:p w14:paraId="6795AE8B" w14:textId="77777777" w:rsidR="009A163F" w:rsidRPr="00977DD0" w:rsidRDefault="00FC1FA2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3. </w:t>
      </w:r>
      <w:r w:rsidR="009A4B38" w:rsidRPr="00977DD0">
        <w:rPr>
          <w:b w:val="0"/>
          <w:sz w:val="28"/>
          <w:szCs w:val="28"/>
        </w:rPr>
        <w:t>Не передбачається додаткових витрат коштів і час</w:t>
      </w:r>
      <w:r w:rsidR="009A163F" w:rsidRPr="00977DD0">
        <w:rPr>
          <w:b w:val="0"/>
          <w:sz w:val="28"/>
          <w:szCs w:val="28"/>
        </w:rPr>
        <w:t>у</w:t>
      </w:r>
      <w:r w:rsidR="009A4B38" w:rsidRPr="00977DD0">
        <w:rPr>
          <w:b w:val="0"/>
          <w:sz w:val="28"/>
          <w:szCs w:val="28"/>
        </w:rPr>
        <w:t xml:space="preserve"> </w:t>
      </w:r>
      <w:r w:rsidR="009A163F" w:rsidRPr="00977DD0">
        <w:rPr>
          <w:b w:val="0"/>
          <w:sz w:val="28"/>
          <w:szCs w:val="28"/>
        </w:rPr>
        <w:t xml:space="preserve">суб’єктами господарювання, що здійснюють зовнішньоекономічну діяльність, під час виконання вимог регуляторного </w:t>
      </w:r>
      <w:proofErr w:type="spellStart"/>
      <w:r w:rsidR="009A163F" w:rsidRPr="00977DD0">
        <w:rPr>
          <w:b w:val="0"/>
          <w:sz w:val="28"/>
          <w:szCs w:val="28"/>
        </w:rPr>
        <w:t>акта</w:t>
      </w:r>
      <w:proofErr w:type="spellEnd"/>
      <w:r w:rsidR="009A163F" w:rsidRPr="00977DD0">
        <w:rPr>
          <w:b w:val="0"/>
          <w:sz w:val="28"/>
          <w:szCs w:val="28"/>
        </w:rPr>
        <w:t xml:space="preserve">.  </w:t>
      </w:r>
    </w:p>
    <w:p w14:paraId="74560347" w14:textId="2DDD6841" w:rsidR="009A4B38" w:rsidRPr="00977DD0" w:rsidRDefault="006A2311" w:rsidP="006A2311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4. </w:t>
      </w:r>
      <w:r w:rsidR="009A4B38" w:rsidRPr="00977DD0">
        <w:rPr>
          <w:b w:val="0"/>
          <w:sz w:val="28"/>
          <w:szCs w:val="28"/>
        </w:rPr>
        <w:t xml:space="preserve">Рівень поінформованості </w:t>
      </w:r>
      <w:r w:rsidR="003646F8" w:rsidRPr="00977DD0">
        <w:rPr>
          <w:b w:val="0"/>
          <w:sz w:val="28"/>
          <w:szCs w:val="28"/>
        </w:rPr>
        <w:t>суб’єктів господарювання, що займаються зовнішньоекономічною діяльністю</w:t>
      </w:r>
      <w:r w:rsidR="00B466F6" w:rsidRPr="00977DD0">
        <w:rPr>
          <w:b w:val="0"/>
          <w:sz w:val="28"/>
          <w:szCs w:val="28"/>
        </w:rPr>
        <w:t>,</w:t>
      </w:r>
      <w:r w:rsidR="009A4B38" w:rsidRPr="00977DD0">
        <w:rPr>
          <w:b w:val="0"/>
          <w:sz w:val="28"/>
          <w:szCs w:val="28"/>
        </w:rPr>
        <w:t xml:space="preserve"> оцінюється як середній.  </w:t>
      </w:r>
    </w:p>
    <w:p w14:paraId="22C8B381" w14:textId="77777777" w:rsidR="009A4B38" w:rsidRPr="00977DD0" w:rsidRDefault="009A4B38" w:rsidP="00FC1FA2">
      <w:pPr>
        <w:pStyle w:val="3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proofErr w:type="spellStart"/>
      <w:r w:rsidRPr="00977DD0">
        <w:rPr>
          <w:b w:val="0"/>
          <w:sz w:val="28"/>
          <w:szCs w:val="28"/>
        </w:rPr>
        <w:t>Про</w:t>
      </w:r>
      <w:r w:rsidR="00B73D5F" w:rsidRPr="00977DD0">
        <w:rPr>
          <w:b w:val="0"/>
          <w:sz w:val="28"/>
          <w:szCs w:val="28"/>
        </w:rPr>
        <w:t>є</w:t>
      </w:r>
      <w:r w:rsidRPr="00977DD0">
        <w:rPr>
          <w:b w:val="0"/>
          <w:sz w:val="28"/>
          <w:szCs w:val="28"/>
        </w:rPr>
        <w:t>кт</w:t>
      </w:r>
      <w:proofErr w:type="spellEnd"/>
      <w:r w:rsidRPr="00977DD0">
        <w:rPr>
          <w:b w:val="0"/>
          <w:sz w:val="28"/>
          <w:szCs w:val="28"/>
        </w:rPr>
        <w:t xml:space="preserve"> </w:t>
      </w:r>
      <w:proofErr w:type="spellStart"/>
      <w:r w:rsidRPr="00977DD0">
        <w:rPr>
          <w:b w:val="0"/>
          <w:sz w:val="28"/>
          <w:szCs w:val="28"/>
        </w:rPr>
        <w:t>акта</w:t>
      </w:r>
      <w:proofErr w:type="spellEnd"/>
      <w:r w:rsidRPr="00977DD0">
        <w:rPr>
          <w:b w:val="0"/>
          <w:sz w:val="28"/>
          <w:szCs w:val="28"/>
        </w:rPr>
        <w:t xml:space="preserve"> розміщено на офіційному веб-сайті Міністерства фінансів України для отримання пропозицій та зауважень громадськості. </w:t>
      </w:r>
    </w:p>
    <w:p w14:paraId="089B2752" w14:textId="77777777" w:rsidR="009A4B38" w:rsidRPr="00977DD0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Після прийняття </w:t>
      </w:r>
      <w:proofErr w:type="spellStart"/>
      <w:r w:rsidRPr="00977DD0">
        <w:rPr>
          <w:b w:val="0"/>
          <w:sz w:val="28"/>
          <w:szCs w:val="28"/>
        </w:rPr>
        <w:t>про</w:t>
      </w:r>
      <w:r w:rsidR="00F058F8" w:rsidRPr="00977DD0">
        <w:rPr>
          <w:b w:val="0"/>
          <w:sz w:val="28"/>
          <w:szCs w:val="28"/>
        </w:rPr>
        <w:t>є</w:t>
      </w:r>
      <w:r w:rsidRPr="00977DD0">
        <w:rPr>
          <w:b w:val="0"/>
          <w:sz w:val="28"/>
          <w:szCs w:val="28"/>
        </w:rPr>
        <w:t>кту</w:t>
      </w:r>
      <w:proofErr w:type="spellEnd"/>
      <w:r w:rsidRPr="00977DD0">
        <w:rPr>
          <w:b w:val="0"/>
          <w:sz w:val="28"/>
          <w:szCs w:val="28"/>
        </w:rPr>
        <w:t xml:space="preserve"> постанови він буде оприлюднений в установленому законодавством порядку. </w:t>
      </w:r>
    </w:p>
    <w:p w14:paraId="434024E5" w14:textId="3BD0D9C1" w:rsidR="009A4B38" w:rsidRPr="00977DD0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Прогнозні значення показників результативності регуляторного </w:t>
      </w:r>
      <w:proofErr w:type="spellStart"/>
      <w:r w:rsidRPr="00977DD0">
        <w:rPr>
          <w:b w:val="0"/>
          <w:sz w:val="28"/>
          <w:szCs w:val="28"/>
        </w:rPr>
        <w:t>акта</w:t>
      </w:r>
      <w:proofErr w:type="spellEnd"/>
      <w:r w:rsidRPr="00977DD0">
        <w:rPr>
          <w:b w:val="0"/>
          <w:sz w:val="28"/>
          <w:szCs w:val="28"/>
        </w:rPr>
        <w:t xml:space="preserve">  будуть виражені у кількісній</w:t>
      </w:r>
      <w:r w:rsidR="007B78C8" w:rsidRPr="00977DD0">
        <w:rPr>
          <w:b w:val="0"/>
          <w:sz w:val="28"/>
          <w:szCs w:val="28"/>
        </w:rPr>
        <w:t xml:space="preserve"> і </w:t>
      </w:r>
      <w:r w:rsidR="007F5444" w:rsidRPr="00977DD0">
        <w:rPr>
          <w:b w:val="0"/>
          <w:sz w:val="28"/>
          <w:szCs w:val="28"/>
        </w:rPr>
        <w:t xml:space="preserve">грошовій </w:t>
      </w:r>
      <w:r w:rsidRPr="00977DD0">
        <w:rPr>
          <w:b w:val="0"/>
          <w:sz w:val="28"/>
          <w:szCs w:val="28"/>
        </w:rPr>
        <w:t>форм</w:t>
      </w:r>
      <w:r w:rsidR="007B78C8" w:rsidRPr="00977DD0">
        <w:rPr>
          <w:b w:val="0"/>
          <w:sz w:val="28"/>
          <w:szCs w:val="28"/>
        </w:rPr>
        <w:t>ах</w:t>
      </w:r>
      <w:r w:rsidRPr="00977DD0">
        <w:rPr>
          <w:b w:val="0"/>
          <w:sz w:val="28"/>
          <w:szCs w:val="28"/>
        </w:rPr>
        <w:t>, а саме:</w:t>
      </w:r>
    </w:p>
    <w:p w14:paraId="0ED43033" w14:textId="77777777" w:rsidR="003646F8" w:rsidRPr="00977DD0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>кількість поданих до митного оформлення документів про походження товару для застосування режиму найбільшого сприяння або його відновлення</w:t>
      </w:r>
      <w:r w:rsidR="003646F8" w:rsidRPr="00977DD0">
        <w:rPr>
          <w:b w:val="0"/>
          <w:sz w:val="28"/>
          <w:szCs w:val="28"/>
        </w:rPr>
        <w:t>;</w:t>
      </w:r>
    </w:p>
    <w:p w14:paraId="7D49C12E" w14:textId="2E3CFB17" w:rsidR="004A3107" w:rsidRPr="00977DD0" w:rsidRDefault="009A4B38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кількість документів про походження товару, направлених на </w:t>
      </w:r>
      <w:r w:rsidR="00B34C36" w:rsidRPr="00977DD0">
        <w:rPr>
          <w:b w:val="0"/>
          <w:sz w:val="28"/>
          <w:szCs w:val="28"/>
        </w:rPr>
        <w:t xml:space="preserve">перевірку </w:t>
      </w:r>
      <w:r w:rsidRPr="00977DD0">
        <w:rPr>
          <w:b w:val="0"/>
          <w:sz w:val="28"/>
          <w:szCs w:val="28"/>
        </w:rPr>
        <w:t>до уповноважених органів зарубіжних країн</w:t>
      </w:r>
      <w:r w:rsidR="004A3107" w:rsidRPr="00977DD0">
        <w:rPr>
          <w:b w:val="0"/>
          <w:sz w:val="28"/>
          <w:szCs w:val="28"/>
        </w:rPr>
        <w:t>;</w:t>
      </w:r>
    </w:p>
    <w:p w14:paraId="11850BCF" w14:textId="10D4790A" w:rsidR="00B27964" w:rsidRPr="00977DD0" w:rsidRDefault="0049418E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результативність перевірки </w:t>
      </w:r>
      <w:r w:rsidR="004A3107" w:rsidRPr="00977DD0">
        <w:rPr>
          <w:b w:val="0"/>
          <w:sz w:val="28"/>
          <w:szCs w:val="28"/>
        </w:rPr>
        <w:t>документів про походження товару</w:t>
      </w:r>
      <w:r w:rsidR="00B27964" w:rsidRPr="00977DD0">
        <w:rPr>
          <w:b w:val="0"/>
          <w:sz w:val="28"/>
          <w:szCs w:val="28"/>
        </w:rPr>
        <w:t xml:space="preserve">; </w:t>
      </w:r>
    </w:p>
    <w:p w14:paraId="3822AEAF" w14:textId="77777777" w:rsidR="009A4B38" w:rsidRPr="00977DD0" w:rsidRDefault="00B27964" w:rsidP="003646F8">
      <w:pPr>
        <w:pStyle w:val="3"/>
        <w:tabs>
          <w:tab w:val="left" w:pos="851"/>
        </w:tabs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77DD0">
        <w:rPr>
          <w:b w:val="0"/>
          <w:sz w:val="28"/>
          <w:szCs w:val="28"/>
        </w:rPr>
        <w:t xml:space="preserve">економічний ефект за результатами проведених перевірок.  </w:t>
      </w:r>
      <w:r w:rsidR="009A4B38" w:rsidRPr="00977DD0">
        <w:rPr>
          <w:b w:val="0"/>
          <w:sz w:val="28"/>
          <w:szCs w:val="28"/>
        </w:rPr>
        <w:t xml:space="preserve">   </w:t>
      </w:r>
    </w:p>
    <w:p w14:paraId="2594490A" w14:textId="6EC15EBE" w:rsidR="009A4B38" w:rsidRPr="00977DD0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B5C9125" w14:textId="77777777" w:rsidR="006A2311" w:rsidRPr="00977DD0" w:rsidRDefault="006A2311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44C2D9D4" w14:textId="77777777" w:rsidR="009A4B38" w:rsidRPr="00977DD0" w:rsidRDefault="009A4B38" w:rsidP="003646F8">
      <w:pPr>
        <w:pStyle w:val="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977DD0">
        <w:rPr>
          <w:sz w:val="28"/>
          <w:szCs w:val="28"/>
        </w:rPr>
        <w:lastRenderedPageBreak/>
        <w:t xml:space="preserve">IX.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977DD0">
        <w:rPr>
          <w:sz w:val="28"/>
          <w:szCs w:val="28"/>
        </w:rPr>
        <w:t>акта</w:t>
      </w:r>
      <w:proofErr w:type="spellEnd"/>
    </w:p>
    <w:p w14:paraId="022B61A7" w14:textId="77777777" w:rsidR="009A4B38" w:rsidRPr="00977DD0" w:rsidRDefault="009A4B38" w:rsidP="003646F8">
      <w:pPr>
        <w:widowControl w:val="0"/>
        <w:ind w:firstLine="567"/>
        <w:jc w:val="both"/>
        <w:rPr>
          <w:sz w:val="28"/>
          <w:szCs w:val="28"/>
        </w:rPr>
      </w:pPr>
    </w:p>
    <w:p w14:paraId="554DE9A8" w14:textId="4E9498B6" w:rsidR="004F7D99" w:rsidRPr="00977DD0" w:rsidRDefault="004F7D99" w:rsidP="006A2311">
      <w:pPr>
        <w:widowControl w:val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В</w:t>
      </w:r>
      <w:r w:rsidR="001611DD" w:rsidRPr="00977DD0">
        <w:rPr>
          <w:sz w:val="28"/>
          <w:szCs w:val="28"/>
        </w:rPr>
        <w:t xml:space="preserve">ідстеження результативності регуляторного </w:t>
      </w:r>
      <w:proofErr w:type="spellStart"/>
      <w:r w:rsidR="001611DD" w:rsidRPr="00977DD0">
        <w:rPr>
          <w:sz w:val="28"/>
          <w:szCs w:val="28"/>
        </w:rPr>
        <w:t>акта</w:t>
      </w:r>
      <w:proofErr w:type="spellEnd"/>
      <w:r w:rsidRPr="00977DD0">
        <w:rPr>
          <w:sz w:val="28"/>
          <w:szCs w:val="28"/>
        </w:rPr>
        <w:t xml:space="preserve"> буде проводитись з використанням статистичного методу</w:t>
      </w:r>
      <w:r w:rsidR="006C2728" w:rsidRPr="00977DD0">
        <w:rPr>
          <w:sz w:val="28"/>
          <w:szCs w:val="28"/>
        </w:rPr>
        <w:t xml:space="preserve"> шляхом відстеження кількості оформлених товарі</w:t>
      </w:r>
      <w:r w:rsidR="00B34C36" w:rsidRPr="00977DD0">
        <w:rPr>
          <w:sz w:val="28"/>
          <w:szCs w:val="28"/>
        </w:rPr>
        <w:t>в, які поміщені в митний режим імпорту</w:t>
      </w:r>
      <w:r w:rsidR="006C2728" w:rsidRPr="00977DD0">
        <w:rPr>
          <w:sz w:val="28"/>
          <w:szCs w:val="28"/>
        </w:rPr>
        <w:t xml:space="preserve"> та класифікуються за кодами згідно із УКТЗЕД 0206, групи 11, </w:t>
      </w:r>
      <w:proofErr w:type="spellStart"/>
      <w:r w:rsidR="006C2728" w:rsidRPr="00977DD0">
        <w:rPr>
          <w:sz w:val="28"/>
          <w:szCs w:val="28"/>
        </w:rPr>
        <w:t>ex</w:t>
      </w:r>
      <w:proofErr w:type="spellEnd"/>
      <w:r w:rsidR="006C2728" w:rsidRPr="00977DD0">
        <w:rPr>
          <w:sz w:val="28"/>
          <w:szCs w:val="28"/>
        </w:rPr>
        <w:t xml:space="preserve"> 2009 (виноградний сік), </w:t>
      </w:r>
      <w:r w:rsidR="007135B8" w:rsidRPr="00977DD0">
        <w:rPr>
          <w:sz w:val="28"/>
          <w:szCs w:val="28"/>
        </w:rPr>
        <w:t xml:space="preserve">                 </w:t>
      </w:r>
      <w:r w:rsidR="006C2728" w:rsidRPr="00977DD0">
        <w:rPr>
          <w:sz w:val="28"/>
          <w:szCs w:val="28"/>
        </w:rPr>
        <w:t xml:space="preserve">групи 84, 85 та </w:t>
      </w:r>
      <w:proofErr w:type="spellStart"/>
      <w:r w:rsidR="006C2728" w:rsidRPr="00977DD0">
        <w:rPr>
          <w:sz w:val="28"/>
          <w:szCs w:val="28"/>
        </w:rPr>
        <w:t>ex</w:t>
      </w:r>
      <w:proofErr w:type="spellEnd"/>
      <w:r w:rsidR="006C2728" w:rsidRPr="00977DD0">
        <w:rPr>
          <w:sz w:val="28"/>
          <w:szCs w:val="28"/>
        </w:rPr>
        <w:t xml:space="preserve"> 9029</w:t>
      </w:r>
      <w:r w:rsidR="0019576D" w:rsidRPr="00977DD0">
        <w:rPr>
          <w:sz w:val="28"/>
          <w:szCs w:val="28"/>
        </w:rPr>
        <w:t>.</w:t>
      </w:r>
      <w:r w:rsidRPr="00977DD0">
        <w:rPr>
          <w:sz w:val="28"/>
          <w:szCs w:val="28"/>
        </w:rPr>
        <w:t xml:space="preserve"> </w:t>
      </w:r>
    </w:p>
    <w:p w14:paraId="4AB2B194" w14:textId="6C94BEC1" w:rsidR="006C2728" w:rsidRPr="00977DD0" w:rsidRDefault="006C2728" w:rsidP="006A2311">
      <w:pPr>
        <w:widowControl w:val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Базове відстеження результативності регуляторного </w:t>
      </w:r>
      <w:proofErr w:type="spellStart"/>
      <w:r w:rsidRPr="00977DD0">
        <w:rPr>
          <w:sz w:val="28"/>
          <w:szCs w:val="28"/>
        </w:rPr>
        <w:t>акта</w:t>
      </w:r>
      <w:proofErr w:type="spellEnd"/>
      <w:r w:rsidRPr="00977DD0">
        <w:rPr>
          <w:sz w:val="28"/>
          <w:szCs w:val="28"/>
        </w:rPr>
        <w:t xml:space="preserve"> буде проводитись за допомогою інформаційних систем Державної митної служби </w:t>
      </w:r>
      <w:r w:rsidR="00B466F6" w:rsidRPr="00977DD0">
        <w:rPr>
          <w:sz w:val="28"/>
          <w:szCs w:val="28"/>
        </w:rPr>
        <w:t xml:space="preserve">України </w:t>
      </w:r>
      <w:r w:rsidRPr="00977DD0">
        <w:rPr>
          <w:sz w:val="28"/>
          <w:szCs w:val="28"/>
        </w:rPr>
        <w:t>через рік п</w:t>
      </w:r>
      <w:r w:rsidR="00B466F6" w:rsidRPr="00977DD0">
        <w:rPr>
          <w:sz w:val="28"/>
          <w:szCs w:val="28"/>
        </w:rPr>
        <w:t>ісля набрання постановою чинності</w:t>
      </w:r>
      <w:r w:rsidRPr="00977DD0">
        <w:rPr>
          <w:sz w:val="28"/>
          <w:szCs w:val="28"/>
        </w:rPr>
        <w:t xml:space="preserve">. </w:t>
      </w:r>
    </w:p>
    <w:p w14:paraId="445355F4" w14:textId="77777777" w:rsidR="006C2728" w:rsidRPr="00977DD0" w:rsidRDefault="006C2728" w:rsidP="006A2311">
      <w:pPr>
        <w:widowControl w:val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Повторне відстеження буде здійснюватися через два роки з дня набрання чинності регуляторним актом. </w:t>
      </w:r>
    </w:p>
    <w:p w14:paraId="3BD680F6" w14:textId="190A792C" w:rsidR="006C2728" w:rsidRPr="00977DD0" w:rsidRDefault="006C2728" w:rsidP="006A2311">
      <w:pPr>
        <w:widowControl w:val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>Періодичне відстеження здійснювати</w:t>
      </w:r>
      <w:r w:rsidR="00B466F6" w:rsidRPr="00977DD0">
        <w:rPr>
          <w:sz w:val="28"/>
          <w:szCs w:val="28"/>
        </w:rPr>
        <w:t xml:space="preserve">меться раз на три роки, починаючи </w:t>
      </w:r>
      <w:r w:rsidRPr="00977DD0">
        <w:rPr>
          <w:sz w:val="28"/>
          <w:szCs w:val="28"/>
        </w:rPr>
        <w:t>з дня виконання заходів з повторного</w:t>
      </w:r>
      <w:r w:rsidR="007C6621" w:rsidRPr="00977DD0">
        <w:rPr>
          <w:sz w:val="28"/>
          <w:szCs w:val="28"/>
        </w:rPr>
        <w:t xml:space="preserve"> відстеження результативності. </w:t>
      </w:r>
      <w:r w:rsidRPr="00977DD0">
        <w:rPr>
          <w:sz w:val="28"/>
          <w:szCs w:val="28"/>
        </w:rPr>
        <w:t xml:space="preserve">Установлені кількісні значення показників результативності </w:t>
      </w:r>
      <w:proofErr w:type="spellStart"/>
      <w:r w:rsidRPr="00977DD0">
        <w:rPr>
          <w:sz w:val="28"/>
          <w:szCs w:val="28"/>
        </w:rPr>
        <w:t>акта</w:t>
      </w:r>
      <w:proofErr w:type="spellEnd"/>
      <w:r w:rsidRPr="00977DD0">
        <w:rPr>
          <w:sz w:val="28"/>
          <w:szCs w:val="28"/>
        </w:rPr>
        <w:t xml:space="preserve"> буд</w:t>
      </w:r>
      <w:r w:rsidR="00B466F6" w:rsidRPr="00977DD0">
        <w:rPr>
          <w:sz w:val="28"/>
          <w:szCs w:val="28"/>
        </w:rPr>
        <w:t xml:space="preserve">уть порівнюватися із значеннями аналогічних показників, </w:t>
      </w:r>
      <w:r w:rsidRPr="00977DD0">
        <w:rPr>
          <w:sz w:val="28"/>
          <w:szCs w:val="28"/>
        </w:rPr>
        <w:t xml:space="preserve">встановлених під час повторного відстеження.  </w:t>
      </w:r>
    </w:p>
    <w:p w14:paraId="739A8C9B" w14:textId="77777777" w:rsidR="009A4B38" w:rsidRPr="00977DD0" w:rsidRDefault="009A4B38" w:rsidP="006A231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7DD0">
        <w:rPr>
          <w:sz w:val="28"/>
          <w:szCs w:val="28"/>
        </w:rPr>
        <w:t xml:space="preserve">Виконавцем заходів з відстеження </w:t>
      </w:r>
      <w:r w:rsidR="00A75F41" w:rsidRPr="00977DD0">
        <w:rPr>
          <w:sz w:val="28"/>
          <w:szCs w:val="28"/>
        </w:rPr>
        <w:t xml:space="preserve">результативності дії регуляторного </w:t>
      </w:r>
      <w:proofErr w:type="spellStart"/>
      <w:r w:rsidR="00A75F41" w:rsidRPr="00977DD0">
        <w:rPr>
          <w:sz w:val="28"/>
          <w:szCs w:val="28"/>
        </w:rPr>
        <w:t>акта</w:t>
      </w:r>
      <w:proofErr w:type="spellEnd"/>
      <w:r w:rsidR="00A75F41" w:rsidRPr="00977DD0">
        <w:rPr>
          <w:sz w:val="28"/>
          <w:szCs w:val="28"/>
        </w:rPr>
        <w:t xml:space="preserve"> </w:t>
      </w:r>
      <w:r w:rsidRPr="00977DD0">
        <w:rPr>
          <w:sz w:val="28"/>
          <w:szCs w:val="28"/>
        </w:rPr>
        <w:t>є Міністерство фінансів України.</w:t>
      </w:r>
    </w:p>
    <w:p w14:paraId="0B110B20" w14:textId="77777777" w:rsidR="009A4B38" w:rsidRPr="00977DD0" w:rsidRDefault="009A4B38" w:rsidP="009A4B38">
      <w:pPr>
        <w:rPr>
          <w:sz w:val="28"/>
          <w:szCs w:val="28"/>
        </w:rPr>
      </w:pPr>
    </w:p>
    <w:p w14:paraId="27E484FF" w14:textId="30CCD317" w:rsidR="00C3504A" w:rsidRPr="00977DD0" w:rsidRDefault="00C3504A" w:rsidP="009A4B38">
      <w:pPr>
        <w:rPr>
          <w:sz w:val="28"/>
          <w:szCs w:val="28"/>
        </w:rPr>
      </w:pPr>
    </w:p>
    <w:p w14:paraId="3CCAE209" w14:textId="77777777" w:rsidR="006A2311" w:rsidRPr="00977DD0" w:rsidRDefault="006A2311" w:rsidP="009A4B38">
      <w:pPr>
        <w:rPr>
          <w:sz w:val="28"/>
          <w:szCs w:val="28"/>
        </w:rPr>
      </w:pPr>
    </w:p>
    <w:p w14:paraId="13813405" w14:textId="77777777" w:rsidR="0049418E" w:rsidRPr="00977DD0" w:rsidRDefault="001D1632" w:rsidP="00F058F8">
      <w:pPr>
        <w:jc w:val="both"/>
        <w:rPr>
          <w:b/>
          <w:sz w:val="28"/>
          <w:szCs w:val="28"/>
        </w:rPr>
      </w:pPr>
      <w:r w:rsidRPr="00977DD0">
        <w:rPr>
          <w:b/>
          <w:sz w:val="28"/>
          <w:szCs w:val="28"/>
        </w:rPr>
        <w:t>Голова</w:t>
      </w:r>
      <w:r w:rsidR="0049418E" w:rsidRPr="00977DD0">
        <w:rPr>
          <w:b/>
          <w:sz w:val="28"/>
          <w:szCs w:val="28"/>
        </w:rPr>
        <w:t> </w:t>
      </w:r>
      <w:r w:rsidR="00B466F6" w:rsidRPr="00977DD0">
        <w:rPr>
          <w:b/>
          <w:sz w:val="28"/>
          <w:szCs w:val="28"/>
        </w:rPr>
        <w:t>Де</w:t>
      </w:r>
      <w:r w:rsidR="0049418E" w:rsidRPr="00977DD0">
        <w:rPr>
          <w:b/>
          <w:sz w:val="28"/>
          <w:szCs w:val="28"/>
        </w:rPr>
        <w:t>ржавної </w:t>
      </w:r>
      <w:r w:rsidR="00B466F6" w:rsidRPr="00977DD0">
        <w:rPr>
          <w:b/>
          <w:sz w:val="28"/>
          <w:szCs w:val="28"/>
        </w:rPr>
        <w:t>митно</w:t>
      </w:r>
      <w:r w:rsidR="0049418E" w:rsidRPr="00977DD0">
        <w:rPr>
          <w:b/>
          <w:sz w:val="28"/>
          <w:szCs w:val="28"/>
        </w:rPr>
        <w:t>ї </w:t>
      </w:r>
    </w:p>
    <w:p w14:paraId="04CEF139" w14:textId="3CCCFDCE" w:rsidR="00F058F8" w:rsidRPr="00977DD0" w:rsidRDefault="0049418E" w:rsidP="00F058F8">
      <w:pPr>
        <w:jc w:val="both"/>
        <w:rPr>
          <w:b/>
          <w:sz w:val="28"/>
          <w:szCs w:val="28"/>
        </w:rPr>
      </w:pPr>
      <w:r w:rsidRPr="00977DD0">
        <w:rPr>
          <w:b/>
          <w:sz w:val="28"/>
          <w:szCs w:val="28"/>
        </w:rPr>
        <w:t xml:space="preserve">служби України                  </w:t>
      </w:r>
      <w:r w:rsidR="001D1632" w:rsidRPr="00977DD0">
        <w:rPr>
          <w:b/>
          <w:sz w:val="28"/>
          <w:szCs w:val="28"/>
        </w:rPr>
        <w:t xml:space="preserve">      </w:t>
      </w:r>
      <w:r w:rsidR="006A2311" w:rsidRPr="00977DD0">
        <w:rPr>
          <w:b/>
          <w:sz w:val="28"/>
          <w:szCs w:val="28"/>
        </w:rPr>
        <w:t xml:space="preserve">    </w:t>
      </w:r>
      <w:r w:rsidRPr="00977DD0">
        <w:rPr>
          <w:b/>
          <w:sz w:val="28"/>
          <w:szCs w:val="28"/>
        </w:rPr>
        <w:t xml:space="preserve">                                               </w:t>
      </w:r>
      <w:r w:rsidR="001D1632" w:rsidRPr="00977DD0">
        <w:rPr>
          <w:b/>
          <w:sz w:val="28"/>
          <w:szCs w:val="28"/>
        </w:rPr>
        <w:t>Павло РЯБІКІН</w:t>
      </w:r>
    </w:p>
    <w:p w14:paraId="14007AF8" w14:textId="32936D5C" w:rsidR="006A2311" w:rsidRPr="00977DD0" w:rsidRDefault="006A2311" w:rsidP="00F058F8">
      <w:pPr>
        <w:jc w:val="both"/>
        <w:rPr>
          <w:b/>
          <w:sz w:val="28"/>
          <w:szCs w:val="28"/>
        </w:rPr>
      </w:pPr>
    </w:p>
    <w:p w14:paraId="5CD7234F" w14:textId="77777777" w:rsidR="006A2311" w:rsidRPr="00977DD0" w:rsidRDefault="006A2311" w:rsidP="00F058F8">
      <w:pPr>
        <w:jc w:val="both"/>
        <w:rPr>
          <w:b/>
          <w:sz w:val="28"/>
          <w:szCs w:val="28"/>
          <w:lang w:eastAsia="en-US"/>
        </w:rPr>
      </w:pPr>
    </w:p>
    <w:p w14:paraId="1208CF3B" w14:textId="53E208A4" w:rsidR="00F058F8" w:rsidRPr="00A75F41" w:rsidRDefault="006A2311" w:rsidP="00F058F8">
      <w:pPr>
        <w:spacing w:before="120"/>
        <w:jc w:val="both"/>
        <w:rPr>
          <w:sz w:val="20"/>
          <w:szCs w:val="20"/>
        </w:rPr>
      </w:pPr>
      <w:r w:rsidRPr="00977DD0">
        <w:rPr>
          <w:sz w:val="27"/>
          <w:szCs w:val="27"/>
        </w:rPr>
        <w:t xml:space="preserve">___ </w:t>
      </w:r>
      <w:r w:rsidR="00F058F8" w:rsidRPr="00977DD0">
        <w:rPr>
          <w:sz w:val="27"/>
          <w:szCs w:val="27"/>
        </w:rPr>
        <w:t>_____________ 202</w:t>
      </w:r>
      <w:r w:rsidR="005F07AF" w:rsidRPr="00977DD0">
        <w:rPr>
          <w:sz w:val="27"/>
          <w:szCs w:val="27"/>
        </w:rPr>
        <w:t>1</w:t>
      </w:r>
      <w:r w:rsidR="00F058F8" w:rsidRPr="00977DD0">
        <w:rPr>
          <w:sz w:val="27"/>
          <w:szCs w:val="27"/>
        </w:rPr>
        <w:t xml:space="preserve"> р.</w:t>
      </w:r>
      <w:r w:rsidR="00F058F8" w:rsidRPr="00A75F41">
        <w:rPr>
          <w:b/>
          <w:sz w:val="28"/>
          <w:szCs w:val="28"/>
        </w:rPr>
        <w:t xml:space="preserve">                                    </w:t>
      </w:r>
    </w:p>
    <w:sectPr w:rsidR="00F058F8" w:rsidRPr="00A75F41" w:rsidSect="0049418E">
      <w:headerReference w:type="default" r:id="rId8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DCEEA" w14:textId="77777777" w:rsidR="001C03D8" w:rsidRDefault="001C03D8">
      <w:r>
        <w:separator/>
      </w:r>
    </w:p>
  </w:endnote>
  <w:endnote w:type="continuationSeparator" w:id="0">
    <w:p w14:paraId="6D8CC279" w14:textId="77777777" w:rsidR="001C03D8" w:rsidRDefault="001C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97073" w14:textId="77777777" w:rsidR="001C03D8" w:rsidRDefault="001C03D8">
      <w:r>
        <w:separator/>
      </w:r>
    </w:p>
  </w:footnote>
  <w:footnote w:type="continuationSeparator" w:id="0">
    <w:p w14:paraId="3A243448" w14:textId="77777777" w:rsidR="001C03D8" w:rsidRDefault="001C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0495590"/>
      <w:docPartObj>
        <w:docPartGallery w:val="Page Numbers (Top of Page)"/>
        <w:docPartUnique/>
      </w:docPartObj>
    </w:sdtPr>
    <w:sdtEndPr/>
    <w:sdtContent>
      <w:p w14:paraId="63060330" w14:textId="78BCEECF" w:rsidR="00177ADA" w:rsidRDefault="00AB5A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DD0">
          <w:rPr>
            <w:noProof/>
          </w:rPr>
          <w:t>9</w:t>
        </w:r>
        <w:r>
          <w:fldChar w:fldCharType="end"/>
        </w:r>
      </w:p>
    </w:sdtContent>
  </w:sdt>
  <w:p w14:paraId="78B53741" w14:textId="77777777" w:rsidR="00177ADA" w:rsidRDefault="00087A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3095B"/>
    <w:multiLevelType w:val="hybridMultilevel"/>
    <w:tmpl w:val="252A2A0A"/>
    <w:lvl w:ilvl="0" w:tplc="2FEA72E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6C67B8"/>
    <w:multiLevelType w:val="hybridMultilevel"/>
    <w:tmpl w:val="C928923A"/>
    <w:lvl w:ilvl="0" w:tplc="6B2045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542DFB"/>
    <w:multiLevelType w:val="hybridMultilevel"/>
    <w:tmpl w:val="47A4C9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651F1"/>
    <w:multiLevelType w:val="hybridMultilevel"/>
    <w:tmpl w:val="D8745784"/>
    <w:lvl w:ilvl="0" w:tplc="CDD0348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B30DD1"/>
    <w:multiLevelType w:val="hybridMultilevel"/>
    <w:tmpl w:val="7438FE5C"/>
    <w:lvl w:ilvl="0" w:tplc="901C2E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B38"/>
    <w:rsid w:val="0000283C"/>
    <w:rsid w:val="0003032F"/>
    <w:rsid w:val="00032A04"/>
    <w:rsid w:val="000464BD"/>
    <w:rsid w:val="00047BB7"/>
    <w:rsid w:val="00052623"/>
    <w:rsid w:val="0005639A"/>
    <w:rsid w:val="00087A0E"/>
    <w:rsid w:val="000924B2"/>
    <w:rsid w:val="000B488A"/>
    <w:rsid w:val="000C38E8"/>
    <w:rsid w:val="000D459B"/>
    <w:rsid w:val="000E17D9"/>
    <w:rsid w:val="000E4179"/>
    <w:rsid w:val="000F52E7"/>
    <w:rsid w:val="00100C24"/>
    <w:rsid w:val="001611DD"/>
    <w:rsid w:val="00166597"/>
    <w:rsid w:val="00184687"/>
    <w:rsid w:val="00190D4C"/>
    <w:rsid w:val="0019576D"/>
    <w:rsid w:val="001A7B0A"/>
    <w:rsid w:val="001C03D8"/>
    <w:rsid w:val="001C4069"/>
    <w:rsid w:val="001D1632"/>
    <w:rsid w:val="001D7D08"/>
    <w:rsid w:val="001E2C6D"/>
    <w:rsid w:val="0022092F"/>
    <w:rsid w:val="00261609"/>
    <w:rsid w:val="002727EE"/>
    <w:rsid w:val="002841E0"/>
    <w:rsid w:val="002857F7"/>
    <w:rsid w:val="002A691E"/>
    <w:rsid w:val="002B131A"/>
    <w:rsid w:val="002B2478"/>
    <w:rsid w:val="002B52BD"/>
    <w:rsid w:val="002C4AFB"/>
    <w:rsid w:val="002D410F"/>
    <w:rsid w:val="002F399D"/>
    <w:rsid w:val="0031005A"/>
    <w:rsid w:val="003361C8"/>
    <w:rsid w:val="003403EB"/>
    <w:rsid w:val="003646F8"/>
    <w:rsid w:val="00380542"/>
    <w:rsid w:val="00380EBA"/>
    <w:rsid w:val="003938CB"/>
    <w:rsid w:val="003951F8"/>
    <w:rsid w:val="003A0324"/>
    <w:rsid w:val="003A0B73"/>
    <w:rsid w:val="003A516F"/>
    <w:rsid w:val="003A76C6"/>
    <w:rsid w:val="003A7938"/>
    <w:rsid w:val="003B742C"/>
    <w:rsid w:val="003C5037"/>
    <w:rsid w:val="003D5F1D"/>
    <w:rsid w:val="003D5FC0"/>
    <w:rsid w:val="003F4AC1"/>
    <w:rsid w:val="003F61CE"/>
    <w:rsid w:val="0040026B"/>
    <w:rsid w:val="00400E32"/>
    <w:rsid w:val="00403B59"/>
    <w:rsid w:val="004063BE"/>
    <w:rsid w:val="004374B9"/>
    <w:rsid w:val="0049418E"/>
    <w:rsid w:val="004A3107"/>
    <w:rsid w:val="004A5250"/>
    <w:rsid w:val="004A76F6"/>
    <w:rsid w:val="004A775F"/>
    <w:rsid w:val="004B65F4"/>
    <w:rsid w:val="004C0F37"/>
    <w:rsid w:val="004E2EC3"/>
    <w:rsid w:val="004E5A07"/>
    <w:rsid w:val="004F7D99"/>
    <w:rsid w:val="00525FB1"/>
    <w:rsid w:val="005343D6"/>
    <w:rsid w:val="00534B77"/>
    <w:rsid w:val="0056343E"/>
    <w:rsid w:val="00566A6F"/>
    <w:rsid w:val="00591584"/>
    <w:rsid w:val="00597253"/>
    <w:rsid w:val="005A3A08"/>
    <w:rsid w:val="005C7ED8"/>
    <w:rsid w:val="005F07AF"/>
    <w:rsid w:val="00640B48"/>
    <w:rsid w:val="006729EA"/>
    <w:rsid w:val="00674AF3"/>
    <w:rsid w:val="006A2311"/>
    <w:rsid w:val="006C2728"/>
    <w:rsid w:val="006E40E2"/>
    <w:rsid w:val="007040C0"/>
    <w:rsid w:val="00707417"/>
    <w:rsid w:val="007135B8"/>
    <w:rsid w:val="00735C2C"/>
    <w:rsid w:val="00752ED8"/>
    <w:rsid w:val="00766302"/>
    <w:rsid w:val="00785336"/>
    <w:rsid w:val="00795033"/>
    <w:rsid w:val="007962F6"/>
    <w:rsid w:val="007B78C8"/>
    <w:rsid w:val="007C6621"/>
    <w:rsid w:val="007F05A1"/>
    <w:rsid w:val="007F5444"/>
    <w:rsid w:val="007F5731"/>
    <w:rsid w:val="00800FB5"/>
    <w:rsid w:val="00822322"/>
    <w:rsid w:val="00830A24"/>
    <w:rsid w:val="0084461A"/>
    <w:rsid w:val="00860489"/>
    <w:rsid w:val="00867FC0"/>
    <w:rsid w:val="00870563"/>
    <w:rsid w:val="00880043"/>
    <w:rsid w:val="00885F6B"/>
    <w:rsid w:val="00891048"/>
    <w:rsid w:val="008A28CB"/>
    <w:rsid w:val="008A65EB"/>
    <w:rsid w:val="008D4896"/>
    <w:rsid w:val="008E1743"/>
    <w:rsid w:val="008E624B"/>
    <w:rsid w:val="008F5C56"/>
    <w:rsid w:val="00941DC0"/>
    <w:rsid w:val="009477F7"/>
    <w:rsid w:val="00960AC8"/>
    <w:rsid w:val="00973B58"/>
    <w:rsid w:val="00973FE9"/>
    <w:rsid w:val="00977DD0"/>
    <w:rsid w:val="009926A3"/>
    <w:rsid w:val="009A163F"/>
    <w:rsid w:val="009A4B38"/>
    <w:rsid w:val="009B27AB"/>
    <w:rsid w:val="00A13E68"/>
    <w:rsid w:val="00A31F06"/>
    <w:rsid w:val="00A75F41"/>
    <w:rsid w:val="00A761E7"/>
    <w:rsid w:val="00A7699A"/>
    <w:rsid w:val="00A77B71"/>
    <w:rsid w:val="00A811A4"/>
    <w:rsid w:val="00A82AA2"/>
    <w:rsid w:val="00A86A08"/>
    <w:rsid w:val="00A97217"/>
    <w:rsid w:val="00AA18E7"/>
    <w:rsid w:val="00AB2A1D"/>
    <w:rsid w:val="00AB42B6"/>
    <w:rsid w:val="00AB54BB"/>
    <w:rsid w:val="00AB5A19"/>
    <w:rsid w:val="00AE4D58"/>
    <w:rsid w:val="00B21338"/>
    <w:rsid w:val="00B2226A"/>
    <w:rsid w:val="00B25A89"/>
    <w:rsid w:val="00B27964"/>
    <w:rsid w:val="00B34C36"/>
    <w:rsid w:val="00B34D2B"/>
    <w:rsid w:val="00B466F6"/>
    <w:rsid w:val="00B504C6"/>
    <w:rsid w:val="00B73D5F"/>
    <w:rsid w:val="00B82FD7"/>
    <w:rsid w:val="00B85EC8"/>
    <w:rsid w:val="00B93995"/>
    <w:rsid w:val="00BA0D11"/>
    <w:rsid w:val="00BB02D4"/>
    <w:rsid w:val="00BB2D47"/>
    <w:rsid w:val="00BD441C"/>
    <w:rsid w:val="00BD6ECE"/>
    <w:rsid w:val="00BE1287"/>
    <w:rsid w:val="00BE55FE"/>
    <w:rsid w:val="00BF75A6"/>
    <w:rsid w:val="00C06E1D"/>
    <w:rsid w:val="00C16CE3"/>
    <w:rsid w:val="00C33F6F"/>
    <w:rsid w:val="00C3504A"/>
    <w:rsid w:val="00C74CB9"/>
    <w:rsid w:val="00C81479"/>
    <w:rsid w:val="00C95978"/>
    <w:rsid w:val="00C97A5C"/>
    <w:rsid w:val="00CA0555"/>
    <w:rsid w:val="00CD22B1"/>
    <w:rsid w:val="00CD79E8"/>
    <w:rsid w:val="00CE0BC9"/>
    <w:rsid w:val="00CF2BA8"/>
    <w:rsid w:val="00CF39DD"/>
    <w:rsid w:val="00D12631"/>
    <w:rsid w:val="00D544A2"/>
    <w:rsid w:val="00D66B93"/>
    <w:rsid w:val="00D7220C"/>
    <w:rsid w:val="00D944D0"/>
    <w:rsid w:val="00DC523F"/>
    <w:rsid w:val="00DD418B"/>
    <w:rsid w:val="00DF1726"/>
    <w:rsid w:val="00E03C0A"/>
    <w:rsid w:val="00E040C4"/>
    <w:rsid w:val="00E06B41"/>
    <w:rsid w:val="00E226A3"/>
    <w:rsid w:val="00E42C8E"/>
    <w:rsid w:val="00E5648A"/>
    <w:rsid w:val="00E95870"/>
    <w:rsid w:val="00EA121C"/>
    <w:rsid w:val="00EA3C03"/>
    <w:rsid w:val="00EE5083"/>
    <w:rsid w:val="00F058F8"/>
    <w:rsid w:val="00F26E1A"/>
    <w:rsid w:val="00F3250A"/>
    <w:rsid w:val="00F32A53"/>
    <w:rsid w:val="00F42442"/>
    <w:rsid w:val="00F510CD"/>
    <w:rsid w:val="00F51D0E"/>
    <w:rsid w:val="00F63038"/>
    <w:rsid w:val="00F954B5"/>
    <w:rsid w:val="00FB00C9"/>
    <w:rsid w:val="00FC1FA2"/>
    <w:rsid w:val="00FC505A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83EC3"/>
  <w15:docId w15:val="{2898D7CA-AF40-42A4-B72D-8C61EEB2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A4B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4B38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rsid w:val="009A4B38"/>
    <w:pPr>
      <w:spacing w:before="100" w:beforeAutospacing="1" w:after="100" w:afterAutospacing="1"/>
    </w:pPr>
  </w:style>
  <w:style w:type="character" w:customStyle="1" w:styleId="a4">
    <w:name w:val="Обычный (Интернет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,Обычный (веб) Знак2 Знак,Обычный (веб) Знак1 Знак Знак"/>
    <w:link w:val="a3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9A4B38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Default">
    <w:name w:val="Default"/>
    <w:rsid w:val="009A4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9A4B38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B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9A4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4B3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846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468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tlid-translation">
    <w:name w:val="tlid-translation"/>
    <w:rsid w:val="004E5A07"/>
  </w:style>
  <w:style w:type="character" w:styleId="ab">
    <w:name w:val="annotation reference"/>
    <w:basedOn w:val="a0"/>
    <w:uiPriority w:val="99"/>
    <w:semiHidden/>
    <w:unhideWhenUsed/>
    <w:rsid w:val="00B213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2133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213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13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213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EF0AB-2B5D-40A0-802C-04615F49B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Пользователь</cp:lastModifiedBy>
  <cp:revision>2</cp:revision>
  <cp:lastPrinted>2021-04-02T10:36:00Z</cp:lastPrinted>
  <dcterms:created xsi:type="dcterms:W3CDTF">2021-04-06T12:23:00Z</dcterms:created>
  <dcterms:modified xsi:type="dcterms:W3CDTF">2021-04-06T12:23:00Z</dcterms:modified>
</cp:coreProperties>
</file>