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C1" w:rsidRDefault="009338C1" w:rsidP="001C6D28">
      <w:pPr>
        <w:pStyle w:val="3"/>
        <w:widowControl w:val="0"/>
        <w:spacing w:before="0" w:beforeAutospacing="0" w:after="0" w:afterAutospacing="0"/>
        <w:jc w:val="center"/>
        <w:rPr>
          <w:sz w:val="28"/>
          <w:szCs w:val="28"/>
          <w:lang w:val="uk-UA"/>
        </w:rPr>
      </w:pPr>
    </w:p>
    <w:p w:rsidR="009338C1" w:rsidRDefault="009338C1" w:rsidP="001C6D28">
      <w:pPr>
        <w:pStyle w:val="3"/>
        <w:widowControl w:val="0"/>
        <w:spacing w:before="0" w:beforeAutospacing="0" w:after="0" w:afterAutospacing="0"/>
        <w:jc w:val="center"/>
        <w:rPr>
          <w:sz w:val="28"/>
          <w:szCs w:val="28"/>
          <w:lang w:val="uk-UA"/>
        </w:rPr>
      </w:pPr>
    </w:p>
    <w:p w:rsidR="001C6D28" w:rsidRPr="0082218E" w:rsidRDefault="001C6D28" w:rsidP="001C6D28">
      <w:pPr>
        <w:pStyle w:val="3"/>
        <w:widowControl w:val="0"/>
        <w:spacing w:before="0" w:beforeAutospacing="0" w:after="0" w:afterAutospacing="0"/>
        <w:jc w:val="center"/>
        <w:rPr>
          <w:sz w:val="28"/>
          <w:szCs w:val="28"/>
        </w:rPr>
      </w:pPr>
      <w:bookmarkStart w:id="0" w:name="_GoBack"/>
      <w:r w:rsidRPr="0082218E">
        <w:rPr>
          <w:sz w:val="28"/>
          <w:szCs w:val="28"/>
          <w:lang w:val="uk-UA"/>
        </w:rPr>
        <w:t>АНАЛІЗ РЕГУЛЯТОРНОГО ВПЛИВУ</w:t>
      </w:r>
    </w:p>
    <w:p w:rsidR="001C6D28" w:rsidRPr="0082218E" w:rsidRDefault="001C6D28" w:rsidP="001C6D28">
      <w:pPr>
        <w:widowControl w:val="0"/>
        <w:tabs>
          <w:tab w:val="left" w:pos="3686"/>
        </w:tabs>
        <w:jc w:val="center"/>
        <w:rPr>
          <w:b/>
          <w:sz w:val="28"/>
          <w:szCs w:val="28"/>
          <w:lang w:val="uk-UA"/>
        </w:rPr>
      </w:pPr>
      <w:r w:rsidRPr="0082218E">
        <w:rPr>
          <w:b/>
          <w:sz w:val="28"/>
          <w:szCs w:val="28"/>
          <w:lang w:val="uk-UA"/>
        </w:rPr>
        <w:t xml:space="preserve">проекту наказу Міністерства фінансів України </w:t>
      </w:r>
    </w:p>
    <w:p w:rsidR="001C6D28" w:rsidRPr="0082218E" w:rsidRDefault="001C6D28" w:rsidP="001C6D28">
      <w:pPr>
        <w:widowControl w:val="0"/>
        <w:tabs>
          <w:tab w:val="left" w:pos="3686"/>
        </w:tabs>
        <w:jc w:val="center"/>
        <w:rPr>
          <w:b/>
          <w:sz w:val="28"/>
          <w:szCs w:val="28"/>
          <w:lang w:val="uk-UA"/>
        </w:rPr>
      </w:pPr>
      <w:r w:rsidRPr="0082218E">
        <w:rPr>
          <w:b/>
          <w:sz w:val="28"/>
          <w:szCs w:val="28"/>
          <w:lang w:val="uk-UA"/>
        </w:rPr>
        <w:t>„</w:t>
      </w:r>
      <w:r w:rsidRPr="0082218E">
        <w:rPr>
          <w:b/>
          <w:sz w:val="28"/>
          <w:szCs w:val="28"/>
        </w:rPr>
        <w:t xml:space="preserve">Про </w:t>
      </w:r>
      <w:proofErr w:type="spellStart"/>
      <w:r w:rsidRPr="0082218E">
        <w:rPr>
          <w:b/>
          <w:sz w:val="28"/>
          <w:szCs w:val="28"/>
        </w:rPr>
        <w:t>затвердження</w:t>
      </w:r>
      <w:proofErr w:type="spellEnd"/>
      <w:r w:rsidRPr="0082218E">
        <w:rPr>
          <w:b/>
          <w:sz w:val="28"/>
          <w:szCs w:val="28"/>
        </w:rPr>
        <w:t xml:space="preserve"> </w:t>
      </w:r>
      <w:proofErr w:type="spellStart"/>
      <w:r w:rsidRPr="0082218E">
        <w:rPr>
          <w:b/>
          <w:sz w:val="28"/>
          <w:szCs w:val="28"/>
        </w:rPr>
        <w:t>Змін</w:t>
      </w:r>
      <w:proofErr w:type="spellEnd"/>
      <w:r w:rsidRPr="0082218E">
        <w:rPr>
          <w:b/>
          <w:sz w:val="28"/>
          <w:szCs w:val="28"/>
        </w:rPr>
        <w:t xml:space="preserve"> до </w:t>
      </w:r>
      <w:proofErr w:type="spellStart"/>
      <w:r w:rsidRPr="0082218E">
        <w:rPr>
          <w:b/>
          <w:sz w:val="28"/>
          <w:szCs w:val="28"/>
        </w:rPr>
        <w:t>деяких</w:t>
      </w:r>
      <w:proofErr w:type="spellEnd"/>
      <w:r w:rsidRPr="0082218E">
        <w:rPr>
          <w:b/>
          <w:sz w:val="28"/>
          <w:szCs w:val="28"/>
        </w:rPr>
        <w:t xml:space="preserve"> нормативно-</w:t>
      </w:r>
      <w:proofErr w:type="spellStart"/>
      <w:r w:rsidRPr="0082218E">
        <w:rPr>
          <w:b/>
          <w:sz w:val="28"/>
          <w:szCs w:val="28"/>
        </w:rPr>
        <w:t>правових</w:t>
      </w:r>
      <w:proofErr w:type="spellEnd"/>
      <w:r w:rsidRPr="0082218E">
        <w:rPr>
          <w:b/>
          <w:sz w:val="28"/>
          <w:szCs w:val="28"/>
        </w:rPr>
        <w:t xml:space="preserve"> </w:t>
      </w:r>
      <w:proofErr w:type="spellStart"/>
      <w:r w:rsidRPr="0082218E">
        <w:rPr>
          <w:b/>
          <w:sz w:val="28"/>
          <w:szCs w:val="28"/>
        </w:rPr>
        <w:t>актів</w:t>
      </w:r>
      <w:proofErr w:type="spellEnd"/>
      <w:r w:rsidRPr="0082218E">
        <w:rPr>
          <w:b/>
          <w:sz w:val="28"/>
          <w:szCs w:val="28"/>
        </w:rPr>
        <w:t xml:space="preserve"> </w:t>
      </w:r>
      <w:proofErr w:type="spellStart"/>
      <w:r w:rsidRPr="0082218E">
        <w:rPr>
          <w:b/>
          <w:sz w:val="28"/>
          <w:szCs w:val="28"/>
        </w:rPr>
        <w:t>Міністерства</w:t>
      </w:r>
      <w:proofErr w:type="spellEnd"/>
      <w:r w:rsidRPr="0082218E">
        <w:rPr>
          <w:b/>
          <w:sz w:val="28"/>
          <w:szCs w:val="28"/>
        </w:rPr>
        <w:t xml:space="preserve"> </w:t>
      </w:r>
      <w:proofErr w:type="spellStart"/>
      <w:r w:rsidRPr="0082218E">
        <w:rPr>
          <w:b/>
          <w:sz w:val="28"/>
          <w:szCs w:val="28"/>
        </w:rPr>
        <w:t>фінансів</w:t>
      </w:r>
      <w:proofErr w:type="spellEnd"/>
      <w:r w:rsidRPr="0082218E">
        <w:rPr>
          <w:b/>
          <w:sz w:val="28"/>
          <w:szCs w:val="28"/>
        </w:rPr>
        <w:t xml:space="preserve"> України</w:t>
      </w:r>
      <w:r w:rsidRPr="0082218E">
        <w:rPr>
          <w:b/>
          <w:sz w:val="28"/>
          <w:szCs w:val="28"/>
          <w:lang w:val="uk-UA"/>
        </w:rPr>
        <w:t>”</w:t>
      </w:r>
    </w:p>
    <w:bookmarkEnd w:id="0"/>
    <w:p w:rsidR="001C6D28" w:rsidRPr="0082218E" w:rsidRDefault="001C6D28" w:rsidP="001C6D28">
      <w:pPr>
        <w:pStyle w:val="3"/>
        <w:widowControl w:val="0"/>
        <w:spacing w:before="0" w:beforeAutospacing="0" w:after="0" w:afterAutospacing="0"/>
        <w:jc w:val="center"/>
        <w:rPr>
          <w:b w:val="0"/>
          <w:sz w:val="28"/>
          <w:szCs w:val="28"/>
          <w:lang w:val="uk-UA"/>
        </w:rPr>
      </w:pP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І.</w:t>
      </w:r>
      <w:r w:rsidRPr="0082218E">
        <w:rPr>
          <w:sz w:val="28"/>
          <w:szCs w:val="28"/>
          <w:lang w:val="en-US"/>
        </w:rPr>
        <w:t> </w:t>
      </w:r>
      <w:r w:rsidRPr="0082218E">
        <w:rPr>
          <w:sz w:val="28"/>
          <w:szCs w:val="28"/>
          <w:lang w:val="uk-UA"/>
        </w:rPr>
        <w:t>Визначення проблеми</w:t>
      </w:r>
    </w:p>
    <w:p w:rsidR="001C6D28" w:rsidRPr="0082218E" w:rsidRDefault="001C6D28" w:rsidP="001C6D28">
      <w:pPr>
        <w:pStyle w:val="3"/>
        <w:widowControl w:val="0"/>
        <w:spacing w:before="0" w:beforeAutospacing="0" w:after="0" w:afterAutospacing="0"/>
        <w:jc w:val="center"/>
        <w:rPr>
          <w:b w:val="0"/>
          <w:sz w:val="28"/>
          <w:szCs w:val="28"/>
          <w:lang w:val="uk-UA"/>
        </w:rPr>
      </w:pPr>
    </w:p>
    <w:p w:rsidR="001C6D28" w:rsidRPr="0082218E" w:rsidRDefault="001C6D28" w:rsidP="001C6D28">
      <w:pPr>
        <w:pStyle w:val="StyleZakonu0"/>
        <w:spacing w:after="0" w:line="240" w:lineRule="auto"/>
        <w:ind w:right="-2" w:firstLine="720"/>
        <w:rPr>
          <w:rFonts w:cs="Times New Roman"/>
          <w:szCs w:val="28"/>
        </w:rPr>
      </w:pPr>
      <w:r w:rsidRPr="0082218E">
        <w:rPr>
          <w:rFonts w:cs="Times New Roman"/>
          <w:szCs w:val="28"/>
        </w:rPr>
        <w:t xml:space="preserve">З прийняттям Верховною Радою України Закону України від </w:t>
      </w:r>
      <w:r w:rsidRPr="0082218E">
        <w:rPr>
          <w:rFonts w:cs="Times New Roman"/>
          <w:szCs w:val="28"/>
        </w:rPr>
        <w:br/>
        <w:t xml:space="preserve">04 лютого 2016 року № 994-VIII «Про внесення зміни до Митного кодексу України щодо створення передумов для нової моделі ринку природного газу» </w:t>
      </w:r>
      <w:r w:rsidRPr="0082218E">
        <w:rPr>
          <w:rFonts w:cs="Times New Roman"/>
          <w:szCs w:val="28"/>
        </w:rPr>
        <w:br/>
        <w:t>(</w:t>
      </w:r>
      <w:r w:rsidRPr="0082218E">
        <w:rPr>
          <w:rFonts w:cs="Times New Roman"/>
          <w:i/>
          <w:szCs w:val="28"/>
        </w:rPr>
        <w:t>далі – Закон № 994</w:t>
      </w:r>
      <w:r w:rsidRPr="0082218E">
        <w:rPr>
          <w:rFonts w:cs="Times New Roman"/>
          <w:szCs w:val="28"/>
        </w:rPr>
        <w:t>) відкрилась можливість продуктивно застосовувати на практиці сучасні торгові моделі з урахуванням принципових змін, які відбулися у європейській газовій та газотранспортній галузях протягом останніх років.</w:t>
      </w:r>
    </w:p>
    <w:p w:rsidR="004410CD" w:rsidRDefault="001C6D28" w:rsidP="001C6D28">
      <w:pPr>
        <w:pStyle w:val="StyleZakonu0"/>
        <w:spacing w:after="0" w:line="240" w:lineRule="auto"/>
        <w:ind w:right="-2" w:firstLine="720"/>
        <w:rPr>
          <w:rFonts w:cs="Times New Roman"/>
          <w:szCs w:val="28"/>
        </w:rPr>
      </w:pPr>
      <w:r w:rsidRPr="0082218E">
        <w:rPr>
          <w:rFonts w:cs="Times New Roman"/>
          <w:szCs w:val="28"/>
        </w:rPr>
        <w:t>Прагнучі досягти енергетичної незалежності та диверсифікувати джерела постачання природного газу для споживачів України, Національна акціонерна компанія «Нафтогаз України» розпочала активну співпрацю з європейськими постачальниками газу, що вимагало, в тому числі, укладання двосторонніх операторських угод (договорів про підключення) між Публічним акціонерним товариством «</w:t>
      </w:r>
      <w:proofErr w:type="spellStart"/>
      <w:r w:rsidRPr="0082218E">
        <w:rPr>
          <w:rFonts w:cs="Times New Roman"/>
          <w:szCs w:val="28"/>
        </w:rPr>
        <w:t>Укртрансгаз</w:t>
      </w:r>
      <w:proofErr w:type="spellEnd"/>
      <w:r w:rsidRPr="0082218E">
        <w:rPr>
          <w:rFonts w:cs="Times New Roman"/>
          <w:szCs w:val="28"/>
        </w:rPr>
        <w:t xml:space="preserve">» та операторами газотранспортних систем суміжних держав. </w:t>
      </w:r>
    </w:p>
    <w:p w:rsidR="001C6D28" w:rsidRPr="0082218E" w:rsidRDefault="001C6D28" w:rsidP="001C6D28">
      <w:pPr>
        <w:pStyle w:val="StyleZakonu0"/>
        <w:spacing w:after="0" w:line="240" w:lineRule="auto"/>
        <w:ind w:right="-2" w:firstLine="720"/>
        <w:rPr>
          <w:rFonts w:cs="Times New Roman"/>
          <w:szCs w:val="28"/>
        </w:rPr>
      </w:pPr>
      <w:r w:rsidRPr="0082218E">
        <w:rPr>
          <w:rFonts w:cs="Times New Roman"/>
          <w:szCs w:val="28"/>
        </w:rPr>
        <w:t>Зазначені угоди вимагають застосування ринкових механізмів при здійсненні транспортування природного газу, використання операцій заміщення, балансування, балансуючих рахунків тощо.</w:t>
      </w:r>
    </w:p>
    <w:p w:rsidR="004410CD" w:rsidRPr="004410CD" w:rsidRDefault="004410CD" w:rsidP="004410CD">
      <w:pPr>
        <w:pStyle w:val="StyleZakonu0"/>
        <w:spacing w:after="0" w:line="240" w:lineRule="auto"/>
        <w:ind w:firstLine="709"/>
        <w:rPr>
          <w:szCs w:val="28"/>
        </w:rPr>
      </w:pPr>
      <w:r w:rsidRPr="004410CD">
        <w:rPr>
          <w:szCs w:val="28"/>
        </w:rPr>
        <w:t>Особливу зацікавленість іноземних постачальників газу викликає потенційна можливість зберігання газу в підземних сховищах</w:t>
      </w:r>
      <w:r>
        <w:rPr>
          <w:szCs w:val="28"/>
        </w:rPr>
        <w:t xml:space="preserve"> на митній території України в режимі митного складу</w:t>
      </w:r>
      <w:r w:rsidRPr="004410CD">
        <w:rPr>
          <w:szCs w:val="28"/>
        </w:rPr>
        <w:t>.</w:t>
      </w:r>
      <w:r>
        <w:rPr>
          <w:szCs w:val="28"/>
        </w:rPr>
        <w:t xml:space="preserve"> </w:t>
      </w:r>
    </w:p>
    <w:p w:rsidR="00AF73BA" w:rsidRPr="00270D33" w:rsidRDefault="00AF73BA" w:rsidP="004410CD">
      <w:pPr>
        <w:ind w:firstLine="709"/>
        <w:jc w:val="both"/>
        <w:rPr>
          <w:sz w:val="28"/>
          <w:szCs w:val="28"/>
          <w:lang w:val="uk-UA"/>
        </w:rPr>
      </w:pPr>
      <w:r>
        <w:rPr>
          <w:sz w:val="28"/>
          <w:szCs w:val="28"/>
          <w:lang w:val="uk-UA"/>
        </w:rPr>
        <w:t>Водночас, за результатами аналізу</w:t>
      </w:r>
      <w:r w:rsidR="00270D33">
        <w:rPr>
          <w:sz w:val="28"/>
          <w:szCs w:val="28"/>
          <w:lang w:val="uk-UA"/>
        </w:rPr>
        <w:t xml:space="preserve"> з офіційного сайту ПАТ «</w:t>
      </w:r>
      <w:proofErr w:type="spellStart"/>
      <w:r w:rsidR="00270D33">
        <w:rPr>
          <w:sz w:val="28"/>
          <w:szCs w:val="28"/>
          <w:lang w:val="uk-UA"/>
        </w:rPr>
        <w:t>Укртрансгаз</w:t>
      </w:r>
      <w:proofErr w:type="spellEnd"/>
      <w:r w:rsidR="00270D33">
        <w:rPr>
          <w:sz w:val="28"/>
          <w:szCs w:val="28"/>
          <w:lang w:val="uk-UA"/>
        </w:rPr>
        <w:t>»</w:t>
      </w:r>
      <w:r>
        <w:rPr>
          <w:sz w:val="28"/>
          <w:szCs w:val="28"/>
          <w:lang w:val="uk-UA"/>
        </w:rPr>
        <w:t>, в</w:t>
      </w:r>
      <w:r w:rsidR="004410CD" w:rsidRPr="004410CD">
        <w:rPr>
          <w:sz w:val="28"/>
          <w:szCs w:val="28"/>
          <w:lang w:val="uk-UA"/>
        </w:rPr>
        <w:t>иходячи з динаміки закачування і відбору природного за період з 2013 до 2016 року газу, можна зробити висновок, що ПСГ ПАТ «</w:t>
      </w:r>
      <w:proofErr w:type="spellStart"/>
      <w:r w:rsidR="004410CD" w:rsidRPr="004410CD">
        <w:rPr>
          <w:sz w:val="28"/>
          <w:szCs w:val="28"/>
          <w:lang w:val="uk-UA"/>
        </w:rPr>
        <w:t>Укртрансгаз</w:t>
      </w:r>
      <w:proofErr w:type="spellEnd"/>
      <w:r w:rsidR="004410CD" w:rsidRPr="004410CD">
        <w:rPr>
          <w:sz w:val="28"/>
          <w:szCs w:val="28"/>
          <w:lang w:val="uk-UA"/>
        </w:rPr>
        <w:t>» мають невикористані потужності на рівні 14 – 16 млрд. куб. м.</w:t>
      </w:r>
      <w:r w:rsidR="00270D33">
        <w:rPr>
          <w:sz w:val="28"/>
          <w:szCs w:val="28"/>
          <w:lang w:val="uk-UA"/>
        </w:rPr>
        <w:t xml:space="preserve"> </w:t>
      </w:r>
      <w:r w:rsidR="00270D33" w:rsidRPr="00270D33">
        <w:rPr>
          <w:sz w:val="28"/>
          <w:szCs w:val="28"/>
          <w:lang w:val="uk-UA"/>
        </w:rPr>
        <w:t>(</w:t>
      </w:r>
      <w:proofErr w:type="spellStart"/>
      <w:r w:rsidR="00270D33" w:rsidRPr="00270D33">
        <w:rPr>
          <w:sz w:val="28"/>
          <w:szCs w:val="28"/>
          <w:lang w:val="uk-UA"/>
        </w:rPr>
        <w:t>Довідково</w:t>
      </w:r>
      <w:proofErr w:type="spellEnd"/>
      <w:r w:rsidR="00270D33" w:rsidRPr="00270D33">
        <w:rPr>
          <w:sz w:val="28"/>
          <w:szCs w:val="28"/>
          <w:lang w:val="uk-UA"/>
        </w:rPr>
        <w:t xml:space="preserve"> надається інформаційно-аналітична довідка щодо створення митного складу на базі ПСГ ПАТ «УКРТРАНСГАЗ» з місцями розташування ПСГ на території України – Додаток 2)</w:t>
      </w:r>
      <w:r w:rsidR="00270D33">
        <w:rPr>
          <w:sz w:val="28"/>
          <w:szCs w:val="28"/>
          <w:lang w:val="uk-UA"/>
        </w:rPr>
        <w:t>.</w:t>
      </w:r>
      <w:r w:rsidR="004410CD" w:rsidRPr="00270D33">
        <w:rPr>
          <w:sz w:val="28"/>
          <w:szCs w:val="28"/>
          <w:lang w:val="uk-UA"/>
        </w:rPr>
        <w:t xml:space="preserve"> </w:t>
      </w:r>
    </w:p>
    <w:p w:rsidR="004410CD" w:rsidRPr="004410CD" w:rsidRDefault="004410CD" w:rsidP="004410CD">
      <w:pPr>
        <w:ind w:firstLine="709"/>
        <w:jc w:val="both"/>
        <w:rPr>
          <w:sz w:val="28"/>
          <w:szCs w:val="28"/>
          <w:lang w:val="uk-UA"/>
        </w:rPr>
      </w:pPr>
      <w:r w:rsidRPr="004410CD">
        <w:rPr>
          <w:sz w:val="28"/>
          <w:szCs w:val="28"/>
          <w:lang w:val="uk-UA"/>
        </w:rPr>
        <w:t>У зв’язк</w:t>
      </w:r>
      <w:r>
        <w:rPr>
          <w:sz w:val="28"/>
          <w:szCs w:val="28"/>
          <w:lang w:val="uk-UA"/>
        </w:rPr>
        <w:t>у з цим</w:t>
      </w:r>
      <w:r w:rsidR="00AF73BA">
        <w:rPr>
          <w:sz w:val="28"/>
          <w:szCs w:val="28"/>
          <w:lang w:val="uk-UA"/>
        </w:rPr>
        <w:t>,</w:t>
      </w:r>
      <w:r>
        <w:rPr>
          <w:sz w:val="28"/>
          <w:szCs w:val="28"/>
          <w:lang w:val="uk-UA"/>
        </w:rPr>
        <w:t xml:space="preserve"> перспективним напрямком</w:t>
      </w:r>
      <w:r w:rsidRPr="004410CD">
        <w:rPr>
          <w:sz w:val="28"/>
          <w:szCs w:val="28"/>
          <w:lang w:val="uk-UA"/>
        </w:rPr>
        <w:t xml:space="preserve"> розвитку використання наявних потужностей ПСГ є надання послуг зі зберігання європейським енергетичним компаніям.</w:t>
      </w:r>
    </w:p>
    <w:p w:rsidR="004410CD" w:rsidRPr="00270D33" w:rsidRDefault="004410CD" w:rsidP="004410CD">
      <w:pPr>
        <w:ind w:firstLine="709"/>
        <w:jc w:val="both"/>
        <w:rPr>
          <w:sz w:val="28"/>
          <w:szCs w:val="28"/>
          <w:lang w:val="uk-UA"/>
        </w:rPr>
      </w:pPr>
      <w:r w:rsidRPr="00270D33">
        <w:rPr>
          <w:sz w:val="28"/>
          <w:szCs w:val="28"/>
          <w:lang w:val="uk-UA"/>
        </w:rPr>
        <w:t>Відповідно до прогнозу ПАТ «</w:t>
      </w:r>
      <w:proofErr w:type="spellStart"/>
      <w:r w:rsidRPr="00270D33">
        <w:rPr>
          <w:sz w:val="28"/>
          <w:szCs w:val="28"/>
          <w:lang w:val="uk-UA"/>
        </w:rPr>
        <w:t>Укртрансгаз</w:t>
      </w:r>
      <w:proofErr w:type="spellEnd"/>
      <w:r w:rsidRPr="00270D33">
        <w:rPr>
          <w:sz w:val="28"/>
          <w:szCs w:val="28"/>
          <w:lang w:val="uk-UA"/>
        </w:rPr>
        <w:t xml:space="preserve">» протягом наступних 10 років обсяг вільних потужностей ПСГ становитиме понад 13,5 </w:t>
      </w:r>
      <w:proofErr w:type="spellStart"/>
      <w:r w:rsidRPr="00270D33">
        <w:rPr>
          <w:sz w:val="28"/>
          <w:szCs w:val="28"/>
          <w:lang w:val="uk-UA"/>
        </w:rPr>
        <w:t>млрд.куб.м</w:t>
      </w:r>
      <w:proofErr w:type="spellEnd"/>
      <w:r w:rsidRPr="00270D33">
        <w:rPr>
          <w:sz w:val="28"/>
          <w:szCs w:val="28"/>
          <w:lang w:val="uk-UA"/>
        </w:rPr>
        <w:t xml:space="preserve">, їх використання європейськими енергетичними компаніями (за умови відкриття та функціонування митного складу на базі газосховищ) сприятиме більшій завантаженості ПСГ, а також отриманню додаткового доходу за послуги зберігання та транспортування. </w:t>
      </w:r>
    </w:p>
    <w:p w:rsidR="004410CD" w:rsidRDefault="004410CD" w:rsidP="004410CD">
      <w:pPr>
        <w:ind w:firstLine="851"/>
        <w:jc w:val="both"/>
        <w:rPr>
          <w:sz w:val="28"/>
          <w:szCs w:val="28"/>
          <w:lang w:val="uk-UA"/>
        </w:rPr>
      </w:pPr>
    </w:p>
    <w:p w:rsidR="009338C1" w:rsidRPr="00270D33" w:rsidRDefault="009338C1" w:rsidP="004410CD">
      <w:pPr>
        <w:ind w:firstLine="851"/>
        <w:jc w:val="both"/>
        <w:rPr>
          <w:sz w:val="28"/>
          <w:szCs w:val="28"/>
          <w:lang w:val="uk-UA"/>
        </w:rPr>
      </w:pPr>
    </w:p>
    <w:p w:rsidR="004410CD" w:rsidRPr="00270D33" w:rsidRDefault="00270D33" w:rsidP="004410CD">
      <w:pPr>
        <w:ind w:firstLine="709"/>
        <w:jc w:val="center"/>
        <w:rPr>
          <w:b/>
          <w:sz w:val="28"/>
          <w:szCs w:val="28"/>
          <w:lang w:val="uk-UA"/>
        </w:rPr>
      </w:pPr>
      <w:r>
        <w:rPr>
          <w:b/>
          <w:sz w:val="28"/>
          <w:szCs w:val="28"/>
          <w:lang w:val="uk-UA"/>
        </w:rPr>
        <w:lastRenderedPageBreak/>
        <w:t>Прогнозовані д</w:t>
      </w:r>
      <w:proofErr w:type="spellStart"/>
      <w:r w:rsidR="004410CD" w:rsidRPr="004410CD">
        <w:rPr>
          <w:b/>
          <w:sz w:val="28"/>
          <w:szCs w:val="28"/>
        </w:rPr>
        <w:t>оходи</w:t>
      </w:r>
      <w:proofErr w:type="spellEnd"/>
      <w:r w:rsidR="004410CD" w:rsidRPr="004410CD">
        <w:rPr>
          <w:b/>
          <w:sz w:val="28"/>
          <w:szCs w:val="28"/>
        </w:rPr>
        <w:t xml:space="preserve"> за </w:t>
      </w:r>
      <w:proofErr w:type="spellStart"/>
      <w:r w:rsidR="004410CD" w:rsidRPr="004410CD">
        <w:rPr>
          <w:b/>
          <w:sz w:val="28"/>
          <w:szCs w:val="28"/>
        </w:rPr>
        <w:t>послуги</w:t>
      </w:r>
      <w:proofErr w:type="spellEnd"/>
      <w:r w:rsidR="004410CD" w:rsidRPr="004410CD">
        <w:rPr>
          <w:b/>
          <w:sz w:val="28"/>
          <w:szCs w:val="28"/>
        </w:rPr>
        <w:t xml:space="preserve"> </w:t>
      </w:r>
      <w:proofErr w:type="spellStart"/>
      <w:r w:rsidR="004410CD" w:rsidRPr="004410CD">
        <w:rPr>
          <w:b/>
          <w:sz w:val="28"/>
          <w:szCs w:val="28"/>
        </w:rPr>
        <w:t>транспортування</w:t>
      </w:r>
      <w:proofErr w:type="spellEnd"/>
      <w:r w:rsidR="004410CD" w:rsidRPr="004410CD">
        <w:rPr>
          <w:b/>
          <w:sz w:val="28"/>
          <w:szCs w:val="28"/>
        </w:rPr>
        <w:t xml:space="preserve"> та </w:t>
      </w:r>
      <w:proofErr w:type="spellStart"/>
      <w:r w:rsidR="004410CD" w:rsidRPr="004410CD">
        <w:rPr>
          <w:b/>
          <w:sz w:val="28"/>
          <w:szCs w:val="28"/>
        </w:rPr>
        <w:t>зб</w:t>
      </w:r>
      <w:r>
        <w:rPr>
          <w:b/>
          <w:sz w:val="28"/>
          <w:szCs w:val="28"/>
        </w:rPr>
        <w:t>ерігання</w:t>
      </w:r>
      <w:proofErr w:type="spellEnd"/>
      <w:r>
        <w:rPr>
          <w:b/>
          <w:sz w:val="28"/>
          <w:szCs w:val="28"/>
        </w:rPr>
        <w:t xml:space="preserve"> у ПСГ природного газу</w:t>
      </w:r>
      <w:r>
        <w:rPr>
          <w:b/>
          <w:sz w:val="28"/>
          <w:szCs w:val="28"/>
          <w:lang w:val="uk-UA"/>
        </w:rPr>
        <w:t xml:space="preserve">, </w:t>
      </w:r>
      <w:r w:rsidR="004410CD" w:rsidRPr="004410CD">
        <w:rPr>
          <w:b/>
          <w:sz w:val="28"/>
          <w:szCs w:val="28"/>
        </w:rPr>
        <w:t xml:space="preserve">за </w:t>
      </w:r>
      <w:proofErr w:type="spellStart"/>
      <w:r w:rsidR="004410CD" w:rsidRPr="004410CD">
        <w:rPr>
          <w:b/>
          <w:sz w:val="28"/>
          <w:szCs w:val="28"/>
        </w:rPr>
        <w:t>умови</w:t>
      </w:r>
      <w:proofErr w:type="spellEnd"/>
      <w:r w:rsidR="004410CD" w:rsidRPr="004410CD">
        <w:rPr>
          <w:b/>
          <w:sz w:val="28"/>
          <w:szCs w:val="28"/>
        </w:rPr>
        <w:t xml:space="preserve"> </w:t>
      </w:r>
      <w:proofErr w:type="spellStart"/>
      <w:r w:rsidR="004410CD" w:rsidRPr="004410CD">
        <w:rPr>
          <w:b/>
          <w:sz w:val="28"/>
          <w:szCs w:val="28"/>
        </w:rPr>
        <w:t>створення</w:t>
      </w:r>
      <w:proofErr w:type="spellEnd"/>
      <w:r w:rsidR="004410CD" w:rsidRPr="004410CD">
        <w:rPr>
          <w:b/>
          <w:sz w:val="28"/>
          <w:szCs w:val="28"/>
        </w:rPr>
        <w:t xml:space="preserve"> митного складу (млн. грн.).</w:t>
      </w:r>
      <w:r>
        <w:rPr>
          <w:b/>
          <w:sz w:val="28"/>
          <w:szCs w:val="28"/>
          <w:lang w:val="uk-UA"/>
        </w:rPr>
        <w:t xml:space="preserve"> в залежності від невикористаної потужності ПСГ ПАТ «</w:t>
      </w:r>
      <w:proofErr w:type="spellStart"/>
      <w:r>
        <w:rPr>
          <w:b/>
          <w:sz w:val="28"/>
          <w:szCs w:val="28"/>
          <w:lang w:val="uk-UA"/>
        </w:rPr>
        <w:t>Укртрансгаз</w:t>
      </w:r>
      <w:proofErr w:type="spellEnd"/>
      <w:r>
        <w:rPr>
          <w:b/>
          <w:sz w:val="28"/>
          <w:szCs w:val="28"/>
          <w:lang w:val="uk-UA"/>
        </w:rPr>
        <w:t xml:space="preserve">» на </w:t>
      </w:r>
      <w:proofErr w:type="gramStart"/>
      <w:r w:rsidRPr="00270D33">
        <w:rPr>
          <w:b/>
          <w:sz w:val="28"/>
          <w:szCs w:val="28"/>
          <w:lang w:val="uk-UA"/>
        </w:rPr>
        <w:t>р</w:t>
      </w:r>
      <w:proofErr w:type="gramEnd"/>
      <w:r w:rsidRPr="00270D33">
        <w:rPr>
          <w:b/>
          <w:sz w:val="28"/>
          <w:szCs w:val="28"/>
          <w:lang w:val="uk-UA"/>
        </w:rPr>
        <w:t>івні 14 – 16 млрд. куб. м.</w:t>
      </w:r>
    </w:p>
    <w:p w:rsidR="004410CD" w:rsidRPr="00C65AEA" w:rsidRDefault="004410CD" w:rsidP="004410CD">
      <w:pPr>
        <w:ind w:firstLine="709"/>
        <w:jc w:val="center"/>
        <w:rPr>
          <w:sz w:val="16"/>
          <w:szCs w:val="16"/>
        </w:rPr>
      </w:pPr>
    </w:p>
    <w:tbl>
      <w:tblPr>
        <w:tblStyle w:val="a6"/>
        <w:tblW w:w="10075" w:type="dxa"/>
        <w:tblInd w:w="-176" w:type="dxa"/>
        <w:tblLook w:val="04A0" w:firstRow="1" w:lastRow="0" w:firstColumn="1" w:lastColumn="0" w:noHBand="0" w:noVBand="1"/>
      </w:tblPr>
      <w:tblGrid>
        <w:gridCol w:w="2570"/>
        <w:gridCol w:w="1501"/>
        <w:gridCol w:w="1501"/>
        <w:gridCol w:w="1501"/>
        <w:gridCol w:w="1501"/>
        <w:gridCol w:w="1501"/>
      </w:tblGrid>
      <w:tr w:rsidR="004410CD" w:rsidRPr="0018622B" w:rsidTr="00AF73BA">
        <w:tc>
          <w:tcPr>
            <w:tcW w:w="2570" w:type="dxa"/>
            <w:tcBorders>
              <w:top w:val="single" w:sz="4" w:space="0" w:color="auto"/>
              <w:left w:val="single" w:sz="4" w:space="0" w:color="auto"/>
              <w:bottom w:val="single" w:sz="4" w:space="0" w:color="auto"/>
              <w:right w:val="single" w:sz="4" w:space="0" w:color="auto"/>
            </w:tcBorders>
            <w:hideMark/>
          </w:tcPr>
          <w:p w:rsidR="004410CD" w:rsidRPr="0018622B" w:rsidRDefault="004410CD" w:rsidP="00461F01">
            <w:pPr>
              <w:jc w:val="center"/>
              <w:rPr>
                <w:rFonts w:ascii="Times New Roman" w:hAnsi="Times New Roman"/>
              </w:rPr>
            </w:pPr>
            <w:proofErr w:type="spellStart"/>
            <w:r>
              <w:rPr>
                <w:rFonts w:ascii="Times New Roman" w:hAnsi="Times New Roman"/>
              </w:rPr>
              <w:t>П</w:t>
            </w:r>
            <w:r w:rsidRPr="0018622B">
              <w:rPr>
                <w:rFonts w:ascii="Times New Roman" w:hAnsi="Times New Roman"/>
              </w:rPr>
              <w:t>отужност</w:t>
            </w:r>
            <w:r>
              <w:rPr>
                <w:rFonts w:ascii="Times New Roman" w:hAnsi="Times New Roman"/>
              </w:rPr>
              <w:t>і</w:t>
            </w:r>
            <w:proofErr w:type="spellEnd"/>
            <w:r w:rsidRPr="0018622B">
              <w:rPr>
                <w:rFonts w:ascii="Times New Roman" w:hAnsi="Times New Roman"/>
              </w:rPr>
              <w:t xml:space="preserve"> ПСГ</w:t>
            </w:r>
            <w:r>
              <w:rPr>
                <w:rFonts w:ascii="Times New Roman" w:hAnsi="Times New Roman"/>
              </w:rPr>
              <w:t>,</w:t>
            </w:r>
            <w:r w:rsidRPr="0018622B">
              <w:rPr>
                <w:rFonts w:ascii="Times New Roman" w:hAnsi="Times New Roman"/>
              </w:rPr>
              <w:t xml:space="preserve"> </w:t>
            </w:r>
            <w:proofErr w:type="spellStart"/>
            <w:r w:rsidRPr="0018622B">
              <w:rPr>
                <w:rFonts w:ascii="Times New Roman" w:hAnsi="Times New Roman"/>
              </w:rPr>
              <w:t>надан</w:t>
            </w:r>
            <w:r>
              <w:rPr>
                <w:rFonts w:ascii="Times New Roman" w:hAnsi="Times New Roman"/>
              </w:rPr>
              <w:t>і</w:t>
            </w:r>
            <w:proofErr w:type="spellEnd"/>
            <w:r w:rsidRPr="0018622B">
              <w:rPr>
                <w:rFonts w:ascii="Times New Roman" w:hAnsi="Times New Roman"/>
              </w:rPr>
              <w:t xml:space="preserve"> для митного складу</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5%</w:t>
            </w:r>
          </w:p>
          <w:p w:rsidR="004410CD" w:rsidRPr="0018622B" w:rsidRDefault="004410CD" w:rsidP="00461F01">
            <w:pPr>
              <w:jc w:val="center"/>
              <w:rPr>
                <w:rFonts w:ascii="Times New Roman" w:hAnsi="Times New Roman"/>
              </w:rPr>
            </w:pPr>
            <w:r w:rsidRPr="0018622B">
              <w:rPr>
                <w:rFonts w:ascii="Times New Roman" w:hAnsi="Times New Roman"/>
              </w:rPr>
              <w:t xml:space="preserve">(1,55 </w:t>
            </w:r>
            <w:proofErr w:type="spellStart"/>
            <w:r w:rsidRPr="0018622B">
              <w:rPr>
                <w:rFonts w:ascii="Times New Roman" w:hAnsi="Times New Roman"/>
              </w:rPr>
              <w:t>млрд</w:t>
            </w:r>
            <w:proofErr w:type="gramStart"/>
            <w:r w:rsidRPr="0018622B">
              <w:rPr>
                <w:rFonts w:ascii="Times New Roman" w:hAnsi="Times New Roman"/>
              </w:rPr>
              <w:t>.к</w:t>
            </w:r>
            <w:proofErr w:type="gramEnd"/>
            <w:r w:rsidRPr="0018622B">
              <w:rPr>
                <w:rFonts w:ascii="Times New Roman" w:hAnsi="Times New Roman"/>
              </w:rPr>
              <w:t>уб.м</w:t>
            </w:r>
            <w:proofErr w:type="spellEnd"/>
            <w:r w:rsidRPr="0018622B">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10%</w:t>
            </w:r>
          </w:p>
          <w:p w:rsidR="004410CD" w:rsidRPr="0018622B" w:rsidRDefault="004410CD" w:rsidP="00461F01">
            <w:pPr>
              <w:jc w:val="center"/>
              <w:rPr>
                <w:rFonts w:ascii="Times New Roman" w:hAnsi="Times New Roman"/>
              </w:rPr>
            </w:pPr>
            <w:r w:rsidRPr="0018622B">
              <w:rPr>
                <w:rFonts w:ascii="Times New Roman" w:hAnsi="Times New Roman"/>
              </w:rPr>
              <w:t xml:space="preserve">(3,1 </w:t>
            </w:r>
            <w:proofErr w:type="spellStart"/>
            <w:r w:rsidRPr="0018622B">
              <w:rPr>
                <w:rFonts w:ascii="Times New Roman" w:hAnsi="Times New Roman"/>
              </w:rPr>
              <w:t>млрд</w:t>
            </w:r>
            <w:proofErr w:type="gramStart"/>
            <w:r w:rsidRPr="0018622B">
              <w:rPr>
                <w:rFonts w:ascii="Times New Roman" w:hAnsi="Times New Roman"/>
              </w:rPr>
              <w:t>.к</w:t>
            </w:r>
            <w:proofErr w:type="gramEnd"/>
            <w:r w:rsidRPr="0018622B">
              <w:rPr>
                <w:rFonts w:ascii="Times New Roman" w:hAnsi="Times New Roman"/>
              </w:rPr>
              <w:t>уб.м</w:t>
            </w:r>
            <w:proofErr w:type="spellEnd"/>
            <w:r w:rsidRPr="0018622B">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20%</w:t>
            </w:r>
          </w:p>
          <w:p w:rsidR="004410CD" w:rsidRPr="0018622B" w:rsidRDefault="004410CD" w:rsidP="00461F01">
            <w:pPr>
              <w:jc w:val="center"/>
              <w:rPr>
                <w:rFonts w:ascii="Times New Roman" w:hAnsi="Times New Roman"/>
              </w:rPr>
            </w:pPr>
            <w:r w:rsidRPr="0018622B">
              <w:rPr>
                <w:rFonts w:ascii="Times New Roman" w:hAnsi="Times New Roman"/>
              </w:rPr>
              <w:t xml:space="preserve">(6,2 </w:t>
            </w:r>
            <w:proofErr w:type="spellStart"/>
            <w:r w:rsidRPr="0018622B">
              <w:rPr>
                <w:rFonts w:ascii="Times New Roman" w:hAnsi="Times New Roman"/>
              </w:rPr>
              <w:t>млрд</w:t>
            </w:r>
            <w:proofErr w:type="gramStart"/>
            <w:r w:rsidRPr="0018622B">
              <w:rPr>
                <w:rFonts w:ascii="Times New Roman" w:hAnsi="Times New Roman"/>
              </w:rPr>
              <w:t>.к</w:t>
            </w:r>
            <w:proofErr w:type="gramEnd"/>
            <w:r w:rsidRPr="0018622B">
              <w:rPr>
                <w:rFonts w:ascii="Times New Roman" w:hAnsi="Times New Roman"/>
              </w:rPr>
              <w:t>уб.м</w:t>
            </w:r>
            <w:proofErr w:type="spellEnd"/>
            <w:r w:rsidRPr="0018622B">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30%</w:t>
            </w:r>
          </w:p>
          <w:p w:rsidR="004410CD" w:rsidRPr="0018622B" w:rsidRDefault="004410CD" w:rsidP="00461F01">
            <w:pPr>
              <w:jc w:val="center"/>
              <w:rPr>
                <w:rFonts w:ascii="Times New Roman" w:hAnsi="Times New Roman"/>
              </w:rPr>
            </w:pPr>
            <w:r w:rsidRPr="0018622B">
              <w:rPr>
                <w:rFonts w:ascii="Times New Roman" w:hAnsi="Times New Roman"/>
              </w:rPr>
              <w:t xml:space="preserve">(9,3 </w:t>
            </w:r>
            <w:proofErr w:type="spellStart"/>
            <w:r w:rsidRPr="0018622B">
              <w:rPr>
                <w:rFonts w:ascii="Times New Roman" w:hAnsi="Times New Roman"/>
              </w:rPr>
              <w:t>млрд</w:t>
            </w:r>
            <w:proofErr w:type="gramStart"/>
            <w:r w:rsidRPr="0018622B">
              <w:rPr>
                <w:rFonts w:ascii="Times New Roman" w:hAnsi="Times New Roman"/>
              </w:rPr>
              <w:t>.к</w:t>
            </w:r>
            <w:proofErr w:type="gramEnd"/>
            <w:r w:rsidRPr="0018622B">
              <w:rPr>
                <w:rFonts w:ascii="Times New Roman" w:hAnsi="Times New Roman"/>
              </w:rPr>
              <w:t>уб.м</w:t>
            </w:r>
            <w:proofErr w:type="spellEnd"/>
            <w:r w:rsidRPr="0018622B">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40%</w:t>
            </w:r>
          </w:p>
          <w:p w:rsidR="004410CD" w:rsidRPr="0018622B" w:rsidRDefault="004410CD" w:rsidP="00461F01">
            <w:pPr>
              <w:jc w:val="center"/>
              <w:rPr>
                <w:rFonts w:ascii="Times New Roman" w:hAnsi="Times New Roman"/>
              </w:rPr>
            </w:pPr>
            <w:r w:rsidRPr="0018622B">
              <w:rPr>
                <w:rFonts w:ascii="Times New Roman" w:hAnsi="Times New Roman"/>
              </w:rPr>
              <w:t xml:space="preserve">(12,4 </w:t>
            </w:r>
            <w:proofErr w:type="spellStart"/>
            <w:r w:rsidRPr="0018622B">
              <w:rPr>
                <w:rFonts w:ascii="Times New Roman" w:hAnsi="Times New Roman"/>
              </w:rPr>
              <w:t>млрд</w:t>
            </w:r>
            <w:proofErr w:type="gramStart"/>
            <w:r w:rsidRPr="0018622B">
              <w:rPr>
                <w:rFonts w:ascii="Times New Roman" w:hAnsi="Times New Roman"/>
              </w:rPr>
              <w:t>.к</w:t>
            </w:r>
            <w:proofErr w:type="gramEnd"/>
            <w:r w:rsidRPr="0018622B">
              <w:rPr>
                <w:rFonts w:ascii="Times New Roman" w:hAnsi="Times New Roman"/>
              </w:rPr>
              <w:t>уб.м</w:t>
            </w:r>
            <w:proofErr w:type="spellEnd"/>
            <w:r w:rsidRPr="0018622B">
              <w:rPr>
                <w:rFonts w:ascii="Times New Roman" w:hAnsi="Times New Roman"/>
              </w:rPr>
              <w:t>.)</w:t>
            </w:r>
          </w:p>
        </w:tc>
      </w:tr>
      <w:tr w:rsidR="004410CD" w:rsidRPr="0018622B" w:rsidTr="00AF73BA">
        <w:tc>
          <w:tcPr>
            <w:tcW w:w="2570" w:type="dxa"/>
            <w:tcBorders>
              <w:top w:val="single" w:sz="4" w:space="0" w:color="auto"/>
              <w:left w:val="single" w:sz="4" w:space="0" w:color="auto"/>
              <w:bottom w:val="single" w:sz="4" w:space="0" w:color="auto"/>
              <w:right w:val="single" w:sz="4" w:space="0" w:color="auto"/>
            </w:tcBorders>
            <w:hideMark/>
          </w:tcPr>
          <w:p w:rsidR="004410CD" w:rsidRPr="0018622B" w:rsidRDefault="004410CD" w:rsidP="00461F01">
            <w:pPr>
              <w:ind w:firstLine="34"/>
              <w:jc w:val="both"/>
              <w:rPr>
                <w:rFonts w:ascii="Times New Roman" w:hAnsi="Times New Roman"/>
              </w:rPr>
            </w:pPr>
            <w:proofErr w:type="spellStart"/>
            <w:r w:rsidRPr="0018622B">
              <w:rPr>
                <w:rFonts w:ascii="Times New Roman" w:hAnsi="Times New Roman"/>
              </w:rPr>
              <w:t>Дохід</w:t>
            </w:r>
            <w:proofErr w:type="spellEnd"/>
            <w:r w:rsidRPr="0018622B">
              <w:rPr>
                <w:rFonts w:ascii="Times New Roman" w:hAnsi="Times New Roman"/>
              </w:rPr>
              <w:t xml:space="preserve"> за </w:t>
            </w:r>
            <w:proofErr w:type="spellStart"/>
            <w:r w:rsidRPr="0018622B">
              <w:rPr>
                <w:rFonts w:ascii="Times New Roman" w:hAnsi="Times New Roman"/>
              </w:rPr>
              <w:t>послуги</w:t>
            </w:r>
            <w:proofErr w:type="spellEnd"/>
            <w:r w:rsidRPr="0018622B">
              <w:rPr>
                <w:rFonts w:ascii="Times New Roman" w:hAnsi="Times New Roman"/>
              </w:rPr>
              <w:t xml:space="preserve"> </w:t>
            </w:r>
            <w:proofErr w:type="spellStart"/>
            <w:r w:rsidRPr="0018622B">
              <w:rPr>
                <w:rFonts w:ascii="Times New Roman" w:hAnsi="Times New Roman"/>
              </w:rPr>
              <w:t>зберігання</w:t>
            </w:r>
            <w:proofErr w:type="spellEnd"/>
            <w:r w:rsidRPr="0018622B">
              <w:rPr>
                <w:rFonts w:ascii="Times New Roman" w:hAnsi="Times New Roman"/>
              </w:rPr>
              <w:t>, без ПДВ (млн. грн.)</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173,3</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346,6</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693,3</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1 039,9</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1 386,6</w:t>
            </w:r>
          </w:p>
        </w:tc>
      </w:tr>
      <w:tr w:rsidR="004410CD" w:rsidRPr="0018622B" w:rsidTr="00AF73BA">
        <w:tc>
          <w:tcPr>
            <w:tcW w:w="2570" w:type="dxa"/>
            <w:tcBorders>
              <w:top w:val="single" w:sz="4" w:space="0" w:color="auto"/>
              <w:left w:val="single" w:sz="4" w:space="0" w:color="auto"/>
              <w:bottom w:val="single" w:sz="4" w:space="0" w:color="auto"/>
              <w:right w:val="single" w:sz="4" w:space="0" w:color="auto"/>
            </w:tcBorders>
            <w:hideMark/>
          </w:tcPr>
          <w:p w:rsidR="004410CD" w:rsidRPr="0018622B" w:rsidRDefault="004410CD" w:rsidP="00461F01">
            <w:pPr>
              <w:jc w:val="both"/>
              <w:rPr>
                <w:rFonts w:ascii="Times New Roman" w:hAnsi="Times New Roman"/>
              </w:rPr>
            </w:pPr>
            <w:proofErr w:type="spellStart"/>
            <w:r w:rsidRPr="0018622B">
              <w:rPr>
                <w:rFonts w:ascii="Times New Roman" w:hAnsi="Times New Roman"/>
              </w:rPr>
              <w:t>Дохід</w:t>
            </w:r>
            <w:proofErr w:type="spellEnd"/>
            <w:r w:rsidRPr="0018622B">
              <w:rPr>
                <w:rFonts w:ascii="Times New Roman" w:hAnsi="Times New Roman"/>
              </w:rPr>
              <w:t xml:space="preserve"> за </w:t>
            </w:r>
            <w:proofErr w:type="spellStart"/>
            <w:r w:rsidRPr="0018622B">
              <w:rPr>
                <w:rFonts w:ascii="Times New Roman" w:hAnsi="Times New Roman"/>
              </w:rPr>
              <w:t>послуги</w:t>
            </w:r>
            <w:proofErr w:type="spellEnd"/>
            <w:r w:rsidRPr="0018622B">
              <w:rPr>
                <w:rFonts w:ascii="Times New Roman" w:hAnsi="Times New Roman"/>
              </w:rPr>
              <w:t xml:space="preserve"> </w:t>
            </w:r>
            <w:proofErr w:type="spellStart"/>
            <w:r w:rsidRPr="0018622B">
              <w:rPr>
                <w:rFonts w:ascii="Times New Roman" w:hAnsi="Times New Roman"/>
              </w:rPr>
              <w:t>транспортування</w:t>
            </w:r>
            <w:proofErr w:type="spellEnd"/>
            <w:r w:rsidRPr="0018622B">
              <w:rPr>
                <w:rFonts w:ascii="Times New Roman" w:hAnsi="Times New Roman"/>
              </w:rPr>
              <w:t>, без ПДВ (млн. грн.)</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1 947,5</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3 895,1</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7 790,2</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11 685,2</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15 580,3</w:t>
            </w:r>
          </w:p>
        </w:tc>
      </w:tr>
      <w:tr w:rsidR="004410CD" w:rsidRPr="0018622B" w:rsidTr="00AF73BA">
        <w:tc>
          <w:tcPr>
            <w:tcW w:w="2570" w:type="dxa"/>
            <w:tcBorders>
              <w:top w:val="single" w:sz="4" w:space="0" w:color="auto"/>
              <w:left w:val="single" w:sz="4" w:space="0" w:color="auto"/>
              <w:bottom w:val="single" w:sz="4" w:space="0" w:color="auto"/>
              <w:right w:val="single" w:sz="4" w:space="0" w:color="auto"/>
            </w:tcBorders>
            <w:hideMark/>
          </w:tcPr>
          <w:p w:rsidR="004410CD" w:rsidRPr="0018622B" w:rsidRDefault="004410CD" w:rsidP="00461F01">
            <w:pPr>
              <w:jc w:val="center"/>
              <w:rPr>
                <w:rFonts w:ascii="Times New Roman" w:hAnsi="Times New Roman"/>
              </w:rPr>
            </w:pPr>
            <w:r w:rsidRPr="0018622B">
              <w:rPr>
                <w:rFonts w:ascii="Times New Roman" w:hAnsi="Times New Roman"/>
              </w:rPr>
              <w:t>Разом, без ПДВ (млн. грн.)</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2 120,9</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4 241,7</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8 483,4</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12 725,1</w:t>
            </w:r>
          </w:p>
        </w:tc>
        <w:tc>
          <w:tcPr>
            <w:tcW w:w="1501" w:type="dxa"/>
            <w:tcBorders>
              <w:top w:val="single" w:sz="4" w:space="0" w:color="auto"/>
              <w:left w:val="single" w:sz="4" w:space="0" w:color="auto"/>
              <w:bottom w:val="single" w:sz="4" w:space="0" w:color="auto"/>
              <w:right w:val="single" w:sz="4" w:space="0" w:color="auto"/>
            </w:tcBorders>
            <w:vAlign w:val="center"/>
            <w:hideMark/>
          </w:tcPr>
          <w:p w:rsidR="004410CD" w:rsidRPr="0018622B" w:rsidRDefault="004410CD" w:rsidP="00461F01">
            <w:pPr>
              <w:jc w:val="center"/>
              <w:rPr>
                <w:rFonts w:ascii="Times New Roman" w:hAnsi="Times New Roman"/>
              </w:rPr>
            </w:pPr>
            <w:r w:rsidRPr="0018622B">
              <w:rPr>
                <w:rFonts w:ascii="Times New Roman" w:hAnsi="Times New Roman"/>
              </w:rPr>
              <w:t>16 966,9</w:t>
            </w:r>
          </w:p>
        </w:tc>
      </w:tr>
    </w:tbl>
    <w:p w:rsidR="00AF73BA" w:rsidRDefault="00AF73BA" w:rsidP="00AF73BA">
      <w:pPr>
        <w:pStyle w:val="StyleZakonu0"/>
        <w:spacing w:after="0" w:line="240" w:lineRule="auto"/>
        <w:ind w:right="-2" w:firstLine="720"/>
        <w:rPr>
          <w:rFonts w:cs="Times New Roman"/>
          <w:szCs w:val="28"/>
        </w:rPr>
      </w:pPr>
    </w:p>
    <w:p w:rsidR="00AF73BA" w:rsidRPr="0082218E" w:rsidRDefault="00AF73BA" w:rsidP="00AF73BA">
      <w:pPr>
        <w:pStyle w:val="StyleZakonu0"/>
        <w:spacing w:after="0" w:line="240" w:lineRule="auto"/>
        <w:ind w:right="-2" w:firstLine="720"/>
        <w:rPr>
          <w:rFonts w:cs="Times New Roman"/>
          <w:szCs w:val="28"/>
        </w:rPr>
      </w:pPr>
      <w:r w:rsidRPr="0082218E">
        <w:rPr>
          <w:rFonts w:cs="Times New Roman"/>
          <w:szCs w:val="28"/>
        </w:rPr>
        <w:t>У зв’язку з цим, та враховуючи положення пункту 2 розділу ІІ «Прикінцеві положення» Закону № 994, виникла необхідність приведення нормативно-правових актів Мінфіну у відповідність до цього Закону.</w:t>
      </w:r>
    </w:p>
    <w:p w:rsidR="00AF73BA" w:rsidRDefault="00AF73BA" w:rsidP="00AF73BA">
      <w:pPr>
        <w:pStyle w:val="a4"/>
        <w:widowControl w:val="0"/>
        <w:tabs>
          <w:tab w:val="num" w:pos="0"/>
        </w:tabs>
        <w:ind w:left="0"/>
        <w:jc w:val="both"/>
        <w:rPr>
          <w:rFonts w:cs="Times New Roman"/>
          <w:sz w:val="28"/>
          <w:szCs w:val="28"/>
          <w:lang w:val="uk-UA"/>
        </w:rPr>
      </w:pPr>
    </w:p>
    <w:p w:rsidR="001C6D28" w:rsidRPr="0082218E" w:rsidRDefault="001C6D28" w:rsidP="001C6D28">
      <w:pPr>
        <w:pStyle w:val="a4"/>
        <w:widowControl w:val="0"/>
        <w:tabs>
          <w:tab w:val="num" w:pos="0"/>
        </w:tabs>
        <w:ind w:left="0" w:firstLine="709"/>
        <w:jc w:val="both"/>
        <w:rPr>
          <w:rFonts w:cs="Times New Roman"/>
          <w:sz w:val="28"/>
          <w:szCs w:val="28"/>
          <w:lang w:val="uk-UA"/>
        </w:rPr>
      </w:pPr>
      <w:r w:rsidRPr="0082218E">
        <w:rPr>
          <w:rFonts w:cs="Times New Roman"/>
          <w:sz w:val="28"/>
          <w:szCs w:val="28"/>
          <w:lang w:val="uk-UA"/>
        </w:rPr>
        <w:t>Основні групи (підгрупи), на які проблема справляє вплив:</w:t>
      </w:r>
    </w:p>
    <w:p w:rsidR="001C6D28" w:rsidRPr="0082218E" w:rsidRDefault="001C6D28" w:rsidP="001C6D28">
      <w:pPr>
        <w:pStyle w:val="a4"/>
        <w:widowControl w:val="0"/>
        <w:tabs>
          <w:tab w:val="num" w:pos="0"/>
        </w:tabs>
        <w:ind w:left="0" w:firstLine="709"/>
        <w:jc w:val="both"/>
        <w:rPr>
          <w:rFonts w:cs="Times New Roman"/>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91"/>
        <w:gridCol w:w="2831"/>
        <w:gridCol w:w="2565"/>
      </w:tblGrid>
      <w:tr w:rsidR="001C6D28" w:rsidRPr="0082218E" w:rsidTr="001C6D28">
        <w:trPr>
          <w:tblCellSpacing w:w="22" w:type="dxa"/>
        </w:trPr>
        <w:tc>
          <w:tcPr>
            <w:tcW w:w="2210" w:type="pct"/>
            <w:tcBorders>
              <w:top w:val="outset" w:sz="6" w:space="0" w:color="auto"/>
              <w:left w:val="nil"/>
              <w:bottom w:val="outset" w:sz="6" w:space="0" w:color="auto"/>
              <w:right w:val="outset" w:sz="6" w:space="0" w:color="auto"/>
            </w:tcBorders>
            <w:hideMark/>
          </w:tcPr>
          <w:p w:rsidR="001C6D28" w:rsidRPr="0082218E" w:rsidRDefault="001C6D28">
            <w:pPr>
              <w:pStyle w:val="a4"/>
              <w:widowControl w:val="0"/>
              <w:ind w:left="0"/>
              <w:jc w:val="center"/>
              <w:rPr>
                <w:rFonts w:cs="Times New Roman"/>
                <w:lang w:val="uk-UA"/>
              </w:rPr>
            </w:pPr>
            <w:r w:rsidRPr="0082218E">
              <w:rPr>
                <w:rFonts w:cs="Times New Roman"/>
                <w:lang w:val="uk-UA"/>
              </w:rPr>
              <w:t>Групи (підгрупи)</w:t>
            </w:r>
          </w:p>
        </w:tc>
        <w:tc>
          <w:tcPr>
            <w:tcW w:w="1424" w:type="pct"/>
            <w:tcBorders>
              <w:top w:val="outset" w:sz="6" w:space="0" w:color="auto"/>
              <w:left w:val="outset" w:sz="6" w:space="0" w:color="auto"/>
              <w:bottom w:val="outset" w:sz="6" w:space="0" w:color="auto"/>
              <w:right w:val="outset" w:sz="6" w:space="0" w:color="auto"/>
            </w:tcBorders>
            <w:hideMark/>
          </w:tcPr>
          <w:p w:rsidR="001C6D28" w:rsidRPr="0082218E" w:rsidRDefault="001C6D28">
            <w:pPr>
              <w:pStyle w:val="a4"/>
              <w:widowControl w:val="0"/>
              <w:ind w:left="0"/>
              <w:jc w:val="center"/>
              <w:rPr>
                <w:rFonts w:cs="Times New Roman"/>
                <w:lang w:val="uk-UA"/>
              </w:rPr>
            </w:pPr>
            <w:r w:rsidRPr="0082218E">
              <w:rPr>
                <w:rFonts w:cs="Times New Roman"/>
                <w:lang w:val="uk-UA"/>
              </w:rPr>
              <w:t>Так</w:t>
            </w:r>
          </w:p>
        </w:tc>
        <w:tc>
          <w:tcPr>
            <w:tcW w:w="1277" w:type="pct"/>
            <w:tcBorders>
              <w:top w:val="outset" w:sz="6" w:space="0" w:color="auto"/>
              <w:left w:val="outset" w:sz="6" w:space="0" w:color="auto"/>
              <w:bottom w:val="outset" w:sz="6" w:space="0" w:color="auto"/>
              <w:right w:val="nil"/>
            </w:tcBorders>
            <w:hideMark/>
          </w:tcPr>
          <w:p w:rsidR="001C6D28" w:rsidRPr="0082218E" w:rsidRDefault="001C6D28">
            <w:pPr>
              <w:pStyle w:val="a4"/>
              <w:widowControl w:val="0"/>
              <w:ind w:left="0"/>
              <w:jc w:val="center"/>
              <w:rPr>
                <w:rFonts w:cs="Times New Roman"/>
                <w:lang w:val="uk-UA"/>
              </w:rPr>
            </w:pPr>
            <w:r w:rsidRPr="0082218E">
              <w:rPr>
                <w:rFonts w:cs="Times New Roman"/>
                <w:lang w:val="uk-UA"/>
              </w:rPr>
              <w:t>Ні</w:t>
            </w:r>
          </w:p>
        </w:tc>
      </w:tr>
      <w:tr w:rsidR="001C6D28" w:rsidRPr="0082218E" w:rsidTr="001C6D28">
        <w:trPr>
          <w:tblCellSpacing w:w="22" w:type="dxa"/>
        </w:trPr>
        <w:tc>
          <w:tcPr>
            <w:tcW w:w="2210" w:type="pct"/>
            <w:tcBorders>
              <w:top w:val="outset" w:sz="6" w:space="0" w:color="auto"/>
              <w:left w:val="nil"/>
              <w:bottom w:val="outset" w:sz="6" w:space="0" w:color="auto"/>
              <w:right w:val="outset" w:sz="6" w:space="0" w:color="auto"/>
            </w:tcBorders>
            <w:hideMark/>
          </w:tcPr>
          <w:p w:rsidR="001C6D28" w:rsidRPr="0082218E" w:rsidRDefault="001C6D28">
            <w:pPr>
              <w:pStyle w:val="a4"/>
              <w:widowControl w:val="0"/>
              <w:spacing w:before="100" w:beforeAutospacing="1" w:after="100" w:afterAutospacing="1"/>
              <w:ind w:left="0"/>
              <w:rPr>
                <w:rFonts w:cs="Times New Roman"/>
                <w:lang w:val="uk-UA"/>
              </w:rPr>
            </w:pPr>
            <w:r w:rsidRPr="0082218E">
              <w:rPr>
                <w:rFonts w:cs="Times New Roman"/>
                <w:lang w:val="uk-UA"/>
              </w:rPr>
              <w:t>Громадяни</w:t>
            </w:r>
          </w:p>
        </w:tc>
        <w:tc>
          <w:tcPr>
            <w:tcW w:w="1424" w:type="pct"/>
            <w:tcBorders>
              <w:top w:val="outset" w:sz="6" w:space="0" w:color="auto"/>
              <w:left w:val="outset" w:sz="6" w:space="0" w:color="auto"/>
              <w:bottom w:val="outset" w:sz="6" w:space="0" w:color="auto"/>
              <w:right w:val="outset" w:sz="6" w:space="0" w:color="auto"/>
            </w:tcBorders>
            <w:vAlign w:val="center"/>
          </w:tcPr>
          <w:p w:rsidR="001C6D28" w:rsidRPr="0082218E" w:rsidRDefault="001C6D28">
            <w:pPr>
              <w:pStyle w:val="a4"/>
              <w:widowControl w:val="0"/>
              <w:spacing w:before="100" w:beforeAutospacing="1" w:after="100" w:afterAutospacing="1"/>
              <w:ind w:left="0"/>
              <w:jc w:val="center"/>
              <w:rPr>
                <w:rFonts w:cs="Times New Roman"/>
                <w:lang w:val="uk-UA"/>
              </w:rPr>
            </w:pPr>
          </w:p>
        </w:tc>
        <w:tc>
          <w:tcPr>
            <w:tcW w:w="1277" w:type="pct"/>
            <w:tcBorders>
              <w:top w:val="outset" w:sz="6" w:space="0" w:color="auto"/>
              <w:left w:val="outset" w:sz="6" w:space="0" w:color="auto"/>
              <w:bottom w:val="outset" w:sz="6" w:space="0" w:color="auto"/>
              <w:right w:val="nil"/>
            </w:tcBorders>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w:t>
            </w:r>
          </w:p>
        </w:tc>
      </w:tr>
      <w:tr w:rsidR="001C6D28" w:rsidRPr="0082218E" w:rsidTr="001C6D28">
        <w:trPr>
          <w:tblCellSpacing w:w="22" w:type="dxa"/>
        </w:trPr>
        <w:tc>
          <w:tcPr>
            <w:tcW w:w="2210" w:type="pct"/>
            <w:tcBorders>
              <w:top w:val="outset" w:sz="6" w:space="0" w:color="auto"/>
              <w:left w:val="nil"/>
              <w:bottom w:val="outset" w:sz="6" w:space="0" w:color="auto"/>
              <w:right w:val="outset" w:sz="6" w:space="0" w:color="auto"/>
            </w:tcBorders>
            <w:hideMark/>
          </w:tcPr>
          <w:p w:rsidR="001C6D28" w:rsidRPr="0082218E" w:rsidRDefault="001C6D28">
            <w:pPr>
              <w:pStyle w:val="a4"/>
              <w:widowControl w:val="0"/>
              <w:spacing w:before="100" w:beforeAutospacing="1" w:after="100" w:afterAutospacing="1"/>
              <w:ind w:left="0"/>
              <w:rPr>
                <w:rFonts w:cs="Times New Roman"/>
                <w:lang w:val="uk-UA"/>
              </w:rPr>
            </w:pPr>
            <w:r w:rsidRPr="0082218E">
              <w:rPr>
                <w:rFonts w:cs="Times New Roman"/>
                <w:lang w:val="uk-UA"/>
              </w:rPr>
              <w:t>Держава</w:t>
            </w:r>
          </w:p>
        </w:tc>
        <w:tc>
          <w:tcPr>
            <w:tcW w:w="1424"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w:t>
            </w:r>
          </w:p>
        </w:tc>
        <w:tc>
          <w:tcPr>
            <w:tcW w:w="1277" w:type="pct"/>
            <w:tcBorders>
              <w:top w:val="outset" w:sz="6" w:space="0" w:color="auto"/>
              <w:left w:val="outset" w:sz="6" w:space="0" w:color="auto"/>
              <w:bottom w:val="outset" w:sz="6" w:space="0" w:color="auto"/>
              <w:right w:val="nil"/>
            </w:tcBorders>
          </w:tcPr>
          <w:p w:rsidR="001C6D28" w:rsidRPr="0082218E" w:rsidRDefault="001C6D28">
            <w:pPr>
              <w:pStyle w:val="a4"/>
              <w:widowControl w:val="0"/>
              <w:spacing w:before="100" w:beforeAutospacing="1" w:after="100" w:afterAutospacing="1"/>
              <w:ind w:left="0"/>
              <w:jc w:val="center"/>
              <w:rPr>
                <w:rFonts w:cs="Times New Roman"/>
                <w:lang w:val="uk-UA"/>
              </w:rPr>
            </w:pPr>
          </w:p>
        </w:tc>
      </w:tr>
      <w:tr w:rsidR="001C6D28" w:rsidRPr="0082218E" w:rsidTr="001C6D28">
        <w:trPr>
          <w:tblCellSpacing w:w="22" w:type="dxa"/>
        </w:trPr>
        <w:tc>
          <w:tcPr>
            <w:tcW w:w="2210" w:type="pct"/>
            <w:tcBorders>
              <w:top w:val="outset" w:sz="6" w:space="0" w:color="auto"/>
              <w:left w:val="nil"/>
              <w:bottom w:val="outset" w:sz="6" w:space="0" w:color="auto"/>
              <w:right w:val="outset" w:sz="6" w:space="0" w:color="auto"/>
            </w:tcBorders>
            <w:hideMark/>
          </w:tcPr>
          <w:p w:rsidR="001C6D28" w:rsidRPr="0082218E" w:rsidRDefault="001C6D28">
            <w:pPr>
              <w:pStyle w:val="a4"/>
              <w:widowControl w:val="0"/>
              <w:spacing w:before="100" w:beforeAutospacing="1" w:after="100" w:afterAutospacing="1"/>
              <w:ind w:left="0"/>
              <w:rPr>
                <w:rFonts w:cs="Times New Roman"/>
                <w:lang w:val="uk-UA"/>
              </w:rPr>
            </w:pPr>
            <w:r w:rsidRPr="0082218E">
              <w:rPr>
                <w:rFonts w:cs="Times New Roman"/>
                <w:lang w:val="uk-UA"/>
              </w:rPr>
              <w:t>Суб’єкти господарювання,</w:t>
            </w:r>
          </w:p>
        </w:tc>
        <w:tc>
          <w:tcPr>
            <w:tcW w:w="1424"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en-US"/>
              </w:rPr>
            </w:pPr>
            <w:r w:rsidRPr="0082218E">
              <w:rPr>
                <w:rFonts w:cs="Times New Roman"/>
                <w:lang w:val="en-US"/>
              </w:rPr>
              <w:t>+</w:t>
            </w:r>
          </w:p>
        </w:tc>
        <w:tc>
          <w:tcPr>
            <w:tcW w:w="1277" w:type="pct"/>
            <w:tcBorders>
              <w:top w:val="outset" w:sz="6" w:space="0" w:color="auto"/>
              <w:left w:val="outset" w:sz="6" w:space="0" w:color="auto"/>
              <w:bottom w:val="outset" w:sz="6" w:space="0" w:color="auto"/>
              <w:right w:val="nil"/>
            </w:tcBorders>
          </w:tcPr>
          <w:p w:rsidR="001C6D28" w:rsidRPr="0082218E" w:rsidRDefault="001C6D28">
            <w:pPr>
              <w:pStyle w:val="a4"/>
              <w:widowControl w:val="0"/>
              <w:spacing w:before="100" w:beforeAutospacing="1" w:after="100" w:afterAutospacing="1"/>
              <w:ind w:left="0"/>
              <w:jc w:val="center"/>
              <w:rPr>
                <w:rFonts w:cs="Times New Roman"/>
                <w:lang w:val="uk-UA"/>
              </w:rPr>
            </w:pPr>
          </w:p>
        </w:tc>
      </w:tr>
      <w:tr w:rsidR="001C6D28" w:rsidRPr="0082218E" w:rsidTr="001C6D28">
        <w:trPr>
          <w:trHeight w:val="576"/>
          <w:tblCellSpacing w:w="22" w:type="dxa"/>
        </w:trPr>
        <w:tc>
          <w:tcPr>
            <w:tcW w:w="2210" w:type="pct"/>
            <w:tcBorders>
              <w:top w:val="outset" w:sz="6" w:space="0" w:color="auto"/>
              <w:left w:val="nil"/>
              <w:bottom w:val="outset" w:sz="6" w:space="0" w:color="auto"/>
              <w:right w:val="outset" w:sz="6" w:space="0" w:color="auto"/>
            </w:tcBorders>
            <w:hideMark/>
          </w:tcPr>
          <w:p w:rsidR="001C6D28" w:rsidRPr="0082218E" w:rsidRDefault="001C6D28">
            <w:pPr>
              <w:pStyle w:val="a4"/>
              <w:widowControl w:val="0"/>
              <w:spacing w:before="100" w:beforeAutospacing="1" w:after="100" w:afterAutospacing="1"/>
              <w:ind w:left="0"/>
              <w:rPr>
                <w:rFonts w:cs="Times New Roman"/>
              </w:rPr>
            </w:pPr>
            <w:r w:rsidRPr="0082218E">
              <w:rPr>
                <w:rFonts w:cs="Times New Roman"/>
                <w:lang w:val="uk-UA"/>
              </w:rPr>
              <w:t>у тому числі суб’єкти малого підприємництва</w:t>
            </w:r>
            <w:r w:rsidRPr="0082218E">
              <w:rPr>
                <w:rFonts w:cs="Times New Roman"/>
              </w:rPr>
              <w:t>*</w:t>
            </w:r>
          </w:p>
        </w:tc>
        <w:tc>
          <w:tcPr>
            <w:tcW w:w="1424"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p>
        </w:tc>
        <w:tc>
          <w:tcPr>
            <w:tcW w:w="1277" w:type="pct"/>
            <w:tcBorders>
              <w:top w:val="outset" w:sz="6" w:space="0" w:color="auto"/>
              <w:left w:val="outset" w:sz="6" w:space="0" w:color="auto"/>
              <w:bottom w:val="outset" w:sz="6" w:space="0" w:color="auto"/>
              <w:right w:val="nil"/>
            </w:tcBorders>
          </w:tcPr>
          <w:p w:rsidR="001C6D28" w:rsidRPr="0082218E" w:rsidRDefault="00877668">
            <w:pPr>
              <w:pStyle w:val="a4"/>
              <w:widowControl w:val="0"/>
              <w:spacing w:before="100" w:beforeAutospacing="1" w:after="100" w:afterAutospacing="1"/>
              <w:ind w:left="0"/>
              <w:jc w:val="center"/>
              <w:rPr>
                <w:rFonts w:cs="Times New Roman"/>
                <w:lang w:val="uk-UA"/>
              </w:rPr>
            </w:pPr>
            <w:r w:rsidRPr="0082218E">
              <w:rPr>
                <w:rFonts w:cs="Times New Roman"/>
                <w:lang w:val="uk-UA"/>
              </w:rPr>
              <w:t>+</w:t>
            </w:r>
          </w:p>
        </w:tc>
      </w:tr>
    </w:tbl>
    <w:p w:rsidR="001C6D28" w:rsidRPr="0082218E" w:rsidRDefault="001C6D28" w:rsidP="001C6D28">
      <w:pPr>
        <w:pStyle w:val="a4"/>
        <w:widowControl w:val="0"/>
        <w:ind w:left="0" w:firstLine="720"/>
        <w:jc w:val="both"/>
        <w:rPr>
          <w:rFonts w:cs="Times New Roman"/>
          <w:sz w:val="28"/>
          <w:szCs w:val="28"/>
          <w:lang w:val="uk-UA"/>
        </w:rPr>
      </w:pPr>
      <w:r w:rsidRPr="0082218E">
        <w:rPr>
          <w:rFonts w:cs="Times New Roman"/>
          <w:sz w:val="28"/>
          <w:szCs w:val="28"/>
        </w:rPr>
        <w:t>*</w:t>
      </w:r>
      <w:r w:rsidRPr="0082218E">
        <w:rPr>
          <w:rFonts w:cs="Times New Roman"/>
          <w:sz w:val="28"/>
          <w:szCs w:val="28"/>
          <w:lang w:val="en-US"/>
        </w:rPr>
        <w:t> </w:t>
      </w:r>
      <w:r w:rsidRPr="0082218E">
        <w:rPr>
          <w:rFonts w:cs="Times New Roman"/>
          <w:sz w:val="28"/>
          <w:szCs w:val="28"/>
          <w:lang w:val="uk-UA"/>
        </w:rPr>
        <w:t xml:space="preserve">питому вагу суб’єктів малого </w:t>
      </w:r>
      <w:proofErr w:type="gramStart"/>
      <w:r w:rsidRPr="0082218E">
        <w:rPr>
          <w:rFonts w:cs="Times New Roman"/>
          <w:sz w:val="28"/>
          <w:szCs w:val="28"/>
          <w:lang w:val="uk-UA"/>
        </w:rPr>
        <w:t>п</w:t>
      </w:r>
      <w:proofErr w:type="gramEnd"/>
      <w:r w:rsidRPr="0082218E">
        <w:rPr>
          <w:rFonts w:cs="Times New Roman"/>
          <w:sz w:val="28"/>
          <w:szCs w:val="28"/>
          <w:lang w:val="uk-UA"/>
        </w:rPr>
        <w:t>ідприємництва вказати неможливо, оскільки проблема однаково впливає на всіх суб’єктів господарювання незалежно від рівня доходу.</w:t>
      </w:r>
    </w:p>
    <w:p w:rsidR="001C6D28" w:rsidRPr="0082218E" w:rsidRDefault="001C6D28" w:rsidP="001C6D28">
      <w:pPr>
        <w:pStyle w:val="a4"/>
        <w:widowControl w:val="0"/>
        <w:ind w:left="0" w:firstLine="720"/>
        <w:jc w:val="both"/>
        <w:rPr>
          <w:rFonts w:cs="Times New Roman"/>
          <w:sz w:val="28"/>
          <w:szCs w:val="28"/>
          <w:lang w:val="uk-UA"/>
        </w:rPr>
      </w:pPr>
    </w:p>
    <w:p w:rsidR="001C6D28" w:rsidRPr="0082218E" w:rsidRDefault="001C6D28" w:rsidP="001C6D28">
      <w:pPr>
        <w:pStyle w:val="a4"/>
        <w:widowControl w:val="0"/>
        <w:ind w:left="0" w:firstLine="720"/>
        <w:jc w:val="both"/>
        <w:rPr>
          <w:rFonts w:cs="Times New Roman"/>
          <w:sz w:val="28"/>
          <w:szCs w:val="28"/>
          <w:lang w:val="uk-UA"/>
        </w:rPr>
      </w:pPr>
      <w:r w:rsidRPr="0082218E">
        <w:rPr>
          <w:rFonts w:cs="Times New Roman"/>
          <w:sz w:val="28"/>
          <w:szCs w:val="28"/>
          <w:lang w:val="uk-UA"/>
        </w:rPr>
        <w:t>Врегулювання зазначеного питання не може бути здійснено за допомогою:</w:t>
      </w:r>
    </w:p>
    <w:p w:rsidR="001C6D28" w:rsidRPr="0082218E" w:rsidRDefault="001C6D28" w:rsidP="001C6D28">
      <w:pPr>
        <w:pStyle w:val="a4"/>
        <w:widowControl w:val="0"/>
        <w:ind w:left="0" w:firstLine="720"/>
        <w:jc w:val="both"/>
        <w:rPr>
          <w:rFonts w:cs="Times New Roman"/>
          <w:sz w:val="28"/>
          <w:szCs w:val="28"/>
          <w:lang w:val="uk-UA"/>
        </w:rPr>
      </w:pPr>
      <w:r w:rsidRPr="0082218E">
        <w:rPr>
          <w:rFonts w:cs="Times New Roman"/>
          <w:sz w:val="28"/>
          <w:szCs w:val="28"/>
          <w:lang w:val="uk-UA"/>
        </w:rPr>
        <w:t>ринкових механізмів, оскільки такі питання регулюються виключно нормативно-правовими актами;</w:t>
      </w:r>
    </w:p>
    <w:p w:rsidR="001C6D28" w:rsidRPr="0082218E" w:rsidRDefault="001C6D28" w:rsidP="001C6D28">
      <w:pPr>
        <w:pStyle w:val="a4"/>
        <w:widowControl w:val="0"/>
        <w:ind w:left="0" w:firstLine="720"/>
        <w:jc w:val="both"/>
        <w:rPr>
          <w:rFonts w:cs="Times New Roman"/>
          <w:sz w:val="28"/>
          <w:szCs w:val="28"/>
          <w:lang w:val="uk-UA"/>
        </w:rPr>
      </w:pPr>
      <w:r w:rsidRPr="0082218E">
        <w:rPr>
          <w:rFonts w:cs="Times New Roman"/>
          <w:sz w:val="28"/>
          <w:szCs w:val="28"/>
          <w:lang w:val="uk-UA"/>
        </w:rPr>
        <w:t>діючого регуляторного акту, оскільки він не відповідає актам вищої юридичної сили.</w:t>
      </w:r>
    </w:p>
    <w:p w:rsidR="001C6D28" w:rsidRPr="0082218E" w:rsidRDefault="001C6D28" w:rsidP="001C6D28">
      <w:pPr>
        <w:pStyle w:val="a4"/>
        <w:widowControl w:val="0"/>
        <w:ind w:left="0" w:firstLine="720"/>
        <w:jc w:val="both"/>
        <w:rPr>
          <w:rFonts w:cs="Times New Roman"/>
          <w:sz w:val="28"/>
          <w:szCs w:val="28"/>
          <w:lang w:val="uk-UA"/>
        </w:rPr>
      </w:pP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II. Цілі державного регулювання</w:t>
      </w:r>
    </w:p>
    <w:p w:rsidR="001C6D28" w:rsidRPr="0082218E" w:rsidRDefault="001C6D28" w:rsidP="001C6D28">
      <w:pPr>
        <w:pStyle w:val="3"/>
        <w:widowControl w:val="0"/>
        <w:spacing w:before="0" w:beforeAutospacing="0" w:after="0" w:afterAutospacing="0"/>
        <w:rPr>
          <w:b w:val="0"/>
          <w:sz w:val="28"/>
          <w:szCs w:val="28"/>
          <w:lang w:val="uk-UA"/>
        </w:rPr>
      </w:pPr>
    </w:p>
    <w:p w:rsidR="001C6D28" w:rsidRPr="0082218E" w:rsidRDefault="001C6D28" w:rsidP="001C6D28">
      <w:pPr>
        <w:widowControl w:val="0"/>
        <w:ind w:firstLine="709"/>
        <w:jc w:val="both"/>
        <w:rPr>
          <w:sz w:val="28"/>
          <w:szCs w:val="28"/>
          <w:lang w:val="uk-UA"/>
        </w:rPr>
      </w:pPr>
      <w:r w:rsidRPr="0082218E">
        <w:rPr>
          <w:sz w:val="28"/>
          <w:szCs w:val="28"/>
          <w:lang w:val="uk-UA"/>
        </w:rPr>
        <w:t>Метою підготовки проекту наказу є:</w:t>
      </w:r>
    </w:p>
    <w:p w:rsidR="001C6D28" w:rsidRPr="0082218E" w:rsidRDefault="001C6D28" w:rsidP="001C6D28">
      <w:pPr>
        <w:ind w:firstLine="567"/>
        <w:jc w:val="both"/>
        <w:rPr>
          <w:sz w:val="28"/>
          <w:szCs w:val="28"/>
          <w:lang w:val="uk-UA" w:eastAsia="en-US"/>
        </w:rPr>
      </w:pPr>
      <w:r w:rsidRPr="0082218E">
        <w:rPr>
          <w:sz w:val="28"/>
          <w:szCs w:val="28"/>
          <w:lang w:val="uk-UA"/>
        </w:rPr>
        <w:t xml:space="preserve">- актуалізація наказів Міністерства фінансів України у галузі митного контролю та оформлення товарів, що переміщуються трубопровідним транспортом та лініями електропередачі, врегулювання питання здійснення </w:t>
      </w:r>
      <w:r w:rsidRPr="0082218E">
        <w:rPr>
          <w:sz w:val="28"/>
          <w:szCs w:val="28"/>
          <w:lang w:val="uk-UA"/>
        </w:rPr>
        <w:lastRenderedPageBreak/>
        <w:t>фактичного контролю таких товарів митницями ДФС а також інших питань здійснення митного контролю товарів, зокрема, енергоносіїв.</w:t>
      </w:r>
      <w:r w:rsidRPr="0082218E">
        <w:rPr>
          <w:sz w:val="28"/>
          <w:szCs w:val="28"/>
          <w:lang w:val="uk-UA" w:eastAsia="en-US"/>
        </w:rPr>
        <w:t xml:space="preserve"> </w:t>
      </w:r>
    </w:p>
    <w:p w:rsidR="001C6D28" w:rsidRPr="0082218E" w:rsidRDefault="001C6D28" w:rsidP="001C6D28">
      <w:pPr>
        <w:ind w:firstLine="567"/>
        <w:jc w:val="both"/>
        <w:rPr>
          <w:sz w:val="28"/>
          <w:szCs w:val="28"/>
          <w:lang w:val="uk-UA" w:eastAsia="en-US"/>
        </w:rPr>
      </w:pPr>
      <w:r w:rsidRPr="0082218E">
        <w:rPr>
          <w:sz w:val="28"/>
          <w:szCs w:val="28"/>
          <w:lang w:val="uk-UA" w:eastAsia="en-US"/>
        </w:rPr>
        <w:t xml:space="preserve">- забезпечення реалізації положень Закону України «Про ринок природного газу» та виконання взятих Україною </w:t>
      </w:r>
      <w:proofErr w:type="spellStart"/>
      <w:r w:rsidRPr="0082218E">
        <w:rPr>
          <w:sz w:val="28"/>
          <w:szCs w:val="28"/>
          <w:lang w:eastAsia="en-US"/>
        </w:rPr>
        <w:t>зобов’язань</w:t>
      </w:r>
      <w:proofErr w:type="spellEnd"/>
      <w:r w:rsidRPr="0082218E">
        <w:rPr>
          <w:sz w:val="28"/>
          <w:szCs w:val="28"/>
          <w:lang w:val="uk-UA" w:eastAsia="en-US"/>
        </w:rPr>
        <w:t xml:space="preserve"> в рамках участі в Енергетичному </w:t>
      </w:r>
      <w:proofErr w:type="spellStart"/>
      <w:r w:rsidRPr="0082218E">
        <w:rPr>
          <w:sz w:val="28"/>
          <w:szCs w:val="28"/>
          <w:lang w:eastAsia="en-US"/>
        </w:rPr>
        <w:t>співтоваристві</w:t>
      </w:r>
      <w:proofErr w:type="spellEnd"/>
      <w:r w:rsidRPr="0082218E">
        <w:rPr>
          <w:sz w:val="28"/>
          <w:szCs w:val="28"/>
          <w:lang w:val="uk-UA" w:eastAsia="en-US"/>
        </w:rPr>
        <w:t xml:space="preserve"> з адаптації норм та правил щодо впровадження повноцінного та конкурентного ринку природного газу, гарантування рівних можливостей доступу до ринку природного газу, а також можливості та усунення перешкод для впровадження сучасних механізмів функціонування ринку природного газу, які використовуються у міжнародній практиці;</w:t>
      </w:r>
    </w:p>
    <w:p w:rsidR="001C6D28" w:rsidRPr="0082218E" w:rsidRDefault="001C6D28" w:rsidP="001C6D28">
      <w:pPr>
        <w:pStyle w:val="1"/>
        <w:numPr>
          <w:ilvl w:val="0"/>
          <w:numId w:val="1"/>
        </w:numPr>
        <w:shd w:val="clear" w:color="auto" w:fill="auto"/>
        <w:tabs>
          <w:tab w:val="left" w:pos="1009"/>
        </w:tabs>
        <w:ind w:left="20" w:right="20" w:firstLine="567"/>
        <w:rPr>
          <w:rFonts w:cs="Times New Roman"/>
          <w:i w:val="0"/>
          <w:sz w:val="28"/>
          <w:szCs w:val="28"/>
          <w:lang w:eastAsia="uk-UA"/>
        </w:rPr>
      </w:pPr>
      <w:r w:rsidRPr="0082218E">
        <w:rPr>
          <w:rFonts w:cs="Times New Roman"/>
          <w:i w:val="0"/>
          <w:sz w:val="28"/>
          <w:szCs w:val="28"/>
        </w:rPr>
        <w:t>оптимізація газотранспортних потоків з можливістю застосування</w:t>
      </w:r>
      <w:r w:rsidRPr="0082218E">
        <w:rPr>
          <w:rFonts w:cs="Times New Roman"/>
          <w:i w:val="0"/>
          <w:sz w:val="28"/>
          <w:szCs w:val="28"/>
        </w:rPr>
        <w:br/>
        <w:t>операцій заміщення;</w:t>
      </w:r>
    </w:p>
    <w:p w:rsidR="001C6D28" w:rsidRPr="0082218E" w:rsidRDefault="001C6D28" w:rsidP="001C6D28">
      <w:pPr>
        <w:pStyle w:val="1"/>
        <w:numPr>
          <w:ilvl w:val="0"/>
          <w:numId w:val="1"/>
        </w:numPr>
        <w:shd w:val="clear" w:color="auto" w:fill="auto"/>
        <w:tabs>
          <w:tab w:val="left" w:pos="1038"/>
        </w:tabs>
        <w:ind w:left="20" w:right="20" w:firstLine="567"/>
        <w:rPr>
          <w:rFonts w:cs="Times New Roman"/>
          <w:i w:val="0"/>
          <w:sz w:val="28"/>
          <w:szCs w:val="28"/>
        </w:rPr>
      </w:pPr>
      <w:r w:rsidRPr="0082218E">
        <w:rPr>
          <w:rFonts w:cs="Times New Roman"/>
          <w:i w:val="0"/>
          <w:sz w:val="28"/>
          <w:szCs w:val="28"/>
        </w:rPr>
        <w:t>спрощення доступу учасників газового ринку до газотранспортної</w:t>
      </w:r>
      <w:r w:rsidRPr="0082218E">
        <w:rPr>
          <w:rFonts w:cs="Times New Roman"/>
          <w:i w:val="0"/>
          <w:sz w:val="28"/>
          <w:szCs w:val="28"/>
        </w:rPr>
        <w:br/>
        <w:t xml:space="preserve">системи та газосховищ України та збільшення їх кількості </w:t>
      </w:r>
      <w:proofErr w:type="spellStart"/>
      <w:r w:rsidRPr="0082218E">
        <w:rPr>
          <w:rFonts w:cs="Times New Roman"/>
          <w:i w:val="0"/>
          <w:sz w:val="28"/>
          <w:szCs w:val="28"/>
        </w:rPr>
        <w:t>безнеобхідності</w:t>
      </w:r>
      <w:proofErr w:type="spellEnd"/>
      <w:r w:rsidRPr="0082218E">
        <w:rPr>
          <w:rFonts w:cs="Times New Roman"/>
          <w:i w:val="0"/>
          <w:sz w:val="28"/>
          <w:szCs w:val="28"/>
        </w:rPr>
        <w:br/>
        <w:t>капітальних вкладень в розширення пропускної спроможності системи;</w:t>
      </w:r>
    </w:p>
    <w:p w:rsidR="001C6D28" w:rsidRPr="0082218E" w:rsidRDefault="001C6D28" w:rsidP="001C6D28">
      <w:pPr>
        <w:pStyle w:val="1"/>
        <w:numPr>
          <w:ilvl w:val="0"/>
          <w:numId w:val="1"/>
        </w:numPr>
        <w:shd w:val="clear" w:color="auto" w:fill="auto"/>
        <w:tabs>
          <w:tab w:val="left" w:pos="1095"/>
        </w:tabs>
        <w:ind w:left="20" w:right="20" w:firstLine="567"/>
        <w:rPr>
          <w:rFonts w:cs="Times New Roman"/>
          <w:i w:val="0"/>
          <w:sz w:val="28"/>
          <w:szCs w:val="28"/>
        </w:rPr>
      </w:pPr>
      <w:r w:rsidRPr="0082218E">
        <w:rPr>
          <w:rFonts w:cs="Times New Roman"/>
          <w:i w:val="0"/>
          <w:sz w:val="28"/>
          <w:szCs w:val="28"/>
        </w:rPr>
        <w:t xml:space="preserve">зменшення </w:t>
      </w:r>
      <w:proofErr w:type="spellStart"/>
      <w:r w:rsidRPr="0082218E">
        <w:rPr>
          <w:rFonts w:cs="Times New Roman"/>
          <w:i w:val="0"/>
          <w:sz w:val="28"/>
          <w:szCs w:val="28"/>
        </w:rPr>
        <w:t>виробничо</w:t>
      </w:r>
      <w:proofErr w:type="spellEnd"/>
      <w:r w:rsidRPr="0082218E">
        <w:rPr>
          <w:rFonts w:cs="Times New Roman"/>
          <w:i w:val="0"/>
          <w:sz w:val="28"/>
          <w:szCs w:val="28"/>
        </w:rPr>
        <w:t xml:space="preserve"> - технічних витрат паливного газу при</w:t>
      </w:r>
      <w:r w:rsidRPr="0082218E">
        <w:rPr>
          <w:rFonts w:cs="Times New Roman"/>
          <w:i w:val="0"/>
          <w:sz w:val="28"/>
          <w:szCs w:val="28"/>
        </w:rPr>
        <w:br/>
        <w:t>одночасному збільшенні торгового обороту;</w:t>
      </w:r>
    </w:p>
    <w:p w:rsidR="001C6D28" w:rsidRPr="0082218E" w:rsidRDefault="001C6D28" w:rsidP="001C6D28">
      <w:pPr>
        <w:pStyle w:val="1"/>
        <w:numPr>
          <w:ilvl w:val="0"/>
          <w:numId w:val="1"/>
        </w:numPr>
        <w:shd w:val="clear" w:color="auto" w:fill="auto"/>
        <w:tabs>
          <w:tab w:val="left" w:pos="927"/>
        </w:tabs>
        <w:spacing w:after="240"/>
        <w:ind w:left="23" w:right="23" w:firstLine="567"/>
        <w:rPr>
          <w:rFonts w:cs="Times New Roman"/>
          <w:sz w:val="28"/>
          <w:szCs w:val="28"/>
        </w:rPr>
      </w:pPr>
      <w:r w:rsidRPr="0082218E">
        <w:rPr>
          <w:rFonts w:cs="Times New Roman"/>
          <w:i w:val="0"/>
          <w:sz w:val="28"/>
          <w:szCs w:val="28"/>
        </w:rPr>
        <w:t>забезпечення доступу іноземних власників газу до послуг його підземного</w:t>
      </w:r>
      <w:r w:rsidRPr="0082218E">
        <w:rPr>
          <w:rFonts w:cs="Times New Roman"/>
          <w:i w:val="0"/>
          <w:sz w:val="28"/>
          <w:szCs w:val="28"/>
        </w:rPr>
        <w:br/>
        <w:t>зберігання на території України.</w:t>
      </w: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III. Визначення та оцінка альтернативних способів досягнення цілей</w:t>
      </w:r>
    </w:p>
    <w:p w:rsidR="001C6D28" w:rsidRPr="0082218E" w:rsidRDefault="001C6D28" w:rsidP="001C6D28">
      <w:pPr>
        <w:pStyle w:val="3"/>
        <w:widowControl w:val="0"/>
        <w:spacing w:before="0" w:beforeAutospacing="0" w:after="0" w:afterAutospacing="0"/>
        <w:rPr>
          <w:b w:val="0"/>
          <w:sz w:val="28"/>
          <w:szCs w:val="28"/>
          <w:lang w:val="uk-UA"/>
        </w:rPr>
      </w:pPr>
    </w:p>
    <w:p w:rsidR="001C6D28" w:rsidRPr="0082218E" w:rsidRDefault="001C6D28" w:rsidP="001C6D28">
      <w:pPr>
        <w:pStyle w:val="a4"/>
        <w:widowControl w:val="0"/>
        <w:ind w:left="0" w:firstLine="720"/>
        <w:jc w:val="both"/>
        <w:rPr>
          <w:rFonts w:cs="Times New Roman"/>
          <w:sz w:val="28"/>
          <w:szCs w:val="28"/>
          <w:lang w:val="uk-UA"/>
        </w:rPr>
      </w:pPr>
      <w:r w:rsidRPr="0082218E">
        <w:rPr>
          <w:rFonts w:cs="Times New Roman"/>
          <w:sz w:val="28"/>
          <w:szCs w:val="28"/>
          <w:lang w:val="uk-UA"/>
        </w:rPr>
        <w:t>1. Альтернативні способи досягнення цілей державного регулювання:</w:t>
      </w:r>
    </w:p>
    <w:p w:rsidR="001C6D28" w:rsidRPr="0082218E" w:rsidRDefault="001C6D28" w:rsidP="001C6D28">
      <w:pPr>
        <w:pStyle w:val="a4"/>
        <w:widowControl w:val="0"/>
        <w:ind w:left="0" w:firstLine="720"/>
        <w:jc w:val="both"/>
        <w:rPr>
          <w:rFonts w:cs="Times New Roman"/>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0"/>
        <w:gridCol w:w="7867"/>
      </w:tblGrid>
      <w:tr w:rsidR="001C6D28" w:rsidRPr="0082218E" w:rsidTr="001C6D28">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Вид альтернативи</w:t>
            </w:r>
          </w:p>
        </w:tc>
        <w:tc>
          <w:tcPr>
            <w:tcW w:w="3987" w:type="pct"/>
            <w:tcBorders>
              <w:top w:val="outset" w:sz="6" w:space="0" w:color="auto"/>
              <w:left w:val="outset" w:sz="6" w:space="0" w:color="auto"/>
              <w:bottom w:val="outset" w:sz="6" w:space="0" w:color="auto"/>
              <w:right w:val="nil"/>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Опис альтернативи</w:t>
            </w:r>
          </w:p>
        </w:tc>
      </w:tr>
      <w:tr w:rsidR="001C6D28" w:rsidRPr="009338C1" w:rsidTr="001C6D28">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right="-68"/>
              <w:jc w:val="center"/>
              <w:rPr>
                <w:rFonts w:cs="Times New Roman"/>
                <w:lang w:val="uk-UA"/>
              </w:rPr>
            </w:pPr>
            <w:r w:rsidRPr="0082218E">
              <w:rPr>
                <w:rFonts w:cs="Times New Roman"/>
                <w:lang w:val="uk-UA"/>
              </w:rPr>
              <w:t>Альтернатива 1</w:t>
            </w:r>
          </w:p>
        </w:tc>
        <w:tc>
          <w:tcPr>
            <w:tcW w:w="3987" w:type="pct"/>
            <w:tcBorders>
              <w:top w:val="outset" w:sz="6" w:space="0" w:color="auto"/>
              <w:left w:val="outset" w:sz="6" w:space="0" w:color="auto"/>
              <w:bottom w:val="outset" w:sz="6" w:space="0" w:color="auto"/>
              <w:right w:val="nil"/>
            </w:tcBorders>
            <w:hideMark/>
          </w:tcPr>
          <w:p w:rsidR="001C6D28" w:rsidRPr="0082218E" w:rsidRDefault="001C6D28">
            <w:pPr>
              <w:widowControl w:val="0"/>
              <w:tabs>
                <w:tab w:val="left" w:pos="3686"/>
              </w:tabs>
              <w:ind w:firstLine="332"/>
              <w:jc w:val="both"/>
              <w:rPr>
                <w:lang w:val="uk-UA"/>
              </w:rPr>
            </w:pPr>
            <w:r w:rsidRPr="0082218E">
              <w:rPr>
                <w:lang w:val="uk-UA"/>
              </w:rPr>
              <w:t xml:space="preserve">Внести зміни до: </w:t>
            </w:r>
          </w:p>
          <w:p w:rsidR="001C6D28" w:rsidRPr="0082218E" w:rsidRDefault="001C6D28">
            <w:pPr>
              <w:widowControl w:val="0"/>
              <w:tabs>
                <w:tab w:val="left" w:pos="3686"/>
              </w:tabs>
              <w:ind w:firstLine="332"/>
              <w:jc w:val="both"/>
              <w:rPr>
                <w:lang w:val="uk-UA"/>
              </w:rPr>
            </w:pPr>
            <w:r w:rsidRPr="0082218E">
              <w:rPr>
                <w:lang w:val="uk-UA"/>
              </w:rPr>
              <w:t>Порядку та строків митного контролю та митного оформлення товарів, що переміщуються трубопровідним транспортом, затверджених наказом Міністерства фінансів України від 30 травня 2012 року № 629 «Про митні формальності на трубопровідному транспорті та лініях електропередачі»;</w:t>
            </w:r>
          </w:p>
          <w:p w:rsidR="001C6D28" w:rsidRPr="0082218E" w:rsidRDefault="001C6D28">
            <w:pPr>
              <w:widowControl w:val="0"/>
              <w:tabs>
                <w:tab w:val="left" w:pos="3686"/>
              </w:tabs>
              <w:ind w:firstLine="332"/>
              <w:jc w:val="both"/>
              <w:rPr>
                <w:lang w:val="uk-UA"/>
              </w:rPr>
            </w:pPr>
            <w:r w:rsidRPr="0082218E">
              <w:rPr>
                <w:lang w:val="uk-UA"/>
              </w:rPr>
              <w:t>Порядку виконання митних формальностей вiдповiдно до заявленого митного режиму, затвердженого наказом Міністерства фінансів України від 31 травня 2012 року № 657;</w:t>
            </w:r>
          </w:p>
          <w:p w:rsidR="001C6D28" w:rsidRPr="0082218E" w:rsidRDefault="001C6D28">
            <w:pPr>
              <w:widowControl w:val="0"/>
              <w:tabs>
                <w:tab w:val="left" w:pos="3686"/>
              </w:tabs>
              <w:ind w:firstLine="332"/>
              <w:jc w:val="both"/>
              <w:rPr>
                <w:lang w:val="uk-UA"/>
              </w:rPr>
            </w:pPr>
            <w:r w:rsidRPr="0082218E">
              <w:rPr>
                <w:lang w:val="uk-UA"/>
              </w:rPr>
              <w:t>Порядку надання складським об’єктам статусу «митний склад» та позбавлення такого статусу, затвердженого наказом Міністерства фінансів України від 16 липня 2012 року № 835;</w:t>
            </w:r>
          </w:p>
          <w:p w:rsidR="001C6D28" w:rsidRPr="0082218E" w:rsidRDefault="001C6D28">
            <w:pPr>
              <w:widowControl w:val="0"/>
              <w:tabs>
                <w:tab w:val="left" w:pos="3686"/>
              </w:tabs>
              <w:ind w:firstLine="332"/>
              <w:jc w:val="both"/>
              <w:rPr>
                <w:lang w:val="uk-UA"/>
              </w:rPr>
            </w:pPr>
            <w:r w:rsidRPr="0082218E">
              <w:rPr>
                <w:lang w:val="uk-UA"/>
              </w:rPr>
              <w:t>Переліку товарів, митне оформлення яких здійснюється Енергетичною митницею Державної фіскальної служби України, затвердженого наказом Міністерства фінансів України від 20 квітня 2015 року № 448</w:t>
            </w:r>
          </w:p>
        </w:tc>
      </w:tr>
      <w:tr w:rsidR="001C6D28" w:rsidRPr="009338C1" w:rsidTr="001C6D28">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ind w:left="0" w:right="-67"/>
              <w:jc w:val="center"/>
              <w:rPr>
                <w:rFonts w:cs="Times New Roman"/>
                <w:lang w:val="uk-UA"/>
              </w:rPr>
            </w:pPr>
            <w:r w:rsidRPr="0082218E">
              <w:rPr>
                <w:rFonts w:cs="Times New Roman"/>
                <w:lang w:val="uk-UA"/>
              </w:rPr>
              <w:t>Альтернатива 2</w:t>
            </w:r>
          </w:p>
        </w:tc>
        <w:tc>
          <w:tcPr>
            <w:tcW w:w="3987" w:type="pct"/>
            <w:tcBorders>
              <w:top w:val="outset" w:sz="6" w:space="0" w:color="auto"/>
              <w:left w:val="outset" w:sz="6" w:space="0" w:color="auto"/>
              <w:bottom w:val="outset" w:sz="6" w:space="0" w:color="auto"/>
              <w:right w:val="nil"/>
            </w:tcBorders>
            <w:hideMark/>
          </w:tcPr>
          <w:p w:rsidR="001C6D28" w:rsidRPr="0082218E" w:rsidRDefault="001C6D28">
            <w:pPr>
              <w:widowControl w:val="0"/>
              <w:tabs>
                <w:tab w:val="left" w:pos="3686"/>
              </w:tabs>
              <w:ind w:firstLine="332"/>
              <w:jc w:val="both"/>
              <w:rPr>
                <w:lang w:val="uk-UA"/>
              </w:rPr>
            </w:pPr>
            <w:r w:rsidRPr="0082218E">
              <w:rPr>
                <w:lang w:val="uk-UA"/>
              </w:rPr>
              <w:t xml:space="preserve">Залишити без змін: </w:t>
            </w:r>
          </w:p>
          <w:p w:rsidR="001C6D28" w:rsidRPr="0082218E" w:rsidRDefault="001C6D28">
            <w:pPr>
              <w:widowControl w:val="0"/>
              <w:tabs>
                <w:tab w:val="left" w:pos="3686"/>
              </w:tabs>
              <w:ind w:firstLine="332"/>
              <w:jc w:val="both"/>
              <w:rPr>
                <w:lang w:val="uk-UA"/>
              </w:rPr>
            </w:pPr>
            <w:r w:rsidRPr="0082218E">
              <w:rPr>
                <w:lang w:val="uk-UA"/>
              </w:rPr>
              <w:t>Порядок та строки митного контролю та митного оформлення товарів, що переміщуються трубопровідним транспортом, затверджені наказом Міністерства фінансів України від 30 травня 2012 року № 629 «Про митні формальності на трубопровідному транспорті та лініях електропередачі»;</w:t>
            </w:r>
          </w:p>
          <w:p w:rsidR="001C6D28" w:rsidRPr="0082218E" w:rsidRDefault="001C6D28">
            <w:pPr>
              <w:widowControl w:val="0"/>
              <w:tabs>
                <w:tab w:val="left" w:pos="3686"/>
              </w:tabs>
              <w:ind w:firstLine="332"/>
              <w:jc w:val="both"/>
              <w:rPr>
                <w:lang w:val="uk-UA"/>
              </w:rPr>
            </w:pPr>
            <w:r w:rsidRPr="0082218E">
              <w:rPr>
                <w:lang w:val="uk-UA"/>
              </w:rPr>
              <w:t>Порядок виконання митних формальностей вiдповiдно до заявленого митного режиму, затверджений наказом Міністерства фінансів України від 31 травня 2012 року № 657;</w:t>
            </w:r>
          </w:p>
          <w:p w:rsidR="001C6D28" w:rsidRPr="0082218E" w:rsidRDefault="001C6D28">
            <w:pPr>
              <w:widowControl w:val="0"/>
              <w:tabs>
                <w:tab w:val="left" w:pos="3686"/>
              </w:tabs>
              <w:ind w:firstLine="332"/>
              <w:jc w:val="both"/>
              <w:rPr>
                <w:lang w:val="uk-UA"/>
              </w:rPr>
            </w:pPr>
            <w:r w:rsidRPr="0082218E">
              <w:rPr>
                <w:lang w:val="uk-UA"/>
              </w:rPr>
              <w:t xml:space="preserve">Порядок надання складським об’єктам статусу «митний склад» та </w:t>
            </w:r>
            <w:r w:rsidRPr="0082218E">
              <w:rPr>
                <w:lang w:val="uk-UA"/>
              </w:rPr>
              <w:lastRenderedPageBreak/>
              <w:t>позбавлення такого статусу, затверджений наказом Міністерства фінансів України від 16 липня 2012 року № 835;</w:t>
            </w:r>
          </w:p>
          <w:p w:rsidR="001C6D28" w:rsidRPr="0082218E" w:rsidRDefault="001C6D28">
            <w:pPr>
              <w:pStyle w:val="a4"/>
              <w:widowControl w:val="0"/>
              <w:ind w:left="0" w:firstLine="289"/>
              <w:jc w:val="both"/>
              <w:rPr>
                <w:rFonts w:cs="Times New Roman"/>
                <w:lang w:val="uk-UA"/>
              </w:rPr>
            </w:pPr>
            <w:r w:rsidRPr="0082218E">
              <w:rPr>
                <w:rFonts w:cs="Times New Roman"/>
                <w:lang w:val="uk-UA"/>
              </w:rPr>
              <w:t>Перелік товарів, митне оформлення яких здійснюється Енергетичною митницею Державної фіскальної служби України, затверджений наказом Міністерства фінансів України від 20 квітня 2015 року № 448.</w:t>
            </w:r>
          </w:p>
        </w:tc>
      </w:tr>
    </w:tbl>
    <w:p w:rsidR="001C6D28" w:rsidRPr="0082218E" w:rsidRDefault="001C6D28" w:rsidP="001C6D28">
      <w:pPr>
        <w:pStyle w:val="a4"/>
        <w:widowControl w:val="0"/>
        <w:ind w:left="0" w:firstLine="720"/>
        <w:jc w:val="both"/>
        <w:rPr>
          <w:rFonts w:cs="Times New Roman"/>
          <w:szCs w:val="24"/>
          <w:lang w:val="uk-UA"/>
        </w:rPr>
      </w:pPr>
    </w:p>
    <w:p w:rsidR="001C6D28" w:rsidRPr="0082218E" w:rsidRDefault="001C6D28" w:rsidP="001C6D28">
      <w:pPr>
        <w:pStyle w:val="a4"/>
        <w:widowControl w:val="0"/>
        <w:ind w:left="0" w:firstLine="720"/>
        <w:jc w:val="both"/>
        <w:rPr>
          <w:rFonts w:cs="Times New Roman"/>
          <w:lang w:val="uk-UA"/>
        </w:rPr>
      </w:pPr>
      <w:r w:rsidRPr="0082218E">
        <w:rPr>
          <w:rFonts w:cs="Times New Roman"/>
          <w:lang w:val="uk-UA"/>
        </w:rPr>
        <w:t>2. Оцінка впливу на сферу інтересів держави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1"/>
        <w:gridCol w:w="4002"/>
        <w:gridCol w:w="3864"/>
      </w:tblGrid>
      <w:tr w:rsidR="001C6D28" w:rsidRPr="0082218E" w:rsidTr="001C6D28">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ind w:left="0"/>
              <w:jc w:val="center"/>
              <w:rPr>
                <w:rFonts w:cs="Times New Roman"/>
                <w:lang w:val="uk-UA"/>
              </w:rPr>
            </w:pPr>
            <w:r w:rsidRPr="0082218E">
              <w:rPr>
                <w:rFonts w:cs="Times New Roman"/>
                <w:lang w:val="uk-UA"/>
              </w:rPr>
              <w:t>Вид альтернативи</w:t>
            </w:r>
          </w:p>
        </w:tc>
        <w:tc>
          <w:tcPr>
            <w:tcW w:w="2023"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ind w:left="0"/>
              <w:jc w:val="center"/>
              <w:rPr>
                <w:rFonts w:cs="Times New Roman"/>
                <w:lang w:val="uk-UA"/>
              </w:rPr>
            </w:pPr>
            <w:r w:rsidRPr="0082218E">
              <w:rPr>
                <w:rFonts w:cs="Times New Roman"/>
                <w:lang w:val="uk-UA"/>
              </w:rPr>
              <w:t>Вигоди</w:t>
            </w:r>
          </w:p>
        </w:tc>
        <w:tc>
          <w:tcPr>
            <w:tcW w:w="1941" w:type="pct"/>
            <w:tcBorders>
              <w:top w:val="outset" w:sz="6" w:space="0" w:color="auto"/>
              <w:left w:val="outset" w:sz="6" w:space="0" w:color="auto"/>
              <w:bottom w:val="outset" w:sz="6" w:space="0" w:color="auto"/>
              <w:right w:val="nil"/>
            </w:tcBorders>
            <w:vAlign w:val="center"/>
            <w:hideMark/>
          </w:tcPr>
          <w:p w:rsidR="001C6D28" w:rsidRPr="0082218E" w:rsidRDefault="001C6D28">
            <w:pPr>
              <w:pStyle w:val="a4"/>
              <w:widowControl w:val="0"/>
              <w:ind w:left="0"/>
              <w:jc w:val="center"/>
              <w:rPr>
                <w:rFonts w:cs="Times New Roman"/>
                <w:lang w:val="uk-UA"/>
              </w:rPr>
            </w:pPr>
            <w:r w:rsidRPr="0082218E">
              <w:rPr>
                <w:rFonts w:cs="Times New Roman"/>
                <w:lang w:val="uk-UA"/>
              </w:rPr>
              <w:t>Витрати</w:t>
            </w:r>
          </w:p>
        </w:tc>
      </w:tr>
      <w:tr w:rsidR="001C6D28" w:rsidRPr="0082218E" w:rsidTr="001C6D28">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Альтернатива 1</w:t>
            </w:r>
          </w:p>
        </w:tc>
        <w:tc>
          <w:tcPr>
            <w:tcW w:w="2023" w:type="pct"/>
            <w:tcBorders>
              <w:top w:val="outset" w:sz="6" w:space="0" w:color="auto"/>
              <w:left w:val="outset" w:sz="6" w:space="0" w:color="auto"/>
              <w:bottom w:val="outset" w:sz="6" w:space="0" w:color="auto"/>
              <w:right w:val="outset" w:sz="6" w:space="0" w:color="auto"/>
            </w:tcBorders>
          </w:tcPr>
          <w:p w:rsidR="001C6D28" w:rsidRPr="0082218E" w:rsidRDefault="001C6D28">
            <w:pPr>
              <w:widowControl w:val="0"/>
              <w:ind w:firstLine="249"/>
              <w:jc w:val="both"/>
              <w:rPr>
                <w:lang w:val="uk-UA"/>
              </w:rPr>
            </w:pPr>
            <w:r w:rsidRPr="0082218E">
              <w:rPr>
                <w:lang w:val="uk-UA"/>
              </w:rPr>
              <w:t xml:space="preserve">Створення нормативного забезпечення для врегулювання окремих аспектів </w:t>
            </w:r>
            <w:r w:rsidRPr="0082218E">
              <w:t>митного контролю та оформлення</w:t>
            </w:r>
            <w:r w:rsidRPr="0082218E">
              <w:rPr>
                <w:lang w:val="uk-UA"/>
              </w:rPr>
              <w:t xml:space="preserve"> природного газу, зокрема, при</w:t>
            </w:r>
            <w:r w:rsidRPr="0082218E">
              <w:t xml:space="preserve"> </w:t>
            </w:r>
            <w:proofErr w:type="spellStart"/>
            <w:r w:rsidRPr="0082218E">
              <w:t>операціях</w:t>
            </w:r>
            <w:proofErr w:type="spellEnd"/>
            <w:r w:rsidRPr="0082218E">
              <w:t xml:space="preserve"> із</w:t>
            </w:r>
            <w:r w:rsidRPr="0082218E">
              <w:rPr>
                <w:lang w:val="uk-UA"/>
              </w:rPr>
              <w:t xml:space="preserve"> його</w:t>
            </w:r>
            <w:r w:rsidRPr="0082218E">
              <w:t xml:space="preserve"> </w:t>
            </w:r>
            <w:proofErr w:type="spellStart"/>
            <w:r w:rsidRPr="0082218E">
              <w:t>заміщення</w:t>
            </w:r>
            <w:proofErr w:type="spellEnd"/>
            <w:r w:rsidRPr="0082218E">
              <w:t xml:space="preserve"> (бекхолу),</w:t>
            </w:r>
            <w:r w:rsidRPr="0082218E">
              <w:rPr>
                <w:lang w:val="uk-UA"/>
              </w:rPr>
              <w:t xml:space="preserve"> </w:t>
            </w:r>
            <w:proofErr w:type="spellStart"/>
            <w:r w:rsidRPr="0082218E">
              <w:t>використанн</w:t>
            </w:r>
            <w:proofErr w:type="spellEnd"/>
            <w:r w:rsidRPr="0082218E">
              <w:rPr>
                <w:lang w:val="uk-UA"/>
              </w:rPr>
              <w:t>я</w:t>
            </w:r>
            <w:r w:rsidRPr="0082218E">
              <w:t xml:space="preserve"> </w:t>
            </w:r>
            <w:proofErr w:type="spellStart"/>
            <w:r w:rsidRPr="0082218E">
              <w:t>обсягів</w:t>
            </w:r>
            <w:proofErr w:type="spellEnd"/>
            <w:r w:rsidRPr="0082218E">
              <w:t xml:space="preserve"> </w:t>
            </w:r>
            <w:proofErr w:type="spellStart"/>
            <w:r w:rsidRPr="0082218E">
              <w:t>балансування</w:t>
            </w:r>
            <w:proofErr w:type="spellEnd"/>
            <w:r w:rsidRPr="0082218E">
              <w:t xml:space="preserve"> та </w:t>
            </w:r>
            <w:proofErr w:type="spellStart"/>
            <w:r w:rsidRPr="0082218E">
              <w:t>балансуючих</w:t>
            </w:r>
            <w:proofErr w:type="spellEnd"/>
            <w:r w:rsidRPr="0082218E">
              <w:t xml:space="preserve"> </w:t>
            </w:r>
            <w:proofErr w:type="spellStart"/>
            <w:r w:rsidRPr="0082218E">
              <w:t>обсягів</w:t>
            </w:r>
            <w:proofErr w:type="spellEnd"/>
            <w:r w:rsidRPr="0082218E">
              <w:t xml:space="preserve"> природного газу</w:t>
            </w:r>
            <w:r w:rsidRPr="0082218E">
              <w:rPr>
                <w:lang w:val="uk-UA"/>
              </w:rPr>
              <w:t xml:space="preserve">, </w:t>
            </w:r>
            <w:proofErr w:type="spellStart"/>
            <w:r w:rsidRPr="0082218E">
              <w:t>вдосконалення</w:t>
            </w:r>
            <w:proofErr w:type="spellEnd"/>
            <w:r w:rsidRPr="0082218E">
              <w:t xml:space="preserve"> </w:t>
            </w:r>
            <w:proofErr w:type="spellStart"/>
            <w:r w:rsidRPr="0082218E">
              <w:t>здійснення</w:t>
            </w:r>
            <w:proofErr w:type="spellEnd"/>
            <w:r w:rsidRPr="0082218E">
              <w:t xml:space="preserve"> фактичного контролю за </w:t>
            </w:r>
            <w:proofErr w:type="spellStart"/>
            <w:r w:rsidRPr="0082218E">
              <w:t>переміщенням</w:t>
            </w:r>
            <w:proofErr w:type="spellEnd"/>
            <w:r w:rsidRPr="0082218E">
              <w:t xml:space="preserve"> через </w:t>
            </w:r>
            <w:proofErr w:type="spellStart"/>
            <w:r w:rsidRPr="0082218E">
              <w:t>митний</w:t>
            </w:r>
            <w:proofErr w:type="spellEnd"/>
            <w:r w:rsidRPr="0082218E">
              <w:t xml:space="preserve"> кордон України товарів </w:t>
            </w:r>
            <w:proofErr w:type="spellStart"/>
            <w:r w:rsidRPr="0082218E">
              <w:t>трубопровідним</w:t>
            </w:r>
            <w:proofErr w:type="spellEnd"/>
            <w:r w:rsidRPr="0082218E">
              <w:t xml:space="preserve"> транспортом та </w:t>
            </w:r>
            <w:proofErr w:type="spellStart"/>
            <w:r w:rsidRPr="0082218E">
              <w:t>лініями</w:t>
            </w:r>
            <w:proofErr w:type="spellEnd"/>
            <w:r w:rsidRPr="0082218E">
              <w:t xml:space="preserve"> </w:t>
            </w:r>
            <w:proofErr w:type="spellStart"/>
            <w:r w:rsidRPr="0082218E">
              <w:t>електропередачі</w:t>
            </w:r>
            <w:proofErr w:type="spellEnd"/>
            <w:r w:rsidRPr="0082218E">
              <w:rPr>
                <w:lang w:val="uk-UA"/>
              </w:rPr>
              <w:t xml:space="preserve"> та актуалізації наказів Міністерства фінансів України відповідно до вимог діючого законодавства.</w:t>
            </w:r>
          </w:p>
          <w:p w:rsidR="001C6D28" w:rsidRPr="0082218E" w:rsidRDefault="001C6D28">
            <w:pPr>
              <w:widowControl w:val="0"/>
              <w:ind w:firstLine="249"/>
              <w:jc w:val="both"/>
              <w:rPr>
                <w:lang w:val="uk-UA"/>
              </w:rPr>
            </w:pPr>
            <w:r w:rsidRPr="0082218E">
              <w:rPr>
                <w:lang w:val="uk-UA"/>
              </w:rPr>
              <w:t>Впровадження процедури здійснення операцій заміщення (бекхол) та оформлення зберігання газу в режимі митний склад  дозволить збільшити обсяги торгівлі (в т.ч. експортно-імпортних операцій), транспортування та зберігання природного газу, що призведе до додаткових надходжень до Державного бюджету України.</w:t>
            </w:r>
          </w:p>
          <w:p w:rsidR="001C6D28" w:rsidRPr="0082218E" w:rsidRDefault="001C6D28">
            <w:pPr>
              <w:widowControl w:val="0"/>
              <w:jc w:val="both"/>
              <w:rPr>
                <w:lang w:val="uk-UA"/>
              </w:rPr>
            </w:pPr>
          </w:p>
        </w:tc>
        <w:tc>
          <w:tcPr>
            <w:tcW w:w="1941" w:type="pct"/>
            <w:tcBorders>
              <w:top w:val="outset" w:sz="6" w:space="0" w:color="auto"/>
              <w:left w:val="outset" w:sz="6" w:space="0" w:color="auto"/>
              <w:bottom w:val="outset" w:sz="6" w:space="0" w:color="auto"/>
              <w:right w:val="nil"/>
            </w:tcBorders>
          </w:tcPr>
          <w:p w:rsidR="001C6D28" w:rsidRPr="0082218E" w:rsidRDefault="00C744E8" w:rsidP="00C744E8">
            <w:pPr>
              <w:pStyle w:val="3"/>
              <w:widowControl w:val="0"/>
              <w:spacing w:before="0" w:beforeAutospacing="0" w:after="0" w:afterAutospacing="0"/>
              <w:jc w:val="both"/>
              <w:rPr>
                <w:b w:val="0"/>
                <w:sz w:val="24"/>
                <w:szCs w:val="24"/>
                <w:lang w:val="uk-UA"/>
              </w:rPr>
            </w:pPr>
            <w:r w:rsidRPr="0082218E">
              <w:rPr>
                <w:b w:val="0"/>
                <w:sz w:val="24"/>
                <w:szCs w:val="24"/>
                <w:lang w:val="uk-UA"/>
              </w:rPr>
              <w:t xml:space="preserve">    </w:t>
            </w:r>
            <w:r w:rsidR="00C22DCB" w:rsidRPr="0082218E">
              <w:rPr>
                <w:b w:val="0"/>
                <w:sz w:val="24"/>
                <w:szCs w:val="24"/>
                <w:lang w:val="uk-UA"/>
              </w:rPr>
              <w:t>В</w:t>
            </w:r>
            <w:r w:rsidR="001C6D28" w:rsidRPr="0082218E">
              <w:rPr>
                <w:b w:val="0"/>
                <w:sz w:val="24"/>
                <w:szCs w:val="24"/>
                <w:lang w:val="uk-UA"/>
              </w:rPr>
              <w:t>итрат</w:t>
            </w:r>
            <w:r w:rsidR="00C22DCB" w:rsidRPr="0082218E">
              <w:rPr>
                <w:b w:val="0"/>
                <w:sz w:val="24"/>
                <w:szCs w:val="24"/>
                <w:lang w:val="uk-UA"/>
              </w:rPr>
              <w:t xml:space="preserve">и </w:t>
            </w:r>
            <w:r w:rsidR="00625B10" w:rsidRPr="0082218E">
              <w:rPr>
                <w:b w:val="0"/>
                <w:sz w:val="24"/>
                <w:szCs w:val="24"/>
                <w:lang w:val="uk-UA"/>
              </w:rPr>
              <w:t>держави</w:t>
            </w:r>
            <w:r w:rsidR="001C6D28" w:rsidRPr="0082218E">
              <w:rPr>
                <w:b w:val="0"/>
                <w:sz w:val="24"/>
                <w:szCs w:val="24"/>
                <w:lang w:val="uk-UA"/>
              </w:rPr>
              <w:t xml:space="preserve"> не передбачаються. </w:t>
            </w:r>
          </w:p>
          <w:p w:rsidR="001C6D28" w:rsidRPr="0082218E" w:rsidRDefault="001C6D28">
            <w:pPr>
              <w:widowControl w:val="0"/>
              <w:ind w:firstLine="249"/>
              <w:jc w:val="both"/>
              <w:rPr>
                <w:lang w:val="uk-UA"/>
              </w:rPr>
            </w:pPr>
          </w:p>
          <w:p w:rsidR="001C6D28" w:rsidRPr="0082218E" w:rsidRDefault="001C6D28">
            <w:pPr>
              <w:widowControl w:val="0"/>
              <w:ind w:firstLine="249"/>
              <w:jc w:val="both"/>
              <w:rPr>
                <w:lang w:val="uk-UA"/>
              </w:rPr>
            </w:pPr>
          </w:p>
          <w:p w:rsidR="001C6D28" w:rsidRPr="0082218E" w:rsidRDefault="001C6D28">
            <w:pPr>
              <w:widowControl w:val="0"/>
              <w:ind w:firstLine="249"/>
              <w:jc w:val="both"/>
              <w:rPr>
                <w:lang w:val="uk-UA"/>
              </w:rPr>
            </w:pPr>
          </w:p>
        </w:tc>
      </w:tr>
      <w:tr w:rsidR="001C6D28" w:rsidRPr="0082218E" w:rsidTr="001C6D28">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Альтернатива 2</w:t>
            </w:r>
          </w:p>
        </w:tc>
        <w:tc>
          <w:tcPr>
            <w:tcW w:w="2023" w:type="pct"/>
            <w:tcBorders>
              <w:top w:val="outset" w:sz="6" w:space="0" w:color="auto"/>
              <w:left w:val="outset" w:sz="6" w:space="0" w:color="auto"/>
              <w:bottom w:val="outset" w:sz="6" w:space="0" w:color="auto"/>
              <w:right w:val="outset" w:sz="6" w:space="0" w:color="auto"/>
            </w:tcBorders>
          </w:tcPr>
          <w:p w:rsidR="001C6D28" w:rsidRPr="0082218E" w:rsidRDefault="001C6D28">
            <w:pPr>
              <w:widowControl w:val="0"/>
              <w:ind w:firstLine="249"/>
              <w:jc w:val="both"/>
              <w:rPr>
                <w:lang w:val="uk-UA"/>
              </w:rPr>
            </w:pPr>
            <w:r w:rsidRPr="0082218E">
              <w:rPr>
                <w:lang w:val="uk-UA"/>
              </w:rPr>
              <w:t xml:space="preserve">Відсутні. </w:t>
            </w:r>
          </w:p>
          <w:p w:rsidR="001C6D28" w:rsidRPr="0082218E" w:rsidRDefault="001C6D28">
            <w:pPr>
              <w:widowControl w:val="0"/>
              <w:ind w:firstLine="249"/>
              <w:jc w:val="both"/>
              <w:rPr>
                <w:lang w:val="uk-UA"/>
              </w:rPr>
            </w:pPr>
          </w:p>
        </w:tc>
        <w:tc>
          <w:tcPr>
            <w:tcW w:w="1941" w:type="pct"/>
            <w:tcBorders>
              <w:top w:val="outset" w:sz="6" w:space="0" w:color="auto"/>
              <w:left w:val="outset" w:sz="6" w:space="0" w:color="auto"/>
              <w:bottom w:val="outset" w:sz="6" w:space="0" w:color="auto"/>
              <w:right w:val="nil"/>
            </w:tcBorders>
            <w:hideMark/>
          </w:tcPr>
          <w:p w:rsidR="001C6D28" w:rsidRPr="0082218E" w:rsidRDefault="001C6D28">
            <w:pPr>
              <w:widowControl w:val="0"/>
              <w:ind w:firstLine="249"/>
              <w:jc w:val="both"/>
              <w:rPr>
                <w:lang w:val="uk-UA"/>
              </w:rPr>
            </w:pPr>
            <w:proofErr w:type="spellStart"/>
            <w:r w:rsidRPr="0082218E">
              <w:t>Відсутність</w:t>
            </w:r>
            <w:proofErr w:type="spellEnd"/>
            <w:r w:rsidRPr="0082218E">
              <w:rPr>
                <w:lang w:val="uk-UA"/>
              </w:rPr>
              <w:t xml:space="preserve"> можливості додаткових надходжень до </w:t>
            </w:r>
            <w:proofErr w:type="gramStart"/>
            <w:r w:rsidRPr="0082218E">
              <w:rPr>
                <w:lang w:val="uk-UA"/>
              </w:rPr>
              <w:t>Державного</w:t>
            </w:r>
            <w:proofErr w:type="gramEnd"/>
            <w:r w:rsidRPr="0082218E">
              <w:rPr>
                <w:lang w:val="uk-UA"/>
              </w:rPr>
              <w:t xml:space="preserve"> бюджету України.</w:t>
            </w:r>
          </w:p>
          <w:p w:rsidR="00C744E8" w:rsidRPr="0082218E" w:rsidRDefault="00C744E8">
            <w:pPr>
              <w:widowControl w:val="0"/>
              <w:ind w:firstLine="249"/>
              <w:jc w:val="both"/>
              <w:rPr>
                <w:szCs w:val="28"/>
              </w:rPr>
            </w:pPr>
            <w:r w:rsidRPr="0082218E">
              <w:rPr>
                <w:lang w:val="uk-UA"/>
              </w:rPr>
              <w:t xml:space="preserve">Невиконання </w:t>
            </w:r>
            <w:r w:rsidRPr="0082218E">
              <w:rPr>
                <w:szCs w:val="28"/>
              </w:rPr>
              <w:t xml:space="preserve">Закону України від </w:t>
            </w:r>
            <w:r w:rsidRPr="0082218E">
              <w:rPr>
                <w:szCs w:val="28"/>
              </w:rPr>
              <w:br/>
              <w:t xml:space="preserve">04 лютого 2016 року № 994-VIII «Про </w:t>
            </w:r>
            <w:proofErr w:type="spellStart"/>
            <w:r w:rsidRPr="0082218E">
              <w:rPr>
                <w:szCs w:val="28"/>
              </w:rPr>
              <w:t>внесення</w:t>
            </w:r>
            <w:proofErr w:type="spellEnd"/>
            <w:r w:rsidRPr="0082218E">
              <w:rPr>
                <w:szCs w:val="28"/>
              </w:rPr>
              <w:t xml:space="preserve"> </w:t>
            </w:r>
            <w:proofErr w:type="spellStart"/>
            <w:r w:rsidRPr="0082218E">
              <w:rPr>
                <w:szCs w:val="28"/>
              </w:rPr>
              <w:t>зміни</w:t>
            </w:r>
            <w:proofErr w:type="spellEnd"/>
            <w:r w:rsidRPr="0082218E">
              <w:rPr>
                <w:szCs w:val="28"/>
              </w:rPr>
              <w:t xml:space="preserve"> до Митного кодексу України </w:t>
            </w:r>
            <w:proofErr w:type="spellStart"/>
            <w:r w:rsidRPr="0082218E">
              <w:rPr>
                <w:szCs w:val="28"/>
              </w:rPr>
              <w:t>щодо</w:t>
            </w:r>
            <w:proofErr w:type="spellEnd"/>
            <w:r w:rsidRPr="0082218E">
              <w:rPr>
                <w:szCs w:val="28"/>
              </w:rPr>
              <w:t xml:space="preserve"> </w:t>
            </w:r>
            <w:proofErr w:type="spellStart"/>
            <w:r w:rsidRPr="0082218E">
              <w:rPr>
                <w:szCs w:val="28"/>
              </w:rPr>
              <w:t>створення</w:t>
            </w:r>
            <w:proofErr w:type="spellEnd"/>
            <w:r w:rsidRPr="0082218E">
              <w:rPr>
                <w:szCs w:val="28"/>
              </w:rPr>
              <w:t xml:space="preserve"> </w:t>
            </w:r>
            <w:proofErr w:type="spellStart"/>
            <w:r w:rsidRPr="0082218E">
              <w:rPr>
                <w:szCs w:val="28"/>
              </w:rPr>
              <w:t>передумов</w:t>
            </w:r>
            <w:proofErr w:type="spellEnd"/>
            <w:r w:rsidRPr="0082218E">
              <w:rPr>
                <w:szCs w:val="28"/>
              </w:rPr>
              <w:t xml:space="preserve"> для </w:t>
            </w:r>
            <w:proofErr w:type="spellStart"/>
            <w:r w:rsidRPr="0082218E">
              <w:rPr>
                <w:szCs w:val="28"/>
              </w:rPr>
              <w:t>нової</w:t>
            </w:r>
            <w:proofErr w:type="spellEnd"/>
            <w:r w:rsidRPr="0082218E">
              <w:rPr>
                <w:szCs w:val="28"/>
              </w:rPr>
              <w:t xml:space="preserve"> </w:t>
            </w:r>
            <w:proofErr w:type="spellStart"/>
            <w:r w:rsidRPr="0082218E">
              <w:rPr>
                <w:szCs w:val="28"/>
              </w:rPr>
              <w:t>моделі</w:t>
            </w:r>
            <w:proofErr w:type="spellEnd"/>
            <w:r w:rsidRPr="0082218E">
              <w:rPr>
                <w:szCs w:val="28"/>
              </w:rPr>
              <w:t xml:space="preserve"> ринку природного газу»</w:t>
            </w:r>
          </w:p>
          <w:p w:rsidR="00877668" w:rsidRPr="0082218E" w:rsidRDefault="00877668" w:rsidP="00C744E8">
            <w:pPr>
              <w:widowControl w:val="0"/>
              <w:ind w:firstLine="249"/>
              <w:jc w:val="both"/>
              <w:rPr>
                <w:color w:val="FF0000"/>
                <w:lang w:val="uk-UA"/>
              </w:rPr>
            </w:pPr>
            <w:r w:rsidRPr="0082218E">
              <w:rPr>
                <w:lang w:val="uk-UA"/>
              </w:rPr>
              <w:t>Неможливість практичного застосування процедури бекхолу</w:t>
            </w:r>
            <w:r w:rsidR="00C744E8" w:rsidRPr="0082218E">
              <w:rPr>
                <w:lang w:val="uk-UA"/>
              </w:rPr>
              <w:t xml:space="preserve"> та збільшення обсягів</w:t>
            </w:r>
            <w:r w:rsidRPr="0082218E">
              <w:rPr>
                <w:lang w:val="uk-UA"/>
              </w:rPr>
              <w:t xml:space="preserve"> торгівлі (в т.ч. експортно-імпортних операцій), транспортуванн</w:t>
            </w:r>
            <w:r w:rsidR="00C744E8" w:rsidRPr="0082218E">
              <w:rPr>
                <w:lang w:val="uk-UA"/>
              </w:rPr>
              <w:t>я та зберігання природного газу</w:t>
            </w:r>
            <w:r w:rsidRPr="0082218E">
              <w:rPr>
                <w:lang w:val="uk-UA"/>
              </w:rPr>
              <w:t>.</w:t>
            </w:r>
          </w:p>
        </w:tc>
      </w:tr>
    </w:tbl>
    <w:p w:rsidR="001C6D28" w:rsidRPr="0082218E" w:rsidRDefault="001C6D28" w:rsidP="001C6D28">
      <w:pPr>
        <w:pStyle w:val="a4"/>
        <w:widowControl w:val="0"/>
        <w:ind w:left="0" w:firstLine="720"/>
        <w:jc w:val="both"/>
        <w:rPr>
          <w:rFonts w:cs="Times New Roman"/>
          <w:sz w:val="28"/>
          <w:szCs w:val="28"/>
          <w:lang w:val="uk-UA"/>
        </w:rPr>
      </w:pPr>
    </w:p>
    <w:p w:rsidR="001C6D28" w:rsidRPr="0082218E" w:rsidRDefault="001C6D28" w:rsidP="001C6D28">
      <w:pPr>
        <w:pStyle w:val="a4"/>
        <w:widowControl w:val="0"/>
        <w:ind w:left="0" w:firstLine="720"/>
        <w:jc w:val="both"/>
        <w:rPr>
          <w:rFonts w:cs="Times New Roman"/>
          <w:sz w:val="28"/>
          <w:szCs w:val="28"/>
          <w:lang w:val="uk-UA"/>
        </w:rPr>
      </w:pPr>
      <w:r w:rsidRPr="0082218E">
        <w:rPr>
          <w:rFonts w:cs="Times New Roman"/>
          <w:sz w:val="28"/>
          <w:szCs w:val="28"/>
          <w:lang w:val="uk-UA"/>
        </w:rPr>
        <w:t>3. Проект наказу не розповсюджується на сферу інтересів громадян.</w:t>
      </w:r>
    </w:p>
    <w:p w:rsidR="001C6D28" w:rsidRPr="0082218E" w:rsidRDefault="001C6D28" w:rsidP="001C6D28">
      <w:pPr>
        <w:pStyle w:val="a4"/>
        <w:widowControl w:val="0"/>
        <w:ind w:left="0" w:firstLine="720"/>
        <w:jc w:val="both"/>
        <w:rPr>
          <w:rFonts w:cs="Times New Roman"/>
          <w:sz w:val="28"/>
          <w:szCs w:val="28"/>
          <w:lang w:val="uk-UA"/>
        </w:rPr>
      </w:pPr>
    </w:p>
    <w:p w:rsidR="0066577E" w:rsidRPr="0082218E" w:rsidRDefault="001C6D28" w:rsidP="0066577E">
      <w:pPr>
        <w:pStyle w:val="a4"/>
        <w:widowControl w:val="0"/>
        <w:ind w:left="0" w:firstLine="720"/>
        <w:jc w:val="both"/>
        <w:rPr>
          <w:rFonts w:cs="Times New Roman"/>
          <w:sz w:val="28"/>
          <w:szCs w:val="28"/>
          <w:lang w:val="uk-UA"/>
        </w:rPr>
      </w:pPr>
      <w:r w:rsidRPr="0082218E">
        <w:rPr>
          <w:rFonts w:cs="Times New Roman"/>
          <w:sz w:val="28"/>
          <w:szCs w:val="28"/>
          <w:lang w:val="uk-UA"/>
        </w:rPr>
        <w:t>4. Оцінка впливу на сферу інтересів суб’єктів господарювання.</w:t>
      </w:r>
    </w:p>
    <w:p w:rsidR="0066577E" w:rsidRPr="0082218E" w:rsidRDefault="0066577E" w:rsidP="0066577E">
      <w:pPr>
        <w:pStyle w:val="a4"/>
        <w:widowControl w:val="0"/>
        <w:ind w:left="0" w:firstLine="720"/>
        <w:jc w:val="both"/>
        <w:rPr>
          <w:rFonts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7"/>
        <w:gridCol w:w="1491"/>
        <w:gridCol w:w="1492"/>
        <w:gridCol w:w="1393"/>
        <w:gridCol w:w="1393"/>
        <w:gridCol w:w="1393"/>
      </w:tblGrid>
      <w:tr w:rsidR="00C744E8" w:rsidRPr="0082218E" w:rsidTr="0066577E">
        <w:tc>
          <w:tcPr>
            <w:tcW w:w="1250" w:type="pct"/>
            <w:hideMark/>
          </w:tcPr>
          <w:p w:rsidR="0066577E" w:rsidRPr="0082218E" w:rsidRDefault="0066577E">
            <w:pPr>
              <w:pStyle w:val="rvps12"/>
              <w:spacing w:before="150" w:beforeAutospacing="0" w:after="150" w:afterAutospacing="0"/>
              <w:jc w:val="center"/>
              <w:textAlignment w:val="baseline"/>
            </w:pPr>
            <w:r w:rsidRPr="0082218E">
              <w:t>Показник</w:t>
            </w:r>
          </w:p>
        </w:tc>
        <w:tc>
          <w:tcPr>
            <w:tcW w:w="750" w:type="pct"/>
            <w:hideMark/>
          </w:tcPr>
          <w:p w:rsidR="0066577E" w:rsidRPr="0082218E" w:rsidRDefault="0066577E">
            <w:pPr>
              <w:pStyle w:val="rvps12"/>
              <w:spacing w:before="150" w:beforeAutospacing="0" w:after="150" w:afterAutospacing="0"/>
              <w:jc w:val="center"/>
              <w:textAlignment w:val="baseline"/>
            </w:pPr>
            <w:r w:rsidRPr="0082218E">
              <w:t>Великі</w:t>
            </w:r>
          </w:p>
        </w:tc>
        <w:tc>
          <w:tcPr>
            <w:tcW w:w="750" w:type="pct"/>
            <w:hideMark/>
          </w:tcPr>
          <w:p w:rsidR="0066577E" w:rsidRPr="0082218E" w:rsidRDefault="0066577E">
            <w:pPr>
              <w:pStyle w:val="rvps12"/>
              <w:spacing w:before="150" w:beforeAutospacing="0" w:after="150" w:afterAutospacing="0"/>
              <w:jc w:val="center"/>
              <w:textAlignment w:val="baseline"/>
            </w:pPr>
            <w:r w:rsidRPr="0082218E">
              <w:t>Середні</w:t>
            </w:r>
          </w:p>
        </w:tc>
        <w:tc>
          <w:tcPr>
            <w:tcW w:w="700" w:type="pct"/>
            <w:hideMark/>
          </w:tcPr>
          <w:p w:rsidR="0066577E" w:rsidRPr="0082218E" w:rsidRDefault="0066577E">
            <w:pPr>
              <w:pStyle w:val="rvps12"/>
              <w:spacing w:before="150" w:beforeAutospacing="0" w:after="150" w:afterAutospacing="0"/>
              <w:jc w:val="center"/>
              <w:textAlignment w:val="baseline"/>
            </w:pPr>
            <w:r w:rsidRPr="0082218E">
              <w:t>Малі</w:t>
            </w:r>
          </w:p>
        </w:tc>
        <w:tc>
          <w:tcPr>
            <w:tcW w:w="700" w:type="pct"/>
            <w:hideMark/>
          </w:tcPr>
          <w:p w:rsidR="0066577E" w:rsidRPr="0082218E" w:rsidRDefault="0066577E">
            <w:pPr>
              <w:pStyle w:val="rvps12"/>
              <w:spacing w:before="150" w:beforeAutospacing="0" w:after="150" w:afterAutospacing="0"/>
              <w:jc w:val="center"/>
              <w:textAlignment w:val="baseline"/>
            </w:pPr>
            <w:proofErr w:type="spellStart"/>
            <w:r w:rsidRPr="0082218E">
              <w:t>Мікро</w:t>
            </w:r>
            <w:proofErr w:type="spellEnd"/>
          </w:p>
        </w:tc>
        <w:tc>
          <w:tcPr>
            <w:tcW w:w="700" w:type="pct"/>
            <w:hideMark/>
          </w:tcPr>
          <w:p w:rsidR="0066577E" w:rsidRPr="0082218E" w:rsidRDefault="0066577E">
            <w:pPr>
              <w:pStyle w:val="rvps12"/>
              <w:spacing w:before="150" w:beforeAutospacing="0" w:after="150" w:afterAutospacing="0"/>
              <w:jc w:val="center"/>
              <w:textAlignment w:val="baseline"/>
            </w:pPr>
            <w:r w:rsidRPr="0082218E">
              <w:t>Разом</w:t>
            </w:r>
          </w:p>
        </w:tc>
      </w:tr>
      <w:tr w:rsidR="00C744E8" w:rsidRPr="0082218E" w:rsidTr="00270D33">
        <w:tc>
          <w:tcPr>
            <w:tcW w:w="1250" w:type="pct"/>
            <w:hideMark/>
          </w:tcPr>
          <w:p w:rsidR="0066577E" w:rsidRPr="0082218E" w:rsidRDefault="0066577E">
            <w:pPr>
              <w:pStyle w:val="rvps14"/>
              <w:spacing w:before="150" w:beforeAutospacing="0" w:after="150" w:afterAutospacing="0"/>
              <w:textAlignment w:val="baseline"/>
            </w:pPr>
            <w:r w:rsidRPr="0082218E">
              <w:t>Кількість суб’єктів господарювання, що підпадають під дію регулювання, одиниць</w:t>
            </w:r>
          </w:p>
        </w:tc>
        <w:tc>
          <w:tcPr>
            <w:tcW w:w="750" w:type="pct"/>
            <w:hideMark/>
          </w:tcPr>
          <w:p w:rsidR="0066577E" w:rsidRPr="0082218E" w:rsidRDefault="0066577E" w:rsidP="0066577E">
            <w:pPr>
              <w:pStyle w:val="rvps14"/>
              <w:spacing w:before="150" w:beforeAutospacing="0" w:after="150" w:afterAutospacing="0"/>
              <w:jc w:val="center"/>
              <w:textAlignment w:val="baseline"/>
            </w:pPr>
            <w:r w:rsidRPr="0082218E">
              <w:t>2*</w:t>
            </w:r>
          </w:p>
        </w:tc>
        <w:tc>
          <w:tcPr>
            <w:tcW w:w="750" w:type="pct"/>
            <w:hideMark/>
          </w:tcPr>
          <w:p w:rsidR="0066577E" w:rsidRPr="0082218E" w:rsidRDefault="0066577E">
            <w:pPr>
              <w:pStyle w:val="rvps14"/>
              <w:spacing w:before="150" w:beforeAutospacing="0" w:after="150" w:afterAutospacing="0"/>
              <w:textAlignment w:val="baseline"/>
            </w:pPr>
          </w:p>
        </w:tc>
        <w:tc>
          <w:tcPr>
            <w:tcW w:w="700" w:type="pct"/>
            <w:hideMark/>
          </w:tcPr>
          <w:p w:rsidR="0066577E" w:rsidRPr="0082218E" w:rsidRDefault="0066577E">
            <w:pPr>
              <w:pStyle w:val="rvps14"/>
              <w:spacing w:before="150" w:beforeAutospacing="0" w:after="150" w:afterAutospacing="0"/>
              <w:textAlignment w:val="baseline"/>
            </w:pPr>
          </w:p>
        </w:tc>
        <w:tc>
          <w:tcPr>
            <w:tcW w:w="700" w:type="pct"/>
            <w:hideMark/>
          </w:tcPr>
          <w:p w:rsidR="0066577E" w:rsidRPr="0082218E" w:rsidRDefault="0066577E">
            <w:pPr>
              <w:pStyle w:val="rvps14"/>
              <w:spacing w:before="150" w:beforeAutospacing="0" w:after="150" w:afterAutospacing="0"/>
              <w:textAlignment w:val="baseline"/>
            </w:pPr>
          </w:p>
        </w:tc>
        <w:tc>
          <w:tcPr>
            <w:tcW w:w="700" w:type="pct"/>
            <w:hideMark/>
          </w:tcPr>
          <w:p w:rsidR="0066577E" w:rsidRPr="00270D33" w:rsidRDefault="00270D33" w:rsidP="00270D33">
            <w:pPr>
              <w:pStyle w:val="rvps14"/>
              <w:spacing w:before="150" w:beforeAutospacing="0" w:after="150" w:afterAutospacing="0"/>
              <w:jc w:val="center"/>
              <w:textAlignment w:val="baseline"/>
            </w:pPr>
            <w:r w:rsidRPr="00270D33">
              <w:t>2*</w:t>
            </w:r>
          </w:p>
        </w:tc>
      </w:tr>
      <w:tr w:rsidR="00C744E8" w:rsidRPr="0082218E" w:rsidTr="00270D33">
        <w:tc>
          <w:tcPr>
            <w:tcW w:w="1250" w:type="pct"/>
            <w:shd w:val="clear" w:color="auto" w:fill="FFFFFF"/>
            <w:hideMark/>
          </w:tcPr>
          <w:p w:rsidR="0066577E" w:rsidRPr="0082218E" w:rsidRDefault="0066577E">
            <w:pPr>
              <w:pStyle w:val="rvps14"/>
              <w:spacing w:before="150" w:beforeAutospacing="0" w:after="150" w:afterAutospacing="0"/>
              <w:textAlignment w:val="baseline"/>
            </w:pPr>
            <w:r w:rsidRPr="0082218E">
              <w:t>Питома вага групи у загальній кількості, відсотків</w:t>
            </w:r>
          </w:p>
        </w:tc>
        <w:tc>
          <w:tcPr>
            <w:tcW w:w="750" w:type="pct"/>
            <w:shd w:val="clear" w:color="auto" w:fill="FFFFFF"/>
            <w:hideMark/>
          </w:tcPr>
          <w:p w:rsidR="0066577E" w:rsidRPr="0082218E" w:rsidRDefault="0066577E" w:rsidP="0066577E">
            <w:pPr>
              <w:jc w:val="center"/>
              <w:rPr>
                <w:lang w:val="uk-UA"/>
              </w:rPr>
            </w:pPr>
            <w:r w:rsidRPr="0082218E">
              <w:rPr>
                <w:lang w:val="uk-UA"/>
              </w:rPr>
              <w:t>100</w:t>
            </w:r>
          </w:p>
        </w:tc>
        <w:tc>
          <w:tcPr>
            <w:tcW w:w="0" w:type="auto"/>
            <w:vAlign w:val="bottom"/>
            <w:hideMark/>
          </w:tcPr>
          <w:p w:rsidR="0066577E" w:rsidRPr="0082218E" w:rsidRDefault="0066577E">
            <w:pPr>
              <w:rPr>
                <w:sz w:val="20"/>
                <w:szCs w:val="20"/>
              </w:rPr>
            </w:pPr>
          </w:p>
        </w:tc>
        <w:tc>
          <w:tcPr>
            <w:tcW w:w="0" w:type="auto"/>
            <w:vAlign w:val="bottom"/>
            <w:hideMark/>
          </w:tcPr>
          <w:p w:rsidR="0066577E" w:rsidRPr="0082218E" w:rsidRDefault="0066577E">
            <w:pPr>
              <w:rPr>
                <w:sz w:val="20"/>
                <w:szCs w:val="20"/>
              </w:rPr>
            </w:pPr>
          </w:p>
        </w:tc>
        <w:tc>
          <w:tcPr>
            <w:tcW w:w="0" w:type="auto"/>
            <w:vAlign w:val="bottom"/>
            <w:hideMark/>
          </w:tcPr>
          <w:p w:rsidR="0066577E" w:rsidRPr="0082218E" w:rsidRDefault="0066577E">
            <w:pPr>
              <w:rPr>
                <w:sz w:val="20"/>
                <w:szCs w:val="20"/>
              </w:rPr>
            </w:pPr>
          </w:p>
        </w:tc>
        <w:tc>
          <w:tcPr>
            <w:tcW w:w="0" w:type="auto"/>
            <w:hideMark/>
          </w:tcPr>
          <w:p w:rsidR="0066577E" w:rsidRPr="00270D33" w:rsidRDefault="00270D33" w:rsidP="00270D33">
            <w:pPr>
              <w:jc w:val="center"/>
              <w:rPr>
                <w:lang w:val="uk-UA"/>
              </w:rPr>
            </w:pPr>
            <w:r w:rsidRPr="00270D33">
              <w:rPr>
                <w:lang w:val="uk-UA"/>
              </w:rPr>
              <w:t>100</w:t>
            </w:r>
          </w:p>
        </w:tc>
      </w:tr>
    </w:tbl>
    <w:p w:rsidR="0066577E" w:rsidRPr="0082218E" w:rsidRDefault="0066577E" w:rsidP="0066577E">
      <w:pPr>
        <w:pStyle w:val="a4"/>
        <w:widowControl w:val="0"/>
        <w:ind w:left="0" w:firstLine="720"/>
        <w:jc w:val="both"/>
        <w:rPr>
          <w:rFonts w:cs="Times New Roman"/>
          <w:sz w:val="28"/>
          <w:szCs w:val="28"/>
          <w:lang w:val="uk-UA"/>
        </w:rPr>
      </w:pPr>
      <w:r w:rsidRPr="0082218E">
        <w:rPr>
          <w:rFonts w:cs="Times New Roman"/>
          <w:sz w:val="28"/>
          <w:szCs w:val="28"/>
          <w:lang w:val="uk-UA"/>
        </w:rPr>
        <w:t>*</w:t>
      </w:r>
      <w:r w:rsidRPr="0082218E">
        <w:rPr>
          <w:rFonts w:cs="Times New Roman"/>
          <w:lang w:val="uk-UA"/>
        </w:rPr>
        <w:t xml:space="preserve"> Порядок стосується інтересів НАК</w:t>
      </w:r>
      <w:r w:rsidR="00C744E8" w:rsidRPr="0082218E">
        <w:rPr>
          <w:rFonts w:cs="Times New Roman"/>
          <w:lang w:val="uk-UA"/>
        </w:rPr>
        <w:t xml:space="preserve"> «Нафтогаз України»</w:t>
      </w:r>
      <w:r w:rsidRPr="0082218E">
        <w:rPr>
          <w:rFonts w:cs="Times New Roman"/>
          <w:lang w:val="uk-UA"/>
        </w:rPr>
        <w:t xml:space="preserve"> та </w:t>
      </w:r>
      <w:r w:rsidR="00C744E8" w:rsidRPr="0082218E">
        <w:rPr>
          <w:rFonts w:cs="Times New Roman"/>
          <w:lang w:val="uk-UA"/>
        </w:rPr>
        <w:t>ПАТ «</w:t>
      </w:r>
      <w:proofErr w:type="spellStart"/>
      <w:r w:rsidR="00C744E8" w:rsidRPr="0082218E">
        <w:rPr>
          <w:rFonts w:cs="Times New Roman"/>
          <w:lang w:val="uk-UA"/>
        </w:rPr>
        <w:t>Укртрансгаз</w:t>
      </w:r>
      <w:proofErr w:type="spellEnd"/>
      <w:r w:rsidR="00C744E8" w:rsidRPr="0082218E">
        <w:rPr>
          <w:rFonts w:cs="Times New Roman"/>
          <w:lang w:val="uk-UA"/>
        </w:rPr>
        <w:t>», як операторів газотранспортної системи</w:t>
      </w:r>
      <w:r w:rsidRPr="0082218E">
        <w:rPr>
          <w:rFonts w:cs="Times New Roman"/>
          <w:lang w:val="uk-UA"/>
        </w:rPr>
        <w:t xml:space="preserve"> та газосховищ.</w:t>
      </w:r>
    </w:p>
    <w:p w:rsidR="001C6D28" w:rsidRPr="0082218E" w:rsidRDefault="001C6D28" w:rsidP="001C6D28">
      <w:pPr>
        <w:pStyle w:val="a4"/>
        <w:widowControl w:val="0"/>
        <w:ind w:left="0"/>
        <w:jc w:val="both"/>
        <w:rPr>
          <w:rFonts w:cs="Times New Roman"/>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42"/>
        <w:gridCol w:w="4081"/>
        <w:gridCol w:w="3864"/>
      </w:tblGrid>
      <w:tr w:rsidR="001C6D28" w:rsidRPr="0082218E" w:rsidTr="001C6D28">
        <w:trPr>
          <w:tblCellSpacing w:w="22" w:type="dxa"/>
        </w:trPr>
        <w:tc>
          <w:tcPr>
            <w:tcW w:w="908" w:type="pct"/>
            <w:tcBorders>
              <w:top w:val="outset" w:sz="6" w:space="0" w:color="auto"/>
              <w:left w:val="nil"/>
              <w:bottom w:val="outset" w:sz="6" w:space="0" w:color="auto"/>
              <w:right w:val="outset" w:sz="6" w:space="0" w:color="auto"/>
            </w:tcBorders>
            <w:hideMark/>
          </w:tcPr>
          <w:p w:rsidR="001C6D28" w:rsidRPr="0082218E" w:rsidRDefault="001C6D28">
            <w:pPr>
              <w:pStyle w:val="a4"/>
              <w:widowControl w:val="0"/>
              <w:ind w:left="0"/>
              <w:jc w:val="center"/>
              <w:rPr>
                <w:rFonts w:cs="Times New Roman"/>
                <w:lang w:val="uk-UA"/>
              </w:rPr>
            </w:pPr>
            <w:r w:rsidRPr="0082218E">
              <w:rPr>
                <w:rFonts w:cs="Times New Roman"/>
                <w:lang w:val="uk-UA"/>
              </w:rPr>
              <w:t>Вид альтернативи</w:t>
            </w:r>
          </w:p>
        </w:tc>
        <w:tc>
          <w:tcPr>
            <w:tcW w:w="2063" w:type="pct"/>
            <w:tcBorders>
              <w:top w:val="outset" w:sz="6" w:space="0" w:color="auto"/>
              <w:left w:val="outset" w:sz="6" w:space="0" w:color="auto"/>
              <w:bottom w:val="outset" w:sz="6" w:space="0" w:color="auto"/>
              <w:right w:val="outset" w:sz="6" w:space="0" w:color="auto"/>
            </w:tcBorders>
            <w:hideMark/>
          </w:tcPr>
          <w:p w:rsidR="001C6D28" w:rsidRPr="0082218E" w:rsidRDefault="001C6D28">
            <w:pPr>
              <w:pStyle w:val="a4"/>
              <w:widowControl w:val="0"/>
              <w:ind w:left="0"/>
              <w:jc w:val="center"/>
              <w:rPr>
                <w:rFonts w:cs="Times New Roman"/>
                <w:lang w:val="uk-UA"/>
              </w:rPr>
            </w:pPr>
            <w:r w:rsidRPr="0082218E">
              <w:rPr>
                <w:rFonts w:cs="Times New Roman"/>
                <w:lang w:val="uk-UA"/>
              </w:rPr>
              <w:t>Вигоди</w:t>
            </w:r>
          </w:p>
        </w:tc>
        <w:tc>
          <w:tcPr>
            <w:tcW w:w="1941" w:type="pct"/>
            <w:tcBorders>
              <w:top w:val="outset" w:sz="6" w:space="0" w:color="auto"/>
              <w:left w:val="outset" w:sz="6" w:space="0" w:color="auto"/>
              <w:bottom w:val="outset" w:sz="6" w:space="0" w:color="auto"/>
              <w:right w:val="nil"/>
            </w:tcBorders>
            <w:hideMark/>
          </w:tcPr>
          <w:p w:rsidR="001C6D28" w:rsidRPr="0082218E" w:rsidRDefault="001C6D28">
            <w:pPr>
              <w:pStyle w:val="a4"/>
              <w:widowControl w:val="0"/>
              <w:ind w:left="0"/>
              <w:jc w:val="center"/>
              <w:rPr>
                <w:rFonts w:cs="Times New Roman"/>
                <w:lang w:val="uk-UA"/>
              </w:rPr>
            </w:pPr>
            <w:r w:rsidRPr="0082218E">
              <w:rPr>
                <w:rFonts w:cs="Times New Roman"/>
                <w:lang w:val="uk-UA"/>
              </w:rPr>
              <w:t>Витрати</w:t>
            </w:r>
          </w:p>
        </w:tc>
      </w:tr>
      <w:tr w:rsidR="001C6D28" w:rsidRPr="0082218E" w:rsidTr="001C6D28">
        <w:trPr>
          <w:tblCellSpacing w:w="22" w:type="dxa"/>
        </w:trPr>
        <w:tc>
          <w:tcPr>
            <w:tcW w:w="908"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Альтернатива 1</w:t>
            </w:r>
          </w:p>
        </w:tc>
        <w:tc>
          <w:tcPr>
            <w:tcW w:w="2063" w:type="pct"/>
            <w:tcBorders>
              <w:top w:val="outset" w:sz="6" w:space="0" w:color="auto"/>
              <w:left w:val="outset" w:sz="6" w:space="0" w:color="auto"/>
              <w:bottom w:val="outset" w:sz="6" w:space="0" w:color="auto"/>
              <w:right w:val="outset" w:sz="6" w:space="0" w:color="auto"/>
            </w:tcBorders>
            <w:hideMark/>
          </w:tcPr>
          <w:p w:rsidR="001C6D28" w:rsidRPr="0082218E" w:rsidRDefault="001C6D28">
            <w:pPr>
              <w:widowControl w:val="0"/>
              <w:spacing w:before="100" w:beforeAutospacing="1" w:after="100" w:afterAutospacing="1"/>
              <w:ind w:left="48" w:firstLine="247"/>
              <w:jc w:val="both"/>
              <w:rPr>
                <w:lang w:val="uk-UA" w:eastAsia="en-US"/>
              </w:rPr>
            </w:pPr>
            <w:r w:rsidRPr="0082218E">
              <w:rPr>
                <w:lang w:val="uk-UA"/>
              </w:rPr>
              <w:t xml:space="preserve">Сприяння збалансованості інтересів бізнесу і держави </w:t>
            </w:r>
            <w:r w:rsidRPr="0082218E">
              <w:rPr>
                <w:lang w:val="uk-UA" w:eastAsia="en-US"/>
              </w:rPr>
              <w:t xml:space="preserve">шляхом збільшення завантаженості газотранспортних систем (особливо на міждержавних з’єднаннях), забезпечення ліквідності ринку газу та безпеки енергопостачання. Використання операцій заміщення (бекхолу) газу дозволить значно збільшити можливості застосування нових джерел та напрямків постачання газу до України без будівництва додаткових транспортних потужностей, підвищити  енергетичну безпеку України, без додаткових витрат на будівництво нових об’єктів газової інфраструктури.     </w:t>
            </w:r>
          </w:p>
          <w:p w:rsidR="001C6D28" w:rsidRPr="0082218E" w:rsidRDefault="001C6D28">
            <w:pPr>
              <w:widowControl w:val="0"/>
              <w:spacing w:before="100" w:beforeAutospacing="1" w:after="100" w:afterAutospacing="1"/>
              <w:ind w:left="48" w:firstLine="247"/>
              <w:jc w:val="both"/>
              <w:rPr>
                <w:lang w:eastAsia="en-US"/>
              </w:rPr>
            </w:pPr>
            <w:r w:rsidRPr="0082218E">
              <w:rPr>
                <w:lang w:val="uk-UA"/>
              </w:rPr>
              <w:t xml:space="preserve">Створення Митного складу на базі Газосховищ (ГС) дозволить збільшити обсяги зберігання імпортного газу для нерезидентів завдяки зменшенню ризиків (буде чітко визначений митний режим зі строками зберігання до 1095 днів) та резидентів (нові можливості по торгівлі газом, з відстроченням сплати ПДВ), а також стане одним з важливих заходів при подальшому створенні Газового </w:t>
            </w:r>
            <w:proofErr w:type="spellStart"/>
            <w:r w:rsidRPr="0082218E">
              <w:rPr>
                <w:lang w:val="uk-UA"/>
              </w:rPr>
              <w:t>ХАБу</w:t>
            </w:r>
            <w:proofErr w:type="spellEnd"/>
            <w:r w:rsidRPr="0082218E">
              <w:rPr>
                <w:lang w:val="uk-UA"/>
              </w:rPr>
              <w:t>.</w:t>
            </w:r>
          </w:p>
        </w:tc>
        <w:tc>
          <w:tcPr>
            <w:tcW w:w="1941" w:type="pct"/>
            <w:tcBorders>
              <w:top w:val="outset" w:sz="6" w:space="0" w:color="auto"/>
              <w:left w:val="outset" w:sz="6" w:space="0" w:color="auto"/>
              <w:bottom w:val="outset" w:sz="6" w:space="0" w:color="auto"/>
              <w:right w:val="nil"/>
            </w:tcBorders>
          </w:tcPr>
          <w:p w:rsidR="00C744E8" w:rsidRPr="0082218E" w:rsidRDefault="00C744E8" w:rsidP="00C744E8">
            <w:pPr>
              <w:pStyle w:val="3"/>
              <w:widowControl w:val="0"/>
              <w:spacing w:before="0" w:beforeAutospacing="0" w:after="0" w:afterAutospacing="0"/>
              <w:jc w:val="both"/>
              <w:rPr>
                <w:b w:val="0"/>
                <w:sz w:val="24"/>
                <w:szCs w:val="24"/>
                <w:lang w:val="uk-UA"/>
              </w:rPr>
            </w:pPr>
            <w:r w:rsidRPr="0082218E">
              <w:rPr>
                <w:b w:val="0"/>
                <w:sz w:val="24"/>
                <w:szCs w:val="24"/>
                <w:lang w:val="uk-UA"/>
              </w:rPr>
              <w:t xml:space="preserve">    </w:t>
            </w:r>
            <w:r w:rsidR="00877668" w:rsidRPr="0082218E">
              <w:rPr>
                <w:b w:val="0"/>
                <w:sz w:val="24"/>
                <w:szCs w:val="24"/>
                <w:lang w:val="uk-UA"/>
              </w:rPr>
              <w:t xml:space="preserve">Оскільки порядок стосується інтересів </w:t>
            </w:r>
            <w:r w:rsidRPr="0082218E">
              <w:rPr>
                <w:b w:val="0"/>
                <w:lang w:val="uk-UA"/>
              </w:rPr>
              <w:t>НАК «Нафтогаз України» та ПАТ «</w:t>
            </w:r>
            <w:proofErr w:type="spellStart"/>
            <w:r w:rsidRPr="0082218E">
              <w:rPr>
                <w:b w:val="0"/>
                <w:lang w:val="uk-UA"/>
              </w:rPr>
              <w:t>Укртрансгаз</w:t>
            </w:r>
            <w:proofErr w:type="spellEnd"/>
            <w:r w:rsidRPr="0082218E">
              <w:rPr>
                <w:b w:val="0"/>
                <w:lang w:val="uk-UA"/>
              </w:rPr>
              <w:t>», як операторів газотранспортної системи та газосховищ</w:t>
            </w:r>
            <w:r w:rsidR="00877668" w:rsidRPr="0082218E">
              <w:rPr>
                <w:b w:val="0"/>
                <w:sz w:val="24"/>
                <w:szCs w:val="24"/>
                <w:lang w:val="uk-UA"/>
              </w:rPr>
              <w:t>, їх витрати пов’язані з виконанням вимог даного проекту акта складатимуть орієнтовно 13000 грн.</w:t>
            </w:r>
          </w:p>
          <w:p w:rsidR="001C6D28" w:rsidRPr="0082218E" w:rsidRDefault="00877668" w:rsidP="00877668">
            <w:pPr>
              <w:widowControl w:val="0"/>
              <w:spacing w:before="100" w:beforeAutospacing="1" w:after="100" w:afterAutospacing="1"/>
              <w:ind w:firstLine="249"/>
              <w:jc w:val="both"/>
              <w:rPr>
                <w:lang w:val="uk-UA"/>
              </w:rPr>
            </w:pPr>
            <w:r w:rsidRPr="0082218E">
              <w:rPr>
                <w:color w:val="FF0000"/>
                <w:lang w:val="uk-UA"/>
              </w:rPr>
              <w:t xml:space="preserve"> </w:t>
            </w:r>
            <w:r w:rsidR="00C744E8" w:rsidRPr="0082218E">
              <w:rPr>
                <w:lang w:val="uk-UA"/>
              </w:rPr>
              <w:t>Витрати інших суб’єктів господарювання не передбачаються.</w:t>
            </w:r>
          </w:p>
        </w:tc>
      </w:tr>
      <w:tr w:rsidR="00EB17B0" w:rsidRPr="00EB17B0" w:rsidTr="001C6D28">
        <w:trPr>
          <w:tblCellSpacing w:w="22" w:type="dxa"/>
        </w:trPr>
        <w:tc>
          <w:tcPr>
            <w:tcW w:w="908" w:type="pct"/>
            <w:tcBorders>
              <w:top w:val="outset" w:sz="6" w:space="0" w:color="auto"/>
              <w:left w:val="nil"/>
              <w:bottom w:val="outset" w:sz="6" w:space="0" w:color="auto"/>
              <w:right w:val="outset" w:sz="6" w:space="0" w:color="auto"/>
            </w:tcBorders>
            <w:vAlign w:val="center"/>
            <w:hideMark/>
          </w:tcPr>
          <w:p w:rsidR="001C6D28" w:rsidRPr="00EB17B0" w:rsidRDefault="001C6D28">
            <w:pPr>
              <w:pStyle w:val="a4"/>
              <w:widowControl w:val="0"/>
              <w:spacing w:before="100" w:beforeAutospacing="1" w:after="100" w:afterAutospacing="1"/>
              <w:ind w:left="0"/>
              <w:jc w:val="center"/>
              <w:rPr>
                <w:rFonts w:cs="Times New Roman"/>
                <w:lang w:val="uk-UA"/>
              </w:rPr>
            </w:pPr>
            <w:r w:rsidRPr="00EB17B0">
              <w:rPr>
                <w:rFonts w:cs="Times New Roman"/>
                <w:lang w:val="uk-UA"/>
              </w:rPr>
              <w:lastRenderedPageBreak/>
              <w:t>Альтернатива 2</w:t>
            </w:r>
          </w:p>
        </w:tc>
        <w:tc>
          <w:tcPr>
            <w:tcW w:w="2063" w:type="pct"/>
            <w:tcBorders>
              <w:top w:val="outset" w:sz="6" w:space="0" w:color="auto"/>
              <w:left w:val="outset" w:sz="6" w:space="0" w:color="auto"/>
              <w:bottom w:val="outset" w:sz="6" w:space="0" w:color="auto"/>
              <w:right w:val="outset" w:sz="6" w:space="0" w:color="auto"/>
            </w:tcBorders>
            <w:hideMark/>
          </w:tcPr>
          <w:p w:rsidR="001C6D28" w:rsidRPr="00EB17B0" w:rsidRDefault="001C6D28">
            <w:pPr>
              <w:pStyle w:val="a4"/>
              <w:widowControl w:val="0"/>
              <w:spacing w:before="100" w:beforeAutospacing="1" w:after="100" w:afterAutospacing="1"/>
              <w:ind w:left="0" w:firstLine="295"/>
              <w:jc w:val="both"/>
              <w:rPr>
                <w:rFonts w:cs="Times New Roman"/>
                <w:lang w:val="uk-UA"/>
              </w:rPr>
            </w:pPr>
            <w:r w:rsidRPr="00EB17B0">
              <w:rPr>
                <w:rFonts w:cs="Times New Roman"/>
                <w:lang w:val="uk-UA"/>
              </w:rPr>
              <w:t>Відсутні.</w:t>
            </w:r>
          </w:p>
        </w:tc>
        <w:tc>
          <w:tcPr>
            <w:tcW w:w="1941" w:type="pct"/>
            <w:tcBorders>
              <w:top w:val="outset" w:sz="6" w:space="0" w:color="auto"/>
              <w:left w:val="outset" w:sz="6" w:space="0" w:color="auto"/>
              <w:bottom w:val="outset" w:sz="6" w:space="0" w:color="auto"/>
              <w:right w:val="nil"/>
            </w:tcBorders>
            <w:hideMark/>
          </w:tcPr>
          <w:p w:rsidR="001C6D28" w:rsidRPr="00EB17B0" w:rsidRDefault="001C6D28">
            <w:pPr>
              <w:widowControl w:val="0"/>
              <w:spacing w:before="100" w:beforeAutospacing="1" w:after="100" w:afterAutospacing="1"/>
              <w:ind w:left="48" w:firstLine="247"/>
              <w:jc w:val="both"/>
              <w:rPr>
                <w:lang w:val="uk-UA"/>
              </w:rPr>
            </w:pPr>
            <w:r w:rsidRPr="00EB17B0">
              <w:rPr>
                <w:lang w:val="uk-UA"/>
              </w:rPr>
              <w:t>Відсутні.</w:t>
            </w:r>
          </w:p>
          <w:p w:rsidR="001C6D28" w:rsidRPr="00EB17B0" w:rsidRDefault="001C6D28">
            <w:pPr>
              <w:widowControl w:val="0"/>
              <w:spacing w:before="100" w:beforeAutospacing="1" w:after="100" w:afterAutospacing="1"/>
              <w:ind w:left="48" w:firstLine="247"/>
              <w:jc w:val="both"/>
              <w:rPr>
                <w:lang w:val="uk-UA" w:eastAsia="en-US"/>
              </w:rPr>
            </w:pPr>
            <w:r w:rsidRPr="00EB17B0">
              <w:rPr>
                <w:lang w:val="uk-UA"/>
              </w:rPr>
              <w:t xml:space="preserve">Є найгіршою альтернативою, оскільки не призведе до: </w:t>
            </w:r>
            <w:r w:rsidRPr="00EB17B0">
              <w:rPr>
                <w:lang w:val="uk-UA" w:eastAsia="en-US"/>
              </w:rPr>
              <w:t xml:space="preserve"> </w:t>
            </w:r>
          </w:p>
          <w:p w:rsidR="001C6D28" w:rsidRPr="00EB17B0" w:rsidRDefault="001C6D28" w:rsidP="0047185E">
            <w:pPr>
              <w:pStyle w:val="a4"/>
              <w:widowControl w:val="0"/>
              <w:numPr>
                <w:ilvl w:val="0"/>
                <w:numId w:val="2"/>
              </w:numPr>
              <w:spacing w:before="100" w:beforeAutospacing="1" w:after="100" w:afterAutospacing="1"/>
              <w:jc w:val="both"/>
              <w:rPr>
                <w:rFonts w:cs="Times New Roman"/>
                <w:lang w:val="uk-UA" w:eastAsia="en-US"/>
              </w:rPr>
            </w:pPr>
            <w:r w:rsidRPr="00EB17B0">
              <w:rPr>
                <w:rFonts w:cs="Times New Roman"/>
                <w:lang w:val="uk-UA" w:eastAsia="en-US"/>
              </w:rPr>
              <w:t>збільшення надання послуг з транспортування та зберігання природного газу;</w:t>
            </w:r>
          </w:p>
          <w:p w:rsidR="001C6D28" w:rsidRPr="00EB17B0" w:rsidRDefault="001C6D28" w:rsidP="0047185E">
            <w:pPr>
              <w:pStyle w:val="a4"/>
              <w:widowControl w:val="0"/>
              <w:numPr>
                <w:ilvl w:val="0"/>
                <w:numId w:val="2"/>
              </w:numPr>
              <w:spacing w:before="100" w:beforeAutospacing="1" w:after="100" w:afterAutospacing="1"/>
              <w:jc w:val="both"/>
              <w:rPr>
                <w:rFonts w:cs="Times New Roman"/>
                <w:lang w:val="uk-UA" w:eastAsia="en-US"/>
              </w:rPr>
            </w:pPr>
            <w:r w:rsidRPr="00EB17B0">
              <w:rPr>
                <w:rFonts w:cs="Times New Roman"/>
                <w:lang w:val="uk-UA" w:eastAsia="en-US"/>
              </w:rPr>
              <w:t>забезпечення ліквідності ринку газу та безпеки енергопостачання;</w:t>
            </w:r>
          </w:p>
          <w:p w:rsidR="001C6D28" w:rsidRPr="00EB17B0" w:rsidRDefault="001C6D28" w:rsidP="0047185E">
            <w:pPr>
              <w:pStyle w:val="a4"/>
              <w:widowControl w:val="0"/>
              <w:numPr>
                <w:ilvl w:val="0"/>
                <w:numId w:val="2"/>
              </w:numPr>
              <w:spacing w:before="100" w:beforeAutospacing="1" w:after="100" w:afterAutospacing="1"/>
              <w:jc w:val="both"/>
              <w:rPr>
                <w:rFonts w:cs="Times New Roman"/>
                <w:lang w:val="uk-UA" w:eastAsia="en-US"/>
              </w:rPr>
            </w:pPr>
            <w:r w:rsidRPr="00EB17B0">
              <w:rPr>
                <w:rFonts w:cs="Times New Roman"/>
                <w:lang w:val="uk-UA" w:eastAsia="en-US"/>
              </w:rPr>
              <w:t>використання операцій заміщення (бекхолу) газу;</w:t>
            </w:r>
          </w:p>
          <w:p w:rsidR="001C6D28" w:rsidRPr="00EB17B0" w:rsidRDefault="001C6D28" w:rsidP="0047185E">
            <w:pPr>
              <w:pStyle w:val="a4"/>
              <w:widowControl w:val="0"/>
              <w:numPr>
                <w:ilvl w:val="0"/>
                <w:numId w:val="2"/>
              </w:numPr>
              <w:spacing w:before="100" w:beforeAutospacing="1" w:after="100" w:afterAutospacing="1"/>
              <w:jc w:val="both"/>
              <w:rPr>
                <w:rFonts w:cs="Times New Roman"/>
                <w:lang w:val="uk-UA" w:eastAsia="en-US"/>
              </w:rPr>
            </w:pPr>
            <w:r w:rsidRPr="00EB17B0">
              <w:rPr>
                <w:rFonts w:cs="Times New Roman"/>
                <w:lang w:val="uk-UA" w:eastAsia="en-US"/>
              </w:rPr>
              <w:t xml:space="preserve">застосування нових джерел та напрямків постачання газу до України без будівництва додаткових транспортних потужностей; </w:t>
            </w:r>
          </w:p>
          <w:p w:rsidR="001C6D28" w:rsidRPr="00EB17B0" w:rsidRDefault="001C6D28" w:rsidP="0047185E">
            <w:pPr>
              <w:pStyle w:val="a4"/>
              <w:widowControl w:val="0"/>
              <w:numPr>
                <w:ilvl w:val="0"/>
                <w:numId w:val="2"/>
              </w:numPr>
              <w:spacing w:before="100" w:beforeAutospacing="1" w:after="100" w:afterAutospacing="1"/>
              <w:jc w:val="both"/>
              <w:rPr>
                <w:rFonts w:cs="Times New Roman"/>
                <w:lang w:val="uk-UA" w:eastAsia="en-US"/>
              </w:rPr>
            </w:pPr>
            <w:r w:rsidRPr="00EB17B0">
              <w:rPr>
                <w:rFonts w:cs="Times New Roman"/>
                <w:lang w:val="uk-UA" w:eastAsia="en-US"/>
              </w:rPr>
              <w:t>підвищення  енергетичної безпеку України, без додаткових витрат на будівництво нових об’єктів газової інфраструктури;</w:t>
            </w:r>
          </w:p>
          <w:p w:rsidR="001C6D28" w:rsidRPr="00EB17B0" w:rsidRDefault="001C6D28" w:rsidP="0047185E">
            <w:pPr>
              <w:pStyle w:val="a4"/>
              <w:widowControl w:val="0"/>
              <w:numPr>
                <w:ilvl w:val="0"/>
                <w:numId w:val="2"/>
              </w:numPr>
              <w:spacing w:before="100" w:beforeAutospacing="1" w:after="100" w:afterAutospacing="1"/>
              <w:jc w:val="both"/>
              <w:rPr>
                <w:rFonts w:cs="Times New Roman"/>
                <w:lang w:val="uk-UA" w:eastAsia="en-US"/>
              </w:rPr>
            </w:pPr>
            <w:r w:rsidRPr="00EB17B0">
              <w:rPr>
                <w:rFonts w:cs="Times New Roman"/>
                <w:lang w:val="uk-UA"/>
              </w:rPr>
              <w:t xml:space="preserve">збільшення обсягів зберігання газу для нерезидентів. </w:t>
            </w:r>
          </w:p>
        </w:tc>
      </w:tr>
    </w:tbl>
    <w:p w:rsidR="001C6D28" w:rsidRPr="0082218E" w:rsidRDefault="001C6D28" w:rsidP="001C6D28">
      <w:pPr>
        <w:pStyle w:val="3"/>
        <w:widowControl w:val="0"/>
        <w:spacing w:before="0" w:beforeAutospacing="0" w:after="0" w:afterAutospacing="0"/>
        <w:rPr>
          <w:b w:val="0"/>
          <w:sz w:val="28"/>
          <w:szCs w:val="28"/>
          <w:lang w:val="uk-UA"/>
        </w:rPr>
      </w:pP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6627"/>
        <w:gridCol w:w="3022"/>
      </w:tblGrid>
      <w:tr w:rsidR="001C6D28" w:rsidRPr="0082218E" w:rsidTr="001C6D28">
        <w:tc>
          <w:tcPr>
            <w:tcW w:w="3434" w:type="pct"/>
            <w:tcBorders>
              <w:top w:val="single" w:sz="4" w:space="0" w:color="auto"/>
              <w:left w:val="single" w:sz="4" w:space="0" w:color="auto"/>
              <w:bottom w:val="single" w:sz="4" w:space="0" w:color="auto"/>
              <w:right w:val="single" w:sz="4" w:space="0" w:color="auto"/>
            </w:tcBorders>
            <w:shd w:val="clear" w:color="auto" w:fill="FFFFFF"/>
            <w:hideMark/>
          </w:tcPr>
          <w:p w:rsidR="001C6D28" w:rsidRPr="0082218E" w:rsidRDefault="001C6D28">
            <w:pPr>
              <w:pStyle w:val="rvps12"/>
              <w:spacing w:before="150" w:beforeAutospacing="0" w:after="150" w:afterAutospacing="0"/>
              <w:jc w:val="center"/>
              <w:textAlignment w:val="baseline"/>
            </w:pPr>
            <w:r w:rsidRPr="0082218E">
              <w:t>Сумарні витрати за альтернативами</w:t>
            </w:r>
          </w:p>
        </w:tc>
        <w:tc>
          <w:tcPr>
            <w:tcW w:w="1566" w:type="pct"/>
            <w:tcBorders>
              <w:top w:val="single" w:sz="4" w:space="0" w:color="auto"/>
              <w:left w:val="single" w:sz="4" w:space="0" w:color="auto"/>
              <w:bottom w:val="single" w:sz="4" w:space="0" w:color="auto"/>
              <w:right w:val="single" w:sz="4" w:space="0" w:color="auto"/>
            </w:tcBorders>
            <w:shd w:val="clear" w:color="auto" w:fill="FFFFFF"/>
            <w:hideMark/>
          </w:tcPr>
          <w:p w:rsidR="001C6D28" w:rsidRPr="0082218E" w:rsidRDefault="001C6D28">
            <w:pPr>
              <w:pStyle w:val="rvps12"/>
              <w:spacing w:before="150" w:beforeAutospacing="0" w:after="150" w:afterAutospacing="0"/>
              <w:jc w:val="center"/>
              <w:textAlignment w:val="baseline"/>
            </w:pPr>
            <w:r w:rsidRPr="0082218E">
              <w:t>Сума витрат, гривень</w:t>
            </w:r>
          </w:p>
        </w:tc>
      </w:tr>
      <w:tr w:rsidR="001C6D28" w:rsidRPr="0082218E" w:rsidTr="001C6D28">
        <w:tc>
          <w:tcPr>
            <w:tcW w:w="3434" w:type="pct"/>
            <w:tcBorders>
              <w:top w:val="single" w:sz="4" w:space="0" w:color="auto"/>
              <w:left w:val="single" w:sz="4" w:space="0" w:color="auto"/>
              <w:bottom w:val="single" w:sz="4" w:space="0" w:color="auto"/>
              <w:right w:val="single" w:sz="4" w:space="0" w:color="auto"/>
            </w:tcBorders>
            <w:shd w:val="clear" w:color="auto" w:fill="FFFFFF"/>
            <w:hideMark/>
          </w:tcPr>
          <w:p w:rsidR="001C6D28" w:rsidRPr="0082218E" w:rsidRDefault="001C6D28">
            <w:pPr>
              <w:pStyle w:val="rvps14"/>
              <w:spacing w:before="150" w:beforeAutospacing="0" w:after="150" w:afterAutospacing="0"/>
              <w:textAlignment w:val="baseline"/>
            </w:pPr>
            <w:r w:rsidRPr="0082218E">
              <w:t>Альтернатива 1. Сумарні витрати для суб’єктів господарювання великого і середнього підприємництва  згідно із попередньою таблицею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66" w:type="pct"/>
            <w:tcBorders>
              <w:top w:val="single" w:sz="4" w:space="0" w:color="auto"/>
              <w:left w:val="single" w:sz="4" w:space="0" w:color="auto"/>
              <w:bottom w:val="single" w:sz="4" w:space="0" w:color="auto"/>
              <w:right w:val="single" w:sz="4" w:space="0" w:color="auto"/>
            </w:tcBorders>
            <w:shd w:val="clear" w:color="auto" w:fill="FFFFFF"/>
            <w:hideMark/>
          </w:tcPr>
          <w:p w:rsidR="001C6D28" w:rsidRPr="0082218E" w:rsidRDefault="001C6D28">
            <w:pPr>
              <w:pStyle w:val="rvps14"/>
              <w:spacing w:before="150" w:beforeAutospacing="0" w:after="150" w:afterAutospacing="0"/>
              <w:jc w:val="center"/>
              <w:textAlignment w:val="baseline"/>
            </w:pPr>
            <w:r w:rsidRPr="0082218E">
              <w:t>13 000</w:t>
            </w:r>
          </w:p>
          <w:p w:rsidR="001C6D28" w:rsidRPr="0082218E" w:rsidRDefault="001C6D28">
            <w:pPr>
              <w:pStyle w:val="rvps14"/>
              <w:spacing w:before="150" w:beforeAutospacing="0" w:after="150" w:afterAutospacing="0"/>
              <w:jc w:val="center"/>
              <w:textAlignment w:val="baseline"/>
            </w:pPr>
            <w:r w:rsidRPr="0082218E">
              <w:t>(за рік)</w:t>
            </w:r>
          </w:p>
        </w:tc>
      </w:tr>
      <w:tr w:rsidR="001C6D28" w:rsidRPr="0082218E" w:rsidTr="001C6D28">
        <w:tc>
          <w:tcPr>
            <w:tcW w:w="3434" w:type="pct"/>
            <w:tcBorders>
              <w:top w:val="single" w:sz="4" w:space="0" w:color="auto"/>
              <w:left w:val="single" w:sz="4" w:space="0" w:color="auto"/>
              <w:bottom w:val="single" w:sz="4" w:space="0" w:color="auto"/>
              <w:right w:val="single" w:sz="4" w:space="0" w:color="auto"/>
            </w:tcBorders>
            <w:shd w:val="clear" w:color="auto" w:fill="FFFFFF"/>
            <w:hideMark/>
          </w:tcPr>
          <w:p w:rsidR="001C6D28" w:rsidRPr="0082218E" w:rsidRDefault="001C6D28">
            <w:pPr>
              <w:pStyle w:val="rvps14"/>
              <w:spacing w:before="150" w:beforeAutospacing="0" w:after="150" w:afterAutospacing="0"/>
              <w:textAlignment w:val="baseline"/>
            </w:pPr>
            <w:r w:rsidRPr="0082218E">
              <w:t>Альтернатива 2. Сумарні витрати для суб’єктів господарювання великого і середнього підприємництва  згідно із попередньою таблицею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66" w:type="pct"/>
            <w:tcBorders>
              <w:top w:val="single" w:sz="4" w:space="0" w:color="auto"/>
              <w:left w:val="single" w:sz="4" w:space="0" w:color="auto"/>
              <w:bottom w:val="single" w:sz="4" w:space="0" w:color="auto"/>
              <w:right w:val="single" w:sz="4" w:space="0" w:color="auto"/>
            </w:tcBorders>
            <w:shd w:val="clear" w:color="auto" w:fill="FFFFFF"/>
          </w:tcPr>
          <w:p w:rsidR="001C6D28" w:rsidRPr="0082218E" w:rsidRDefault="001C6D28">
            <w:pPr>
              <w:jc w:val="center"/>
            </w:pPr>
          </w:p>
          <w:p w:rsidR="001C6D28" w:rsidRPr="0082218E" w:rsidRDefault="001C6D28">
            <w:pPr>
              <w:jc w:val="center"/>
              <w:rPr>
                <w:lang w:val="uk-UA"/>
              </w:rPr>
            </w:pPr>
            <w:r w:rsidRPr="0082218E">
              <w:t>-</w:t>
            </w:r>
          </w:p>
        </w:tc>
      </w:tr>
    </w:tbl>
    <w:p w:rsidR="001C6D28" w:rsidRPr="0082218E" w:rsidRDefault="001C6D28" w:rsidP="001C6D28">
      <w:pPr>
        <w:pStyle w:val="3"/>
        <w:widowControl w:val="0"/>
        <w:spacing w:before="0" w:beforeAutospacing="0" w:after="0" w:afterAutospacing="0"/>
        <w:rPr>
          <w:b w:val="0"/>
          <w:sz w:val="28"/>
          <w:szCs w:val="28"/>
        </w:rPr>
      </w:pPr>
    </w:p>
    <w:p w:rsidR="001C6D28" w:rsidRPr="0082218E" w:rsidRDefault="001C6D28" w:rsidP="001C6D28">
      <w:pPr>
        <w:pStyle w:val="3"/>
        <w:widowControl w:val="0"/>
        <w:spacing w:before="0" w:beforeAutospacing="0" w:after="0" w:afterAutospacing="0"/>
        <w:rPr>
          <w:b w:val="0"/>
          <w:sz w:val="28"/>
          <w:szCs w:val="28"/>
          <w:lang w:val="uk-UA"/>
        </w:rPr>
      </w:pP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IV. Вибір найбільш оптимального альтернативного способу досягнення цілей</w:t>
      </w:r>
    </w:p>
    <w:p w:rsidR="001C6D28" w:rsidRPr="0082218E" w:rsidRDefault="001C6D28" w:rsidP="00074334">
      <w:pPr>
        <w:pStyle w:val="3"/>
        <w:widowControl w:val="0"/>
        <w:spacing w:before="0" w:beforeAutospacing="0" w:after="0" w:afterAutospacing="0"/>
        <w:jc w:val="both"/>
        <w:rPr>
          <w:b w:val="0"/>
          <w:sz w:val="24"/>
          <w:szCs w:val="24"/>
          <w:lang w:val="uk-UA"/>
        </w:rPr>
      </w:pPr>
      <w:r w:rsidRPr="0082218E">
        <w:rPr>
          <w:b w:val="0"/>
          <w:sz w:val="24"/>
          <w:szCs w:val="24"/>
          <w:lang w:val="uk-UA"/>
        </w:rPr>
        <w:t>* Порядок стосується інтересів НАК «</w:t>
      </w:r>
      <w:proofErr w:type="spellStart"/>
      <w:r w:rsidRPr="0082218E">
        <w:rPr>
          <w:b w:val="0"/>
          <w:sz w:val="24"/>
          <w:szCs w:val="24"/>
          <w:lang w:val="uk-UA"/>
        </w:rPr>
        <w:t>Нафо</w:t>
      </w:r>
      <w:r w:rsidR="00074334" w:rsidRPr="0082218E">
        <w:rPr>
          <w:b w:val="0"/>
          <w:sz w:val="24"/>
          <w:szCs w:val="24"/>
          <w:lang w:val="uk-UA"/>
        </w:rPr>
        <w:t>газ</w:t>
      </w:r>
      <w:proofErr w:type="spellEnd"/>
      <w:r w:rsidR="00074334" w:rsidRPr="0082218E">
        <w:rPr>
          <w:b w:val="0"/>
          <w:sz w:val="24"/>
          <w:szCs w:val="24"/>
          <w:lang w:val="uk-UA"/>
        </w:rPr>
        <w:t xml:space="preserve"> України» та П</w:t>
      </w:r>
      <w:proofErr w:type="spellStart"/>
      <w:r w:rsidR="00074334" w:rsidRPr="0082218E">
        <w:rPr>
          <w:b w:val="0"/>
          <w:sz w:val="24"/>
          <w:szCs w:val="24"/>
          <w:lang w:val="uk-UA"/>
        </w:rPr>
        <w:t>АТ «Укртран</w:t>
      </w:r>
      <w:proofErr w:type="spellEnd"/>
      <w:r w:rsidR="00074334" w:rsidRPr="0082218E">
        <w:rPr>
          <w:b w:val="0"/>
          <w:sz w:val="24"/>
          <w:szCs w:val="24"/>
          <w:lang w:val="uk-UA"/>
        </w:rPr>
        <w:t xml:space="preserve">сгаз» як операторів </w:t>
      </w:r>
      <w:r w:rsidRPr="0082218E">
        <w:rPr>
          <w:b w:val="0"/>
          <w:sz w:val="24"/>
          <w:szCs w:val="24"/>
          <w:lang w:val="uk-UA"/>
        </w:rPr>
        <w:t xml:space="preserve">газотранспортної системи та газосховищ.  </w:t>
      </w:r>
    </w:p>
    <w:tbl>
      <w:tblPr>
        <w:tblW w:w="501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99"/>
        <w:gridCol w:w="2156"/>
        <w:gridCol w:w="5557"/>
      </w:tblGrid>
      <w:tr w:rsidR="001C6D28" w:rsidRPr="0082218E" w:rsidTr="001C6D28">
        <w:trPr>
          <w:tblCellSpacing w:w="22" w:type="dxa"/>
        </w:trPr>
        <w:tc>
          <w:tcPr>
            <w:tcW w:w="1036"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 xml:space="preserve">Рейтинг результативності (досягнення цілей </w:t>
            </w:r>
            <w:r w:rsidRPr="0082218E">
              <w:rPr>
                <w:rFonts w:cs="Times New Roman"/>
                <w:lang w:val="uk-UA"/>
              </w:rPr>
              <w:lastRenderedPageBreak/>
              <w:t>під час вирішення проблеми)</w:t>
            </w:r>
          </w:p>
        </w:tc>
        <w:tc>
          <w:tcPr>
            <w:tcW w:w="1077"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7"/>
              <w:jc w:val="center"/>
              <w:rPr>
                <w:rFonts w:cs="Times New Roman"/>
                <w:lang w:val="uk-UA"/>
              </w:rPr>
            </w:pPr>
            <w:r w:rsidRPr="0082218E">
              <w:rPr>
                <w:rFonts w:cs="Times New Roman"/>
                <w:lang w:val="uk-UA"/>
              </w:rPr>
              <w:lastRenderedPageBreak/>
              <w:t xml:space="preserve">Бал результативності (за чотирибальною </w:t>
            </w:r>
            <w:r w:rsidRPr="0082218E">
              <w:rPr>
                <w:rFonts w:cs="Times New Roman"/>
                <w:lang w:val="uk-UA"/>
              </w:rPr>
              <w:lastRenderedPageBreak/>
              <w:t>системою оцінки)</w:t>
            </w:r>
          </w:p>
        </w:tc>
        <w:tc>
          <w:tcPr>
            <w:tcW w:w="2799" w:type="pct"/>
            <w:tcBorders>
              <w:top w:val="outset" w:sz="6" w:space="0" w:color="auto"/>
              <w:left w:val="outset" w:sz="6" w:space="0" w:color="auto"/>
              <w:bottom w:val="outset" w:sz="6" w:space="0" w:color="auto"/>
              <w:right w:val="nil"/>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lastRenderedPageBreak/>
              <w:t>Коментарі щодо присвоєння відповідного бала</w:t>
            </w:r>
          </w:p>
        </w:tc>
      </w:tr>
      <w:tr w:rsidR="001C6D28" w:rsidRPr="0082218E" w:rsidTr="001C6D28">
        <w:trPr>
          <w:tblCellSpacing w:w="22" w:type="dxa"/>
        </w:trPr>
        <w:tc>
          <w:tcPr>
            <w:tcW w:w="1036"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firstLine="142"/>
              <w:jc w:val="center"/>
              <w:rPr>
                <w:rFonts w:cs="Times New Roman"/>
                <w:lang w:val="uk-UA"/>
              </w:rPr>
            </w:pPr>
            <w:r w:rsidRPr="0082218E">
              <w:rPr>
                <w:rFonts w:cs="Times New Roman"/>
                <w:lang w:val="uk-UA"/>
              </w:rPr>
              <w:lastRenderedPageBreak/>
              <w:t>Альтернатива 1</w:t>
            </w:r>
          </w:p>
        </w:tc>
        <w:tc>
          <w:tcPr>
            <w:tcW w:w="1077"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3</w:t>
            </w:r>
          </w:p>
        </w:tc>
        <w:tc>
          <w:tcPr>
            <w:tcW w:w="2799" w:type="pct"/>
            <w:tcBorders>
              <w:top w:val="outset" w:sz="6" w:space="0" w:color="auto"/>
              <w:left w:val="outset" w:sz="6" w:space="0" w:color="auto"/>
              <w:bottom w:val="outset" w:sz="6" w:space="0" w:color="auto"/>
              <w:right w:val="nil"/>
            </w:tcBorders>
            <w:hideMark/>
          </w:tcPr>
          <w:p w:rsidR="00B74EA9" w:rsidRPr="0082218E" w:rsidRDefault="001C6D28" w:rsidP="00B74EA9">
            <w:pPr>
              <w:pStyle w:val="a4"/>
              <w:widowControl w:val="0"/>
              <w:spacing w:before="100" w:after="100"/>
              <w:ind w:left="94" w:right="169" w:firstLine="265"/>
              <w:jc w:val="both"/>
              <w:rPr>
                <w:rFonts w:cs="Times New Roman"/>
                <w:lang w:val="uk-UA"/>
              </w:rPr>
            </w:pPr>
            <w:r w:rsidRPr="0082218E">
              <w:rPr>
                <w:rFonts w:cs="Times New Roman"/>
                <w:lang w:val="uk-UA"/>
              </w:rPr>
              <w:t>Дозволяє максимально ефективно досягнути поставлених цілей захисту державних та бізнес інтересів, збереження достатнього рівня державного регулювання</w:t>
            </w:r>
            <w:r w:rsidR="00B74EA9" w:rsidRPr="0082218E">
              <w:rPr>
                <w:rFonts w:cs="Times New Roman"/>
                <w:lang w:val="uk-UA"/>
              </w:rPr>
              <w:t>.</w:t>
            </w:r>
            <w:r w:rsidRPr="0082218E">
              <w:rPr>
                <w:rFonts w:cs="Times New Roman"/>
                <w:lang w:val="uk-UA"/>
              </w:rPr>
              <w:t xml:space="preserve"> </w:t>
            </w:r>
          </w:p>
          <w:p w:rsidR="001C6D28" w:rsidRPr="0082218E" w:rsidRDefault="001C6D28" w:rsidP="00B74EA9">
            <w:pPr>
              <w:pStyle w:val="a4"/>
              <w:widowControl w:val="0"/>
              <w:spacing w:before="100" w:after="100"/>
              <w:ind w:left="0" w:right="169"/>
              <w:jc w:val="both"/>
              <w:rPr>
                <w:rFonts w:cs="Times New Roman"/>
                <w:lang w:val="uk-UA"/>
              </w:rPr>
            </w:pPr>
          </w:p>
        </w:tc>
      </w:tr>
      <w:tr w:rsidR="001C6D28" w:rsidRPr="0082218E" w:rsidTr="001C6D28">
        <w:trPr>
          <w:tblCellSpacing w:w="22" w:type="dxa"/>
        </w:trPr>
        <w:tc>
          <w:tcPr>
            <w:tcW w:w="1036"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firstLine="142"/>
              <w:jc w:val="center"/>
              <w:rPr>
                <w:rFonts w:cs="Times New Roman"/>
                <w:lang w:val="uk-UA"/>
              </w:rPr>
            </w:pPr>
            <w:r w:rsidRPr="0082218E">
              <w:rPr>
                <w:rFonts w:cs="Times New Roman"/>
                <w:lang w:val="uk-UA"/>
              </w:rPr>
              <w:t>Альтернатива 2</w:t>
            </w:r>
          </w:p>
        </w:tc>
        <w:tc>
          <w:tcPr>
            <w:tcW w:w="1077"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1</w:t>
            </w:r>
          </w:p>
        </w:tc>
        <w:tc>
          <w:tcPr>
            <w:tcW w:w="2799" w:type="pct"/>
            <w:tcBorders>
              <w:top w:val="outset" w:sz="6" w:space="0" w:color="auto"/>
              <w:left w:val="outset" w:sz="6" w:space="0" w:color="auto"/>
              <w:bottom w:val="outset" w:sz="6" w:space="0" w:color="auto"/>
              <w:right w:val="nil"/>
            </w:tcBorders>
          </w:tcPr>
          <w:p w:rsidR="001C6D28" w:rsidRPr="0082218E" w:rsidRDefault="001C6D28">
            <w:pPr>
              <w:pStyle w:val="a4"/>
              <w:widowControl w:val="0"/>
              <w:ind w:left="94" w:right="169" w:firstLine="265"/>
              <w:jc w:val="both"/>
              <w:rPr>
                <w:rFonts w:cs="Times New Roman"/>
                <w:szCs w:val="24"/>
                <w:lang w:val="uk-UA"/>
              </w:rPr>
            </w:pPr>
            <w:r w:rsidRPr="0082218E">
              <w:rPr>
                <w:rFonts w:cs="Times New Roman"/>
                <w:lang w:val="uk-UA"/>
              </w:rPr>
              <w:t>Не дозволяє досягнути поставлених цілей державного регулювання.</w:t>
            </w:r>
          </w:p>
          <w:p w:rsidR="001C6D28" w:rsidRPr="0082218E" w:rsidRDefault="001C6D28">
            <w:pPr>
              <w:pStyle w:val="a4"/>
              <w:widowControl w:val="0"/>
              <w:ind w:left="94" w:right="169" w:firstLine="265"/>
              <w:jc w:val="both"/>
              <w:rPr>
                <w:rFonts w:cs="Times New Roman"/>
                <w:lang w:val="uk-UA"/>
              </w:rPr>
            </w:pPr>
          </w:p>
        </w:tc>
      </w:tr>
    </w:tbl>
    <w:p w:rsidR="001C6D28" w:rsidRPr="0082218E" w:rsidRDefault="001C6D28" w:rsidP="001C6D28">
      <w:pPr>
        <w:pStyle w:val="a4"/>
        <w:widowControl w:val="0"/>
        <w:spacing w:line="360" w:lineRule="auto"/>
        <w:ind w:left="0"/>
        <w:jc w:val="both"/>
        <w:rPr>
          <w:rFonts w:cs="Times New Roman"/>
          <w:szCs w:val="24"/>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58"/>
        <w:gridCol w:w="3050"/>
        <w:gridCol w:w="2604"/>
        <w:gridCol w:w="2175"/>
      </w:tblGrid>
      <w:tr w:rsidR="0082218E" w:rsidRPr="0082218E" w:rsidTr="001C6D28">
        <w:trPr>
          <w:tblCellSpacing w:w="22" w:type="dxa"/>
        </w:trPr>
        <w:tc>
          <w:tcPr>
            <w:tcW w:w="967"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Рейтинг результативності</w:t>
            </w:r>
          </w:p>
        </w:tc>
        <w:tc>
          <w:tcPr>
            <w:tcW w:w="1536"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Вигоди (підсумок)</w:t>
            </w:r>
          </w:p>
        </w:tc>
        <w:tc>
          <w:tcPr>
            <w:tcW w:w="1309" w:type="pct"/>
            <w:tcBorders>
              <w:top w:val="outset" w:sz="6" w:space="0" w:color="auto"/>
              <w:left w:val="outset" w:sz="6" w:space="0" w:color="auto"/>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Витрати (підсумок)</w:t>
            </w:r>
          </w:p>
        </w:tc>
        <w:tc>
          <w:tcPr>
            <w:tcW w:w="1078" w:type="pct"/>
            <w:tcBorders>
              <w:top w:val="outset" w:sz="6" w:space="0" w:color="auto"/>
              <w:left w:val="outset" w:sz="6" w:space="0" w:color="auto"/>
              <w:bottom w:val="outset" w:sz="6" w:space="0" w:color="auto"/>
              <w:right w:val="nil"/>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Обґрунтування відповідного місця альтернативи у рейтингу</w:t>
            </w:r>
          </w:p>
        </w:tc>
      </w:tr>
      <w:tr w:rsidR="0082218E" w:rsidRPr="0082218E" w:rsidTr="001C6D28">
        <w:trPr>
          <w:tblCellSpacing w:w="22" w:type="dxa"/>
        </w:trPr>
        <w:tc>
          <w:tcPr>
            <w:tcW w:w="967"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Альтернатива 1</w:t>
            </w:r>
          </w:p>
        </w:tc>
        <w:tc>
          <w:tcPr>
            <w:tcW w:w="1536" w:type="pct"/>
            <w:tcBorders>
              <w:top w:val="outset" w:sz="6" w:space="0" w:color="auto"/>
              <w:left w:val="outset" w:sz="6" w:space="0" w:color="auto"/>
              <w:bottom w:val="outset" w:sz="6" w:space="0" w:color="auto"/>
              <w:right w:val="outset" w:sz="6" w:space="0" w:color="auto"/>
            </w:tcBorders>
            <w:hideMark/>
          </w:tcPr>
          <w:p w:rsidR="00074334" w:rsidRPr="0082218E" w:rsidRDefault="00074334" w:rsidP="00074334">
            <w:pPr>
              <w:widowControl w:val="0"/>
              <w:ind w:firstLine="249"/>
              <w:jc w:val="both"/>
              <w:rPr>
                <w:lang w:val="uk-UA"/>
              </w:rPr>
            </w:pPr>
            <w:r w:rsidRPr="0082218E">
              <w:rPr>
                <w:lang w:val="uk-UA"/>
              </w:rPr>
              <w:t xml:space="preserve">Створення нормативного забезпечення для врегулювання окремих аспектів </w:t>
            </w:r>
            <w:r w:rsidRPr="0082218E">
              <w:t>митного контролю та оформлення</w:t>
            </w:r>
            <w:r w:rsidRPr="0082218E">
              <w:rPr>
                <w:lang w:val="uk-UA"/>
              </w:rPr>
              <w:t xml:space="preserve"> природного газу, зокрема, при</w:t>
            </w:r>
            <w:r w:rsidRPr="0082218E">
              <w:t xml:space="preserve"> </w:t>
            </w:r>
            <w:proofErr w:type="spellStart"/>
            <w:r w:rsidRPr="0082218E">
              <w:t>операціях</w:t>
            </w:r>
            <w:proofErr w:type="spellEnd"/>
            <w:r w:rsidRPr="0082218E">
              <w:t xml:space="preserve"> із</w:t>
            </w:r>
            <w:r w:rsidRPr="0082218E">
              <w:rPr>
                <w:lang w:val="uk-UA"/>
              </w:rPr>
              <w:t xml:space="preserve"> його</w:t>
            </w:r>
            <w:r w:rsidRPr="0082218E">
              <w:t xml:space="preserve"> </w:t>
            </w:r>
            <w:proofErr w:type="spellStart"/>
            <w:r w:rsidRPr="0082218E">
              <w:t>заміщення</w:t>
            </w:r>
            <w:proofErr w:type="spellEnd"/>
            <w:r w:rsidRPr="0082218E">
              <w:t xml:space="preserve"> (бекхолу),</w:t>
            </w:r>
            <w:r w:rsidRPr="0082218E">
              <w:rPr>
                <w:lang w:val="uk-UA"/>
              </w:rPr>
              <w:t xml:space="preserve"> </w:t>
            </w:r>
            <w:proofErr w:type="spellStart"/>
            <w:r w:rsidRPr="0082218E">
              <w:t>використанн</w:t>
            </w:r>
            <w:proofErr w:type="spellEnd"/>
            <w:r w:rsidRPr="0082218E">
              <w:rPr>
                <w:lang w:val="uk-UA"/>
              </w:rPr>
              <w:t>я</w:t>
            </w:r>
            <w:r w:rsidRPr="0082218E">
              <w:t xml:space="preserve"> </w:t>
            </w:r>
            <w:proofErr w:type="spellStart"/>
            <w:r w:rsidRPr="0082218E">
              <w:t>обсягів</w:t>
            </w:r>
            <w:proofErr w:type="spellEnd"/>
            <w:r w:rsidRPr="0082218E">
              <w:t xml:space="preserve"> </w:t>
            </w:r>
            <w:proofErr w:type="spellStart"/>
            <w:r w:rsidRPr="0082218E">
              <w:t>балансування</w:t>
            </w:r>
            <w:proofErr w:type="spellEnd"/>
            <w:r w:rsidRPr="0082218E">
              <w:t xml:space="preserve"> та </w:t>
            </w:r>
            <w:proofErr w:type="spellStart"/>
            <w:r w:rsidRPr="0082218E">
              <w:t>балансуючих</w:t>
            </w:r>
            <w:proofErr w:type="spellEnd"/>
            <w:r w:rsidRPr="0082218E">
              <w:t xml:space="preserve"> </w:t>
            </w:r>
            <w:proofErr w:type="spellStart"/>
            <w:r w:rsidRPr="0082218E">
              <w:t>обсягів</w:t>
            </w:r>
            <w:proofErr w:type="spellEnd"/>
            <w:r w:rsidRPr="0082218E">
              <w:t xml:space="preserve"> природного газу</w:t>
            </w:r>
            <w:r w:rsidRPr="0082218E">
              <w:rPr>
                <w:lang w:val="uk-UA"/>
              </w:rPr>
              <w:t xml:space="preserve">, </w:t>
            </w:r>
            <w:proofErr w:type="spellStart"/>
            <w:r w:rsidRPr="0082218E">
              <w:t>вдосконалення</w:t>
            </w:r>
            <w:proofErr w:type="spellEnd"/>
            <w:r w:rsidRPr="0082218E">
              <w:t xml:space="preserve"> </w:t>
            </w:r>
            <w:proofErr w:type="spellStart"/>
            <w:r w:rsidRPr="0082218E">
              <w:t>здійснення</w:t>
            </w:r>
            <w:proofErr w:type="spellEnd"/>
            <w:r w:rsidRPr="0082218E">
              <w:t xml:space="preserve"> фактичного контролю за </w:t>
            </w:r>
            <w:proofErr w:type="spellStart"/>
            <w:r w:rsidRPr="0082218E">
              <w:t>переміщенням</w:t>
            </w:r>
            <w:proofErr w:type="spellEnd"/>
            <w:r w:rsidRPr="0082218E">
              <w:t xml:space="preserve"> через </w:t>
            </w:r>
            <w:proofErr w:type="spellStart"/>
            <w:r w:rsidRPr="0082218E">
              <w:t>митний</w:t>
            </w:r>
            <w:proofErr w:type="spellEnd"/>
            <w:r w:rsidRPr="0082218E">
              <w:t xml:space="preserve"> кордон України товарів </w:t>
            </w:r>
            <w:proofErr w:type="spellStart"/>
            <w:r w:rsidRPr="0082218E">
              <w:t>трубопровідним</w:t>
            </w:r>
            <w:proofErr w:type="spellEnd"/>
            <w:r w:rsidRPr="0082218E">
              <w:t xml:space="preserve"> транспортом та </w:t>
            </w:r>
            <w:proofErr w:type="spellStart"/>
            <w:r w:rsidRPr="0082218E">
              <w:t>лініями</w:t>
            </w:r>
            <w:proofErr w:type="spellEnd"/>
            <w:r w:rsidRPr="0082218E">
              <w:t xml:space="preserve"> </w:t>
            </w:r>
            <w:proofErr w:type="spellStart"/>
            <w:r w:rsidRPr="0082218E">
              <w:t>електропередачі</w:t>
            </w:r>
            <w:proofErr w:type="spellEnd"/>
            <w:r w:rsidRPr="0082218E">
              <w:rPr>
                <w:lang w:val="uk-UA"/>
              </w:rPr>
              <w:t xml:space="preserve"> та актуалізації наказів Міністерства фінансів України відповідно до вимог діючого законодавства.</w:t>
            </w:r>
          </w:p>
          <w:p w:rsidR="00074334" w:rsidRPr="0082218E" w:rsidRDefault="00074334" w:rsidP="00074334">
            <w:pPr>
              <w:widowControl w:val="0"/>
              <w:ind w:firstLine="249"/>
              <w:jc w:val="both"/>
              <w:rPr>
                <w:lang w:val="uk-UA"/>
              </w:rPr>
            </w:pPr>
            <w:r w:rsidRPr="0082218E">
              <w:rPr>
                <w:lang w:val="uk-UA"/>
              </w:rPr>
              <w:t>Впровадження процедури здійснення операцій заміщення (бекхол) та оформлення зберігання газу в режимі митний склад  дозволить збільшити обсяги торгівлі (в т.ч. експортно-імпортних операцій), транспортування та зберігання природного газу, що призведе до додаткових надходжень до Державного бюджету України.</w:t>
            </w:r>
          </w:p>
          <w:p w:rsidR="00074334" w:rsidRPr="0082218E" w:rsidRDefault="00074334" w:rsidP="00074334">
            <w:pPr>
              <w:widowControl w:val="0"/>
              <w:spacing w:before="100" w:beforeAutospacing="1" w:after="100" w:afterAutospacing="1"/>
              <w:ind w:left="48" w:firstLine="247"/>
              <w:jc w:val="both"/>
              <w:rPr>
                <w:lang w:val="uk-UA" w:eastAsia="en-US"/>
              </w:rPr>
            </w:pPr>
            <w:r w:rsidRPr="0082218E">
              <w:rPr>
                <w:lang w:val="uk-UA"/>
              </w:rPr>
              <w:lastRenderedPageBreak/>
              <w:t xml:space="preserve">Сприяння збалансованості інтересів бізнесу і держави </w:t>
            </w:r>
            <w:r w:rsidRPr="0082218E">
              <w:rPr>
                <w:lang w:val="uk-UA" w:eastAsia="en-US"/>
              </w:rPr>
              <w:t xml:space="preserve">шляхом збільшення завантаженості газотранспортних систем (особливо на міждержавних з’єднаннях), забезпечення ліквідності ринку газу та безпеки енергопостачання. Використання операцій заміщення (бекхолу) газу дозволить значно збільшити можливості застосування нових джерел та напрямків постачання газу до України без будівництва додаткових транспортних потужностей, підвищити  енергетичну безпеку України, без додаткових витрат на будівництво нових об’єктів газової інфраструктури.     </w:t>
            </w:r>
          </w:p>
          <w:p w:rsidR="001C6D28" w:rsidRPr="0082218E" w:rsidRDefault="00074334" w:rsidP="00074334">
            <w:pPr>
              <w:widowControl w:val="0"/>
              <w:ind w:firstLine="221"/>
              <w:jc w:val="both"/>
              <w:rPr>
                <w:lang w:val="uk-UA"/>
              </w:rPr>
            </w:pPr>
            <w:r w:rsidRPr="0082218E">
              <w:rPr>
                <w:lang w:val="uk-UA"/>
              </w:rPr>
              <w:t xml:space="preserve">Створення Митного складу на базі Газосховищ (ГС) дозволить збільшити обсяги зберігання імпортного газу для нерезидентів завдяки зменшенню ризиків (буде чітко визначений митний режим зі строками зберігання до 1095 днів) та резидентів (нові можливості по торгівлі газом, з відстроченням сплати ПДВ), а також стане одним з важливих заходів при подальшому створенні Газового </w:t>
            </w:r>
            <w:proofErr w:type="spellStart"/>
            <w:r w:rsidRPr="0082218E">
              <w:rPr>
                <w:lang w:val="uk-UA"/>
              </w:rPr>
              <w:t>ХАБу</w:t>
            </w:r>
            <w:proofErr w:type="spellEnd"/>
            <w:r w:rsidRPr="0082218E">
              <w:rPr>
                <w:lang w:val="uk-UA"/>
              </w:rPr>
              <w:t>.</w:t>
            </w:r>
          </w:p>
        </w:tc>
        <w:tc>
          <w:tcPr>
            <w:tcW w:w="1309" w:type="pct"/>
            <w:tcBorders>
              <w:top w:val="outset" w:sz="6" w:space="0" w:color="auto"/>
              <w:left w:val="outset" w:sz="6" w:space="0" w:color="auto"/>
              <w:bottom w:val="outset" w:sz="6" w:space="0" w:color="auto"/>
              <w:right w:val="outset" w:sz="6" w:space="0" w:color="auto"/>
            </w:tcBorders>
            <w:hideMark/>
          </w:tcPr>
          <w:p w:rsidR="00074334" w:rsidRPr="0082218E" w:rsidRDefault="00074334" w:rsidP="00074334">
            <w:pPr>
              <w:pStyle w:val="3"/>
              <w:widowControl w:val="0"/>
              <w:spacing w:before="0" w:beforeAutospacing="0" w:after="0" w:afterAutospacing="0"/>
              <w:jc w:val="both"/>
              <w:rPr>
                <w:b w:val="0"/>
                <w:sz w:val="24"/>
                <w:szCs w:val="24"/>
                <w:lang w:val="uk-UA"/>
              </w:rPr>
            </w:pPr>
            <w:r w:rsidRPr="0082218E">
              <w:rPr>
                <w:b w:val="0"/>
                <w:sz w:val="24"/>
                <w:szCs w:val="24"/>
                <w:lang w:val="uk-UA"/>
              </w:rPr>
              <w:lastRenderedPageBreak/>
              <w:t xml:space="preserve">    </w:t>
            </w:r>
            <w:r w:rsidR="00344E48" w:rsidRPr="0082218E">
              <w:rPr>
                <w:b w:val="0"/>
                <w:sz w:val="24"/>
                <w:szCs w:val="24"/>
                <w:lang w:val="uk-UA"/>
              </w:rPr>
              <w:t xml:space="preserve">Для виконання вимог акту прямі витрати </w:t>
            </w:r>
            <w:r w:rsidRPr="0082218E">
              <w:rPr>
                <w:b w:val="0"/>
                <w:sz w:val="24"/>
                <w:szCs w:val="24"/>
                <w:lang w:val="uk-UA"/>
              </w:rPr>
              <w:t>НАК «</w:t>
            </w:r>
            <w:proofErr w:type="spellStart"/>
            <w:r w:rsidRPr="0082218E">
              <w:rPr>
                <w:b w:val="0"/>
                <w:sz w:val="24"/>
                <w:szCs w:val="24"/>
                <w:lang w:val="uk-UA"/>
              </w:rPr>
              <w:t>Нафогаз</w:t>
            </w:r>
            <w:proofErr w:type="spellEnd"/>
            <w:r w:rsidRPr="0082218E">
              <w:rPr>
                <w:b w:val="0"/>
                <w:sz w:val="24"/>
                <w:szCs w:val="24"/>
                <w:lang w:val="uk-UA"/>
              </w:rPr>
              <w:t xml:space="preserve"> України» та П</w:t>
            </w:r>
            <w:proofErr w:type="spellStart"/>
            <w:r w:rsidRPr="0082218E">
              <w:rPr>
                <w:b w:val="0"/>
                <w:sz w:val="24"/>
                <w:szCs w:val="24"/>
                <w:lang w:val="uk-UA"/>
              </w:rPr>
              <w:t>АТ «Укртран</w:t>
            </w:r>
            <w:proofErr w:type="spellEnd"/>
            <w:r w:rsidRPr="0082218E">
              <w:rPr>
                <w:b w:val="0"/>
                <w:sz w:val="24"/>
                <w:szCs w:val="24"/>
                <w:lang w:val="uk-UA"/>
              </w:rPr>
              <w:t>сгаз» як операторів газотранспортної системи та газосховищ</w:t>
            </w:r>
            <w:r w:rsidR="00344E48" w:rsidRPr="0082218E">
              <w:rPr>
                <w:b w:val="0"/>
                <w:sz w:val="24"/>
                <w:szCs w:val="24"/>
                <w:lang w:val="uk-UA"/>
              </w:rPr>
              <w:t xml:space="preserve"> щомісяця складатимуть близько 3 го</w:t>
            </w:r>
            <w:r w:rsidRPr="0082218E">
              <w:rPr>
                <w:b w:val="0"/>
                <w:sz w:val="24"/>
                <w:szCs w:val="24"/>
                <w:lang w:val="uk-UA"/>
              </w:rPr>
              <w:t xml:space="preserve">дин трудовитрат співробітників та </w:t>
            </w:r>
            <w:r w:rsidR="00344E48" w:rsidRPr="0082218E">
              <w:rPr>
                <w:b w:val="0"/>
                <w:sz w:val="24"/>
                <w:szCs w:val="24"/>
                <w:lang w:val="uk-UA"/>
              </w:rPr>
              <w:t>близько 13</w:t>
            </w:r>
            <w:r w:rsidR="00344E48" w:rsidRPr="0082218E">
              <w:rPr>
                <w:b w:val="0"/>
                <w:sz w:val="24"/>
                <w:szCs w:val="24"/>
              </w:rPr>
              <w:t> </w:t>
            </w:r>
            <w:r w:rsidRPr="0082218E">
              <w:rPr>
                <w:b w:val="0"/>
                <w:sz w:val="24"/>
                <w:szCs w:val="24"/>
                <w:lang w:val="uk-UA"/>
              </w:rPr>
              <w:t>000 грн. витрат пов’язаних із веденням обліку, підготовкою та поданням звітності державним органам</w:t>
            </w:r>
            <w:r w:rsidR="00344E48" w:rsidRPr="0082218E">
              <w:rPr>
                <w:b w:val="0"/>
                <w:sz w:val="24"/>
                <w:szCs w:val="24"/>
                <w:lang w:val="uk-UA"/>
              </w:rPr>
              <w:t xml:space="preserve"> </w:t>
            </w:r>
          </w:p>
          <w:p w:rsidR="00074334" w:rsidRPr="0082218E" w:rsidRDefault="00074334" w:rsidP="00074334">
            <w:pPr>
              <w:pStyle w:val="3"/>
              <w:widowControl w:val="0"/>
              <w:spacing w:before="0" w:beforeAutospacing="0" w:after="0" w:afterAutospacing="0"/>
              <w:jc w:val="both"/>
              <w:rPr>
                <w:b w:val="0"/>
                <w:sz w:val="24"/>
                <w:szCs w:val="24"/>
                <w:lang w:val="uk-UA"/>
              </w:rPr>
            </w:pPr>
          </w:p>
          <w:p w:rsidR="00344E48" w:rsidRPr="0082218E" w:rsidRDefault="00074334" w:rsidP="00074334">
            <w:pPr>
              <w:pStyle w:val="3"/>
              <w:widowControl w:val="0"/>
              <w:spacing w:before="0" w:beforeAutospacing="0" w:after="0" w:afterAutospacing="0"/>
              <w:jc w:val="both"/>
              <w:rPr>
                <w:sz w:val="24"/>
                <w:szCs w:val="24"/>
                <w:lang w:val="uk-UA"/>
              </w:rPr>
            </w:pPr>
            <w:r w:rsidRPr="0082218E">
              <w:rPr>
                <w:b w:val="0"/>
                <w:sz w:val="24"/>
                <w:szCs w:val="24"/>
                <w:lang w:val="uk-UA"/>
              </w:rPr>
              <w:t xml:space="preserve">    Витрати </w:t>
            </w:r>
            <w:r w:rsidR="00344E48" w:rsidRPr="0082218E">
              <w:rPr>
                <w:b w:val="0"/>
                <w:sz w:val="24"/>
                <w:szCs w:val="24"/>
                <w:lang w:val="uk-UA"/>
              </w:rPr>
              <w:t>інших суб’єктів господарювання не передбачаються.</w:t>
            </w:r>
          </w:p>
          <w:p w:rsidR="001C6D28" w:rsidRPr="0082218E" w:rsidRDefault="001C6D28">
            <w:pPr>
              <w:widowControl w:val="0"/>
              <w:spacing w:before="100" w:beforeAutospacing="1" w:after="100" w:afterAutospacing="1"/>
              <w:jc w:val="both"/>
              <w:rPr>
                <w:lang w:val="uk-UA"/>
              </w:rPr>
            </w:pPr>
          </w:p>
        </w:tc>
        <w:tc>
          <w:tcPr>
            <w:tcW w:w="1078" w:type="pct"/>
            <w:tcBorders>
              <w:top w:val="outset" w:sz="6" w:space="0" w:color="auto"/>
              <w:left w:val="outset" w:sz="6" w:space="0" w:color="auto"/>
              <w:bottom w:val="outset" w:sz="6" w:space="0" w:color="auto"/>
              <w:right w:val="nil"/>
            </w:tcBorders>
            <w:hideMark/>
          </w:tcPr>
          <w:p w:rsidR="001C6D28" w:rsidRPr="0082218E" w:rsidRDefault="001C6D28" w:rsidP="0082218E">
            <w:pPr>
              <w:pStyle w:val="a4"/>
              <w:widowControl w:val="0"/>
              <w:spacing w:before="100" w:beforeAutospacing="1" w:after="100" w:afterAutospacing="1"/>
              <w:ind w:left="0" w:firstLine="192"/>
              <w:jc w:val="both"/>
              <w:rPr>
                <w:rFonts w:cs="Times New Roman"/>
                <w:lang w:val="uk-UA"/>
              </w:rPr>
            </w:pPr>
            <w:r w:rsidRPr="0082218E">
              <w:rPr>
                <w:rFonts w:cs="Times New Roman"/>
                <w:lang w:val="uk-UA"/>
              </w:rPr>
              <w:t>Є найоптимальнішим серед запропонованих альтернатив, оскільки надає вигоду для суб’</w:t>
            </w:r>
            <w:r w:rsidR="0082218E" w:rsidRPr="0082218E">
              <w:rPr>
                <w:rFonts w:cs="Times New Roman"/>
                <w:lang w:val="uk-UA"/>
              </w:rPr>
              <w:t>єктів господарювання та держави.</w:t>
            </w:r>
          </w:p>
        </w:tc>
      </w:tr>
      <w:tr w:rsidR="0082218E" w:rsidRPr="009338C1" w:rsidTr="001C6D28">
        <w:trPr>
          <w:tblCellSpacing w:w="22" w:type="dxa"/>
        </w:trPr>
        <w:tc>
          <w:tcPr>
            <w:tcW w:w="967" w:type="pct"/>
            <w:tcBorders>
              <w:top w:val="outset" w:sz="6" w:space="0" w:color="auto"/>
              <w:left w:val="nil"/>
              <w:bottom w:val="outset" w:sz="6" w:space="0" w:color="auto"/>
              <w:right w:val="outset" w:sz="6" w:space="0" w:color="auto"/>
            </w:tcBorders>
            <w:vAlign w:val="center"/>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lastRenderedPageBreak/>
              <w:t>Альтернатива 2</w:t>
            </w:r>
          </w:p>
        </w:tc>
        <w:tc>
          <w:tcPr>
            <w:tcW w:w="1536" w:type="pct"/>
            <w:tcBorders>
              <w:top w:val="outset" w:sz="6" w:space="0" w:color="auto"/>
              <w:left w:val="outset" w:sz="6" w:space="0" w:color="auto"/>
              <w:bottom w:val="outset" w:sz="6" w:space="0" w:color="auto"/>
              <w:right w:val="outset" w:sz="6" w:space="0" w:color="auto"/>
            </w:tcBorders>
            <w:hideMark/>
          </w:tcPr>
          <w:p w:rsidR="001C6D28" w:rsidRPr="0082218E" w:rsidRDefault="001C6D28">
            <w:pPr>
              <w:pStyle w:val="a4"/>
              <w:widowControl w:val="0"/>
              <w:spacing w:before="100" w:beforeAutospacing="1" w:after="100" w:afterAutospacing="1"/>
              <w:ind w:left="0"/>
              <w:jc w:val="center"/>
              <w:rPr>
                <w:rFonts w:cs="Times New Roman"/>
                <w:lang w:val="uk-UA"/>
              </w:rPr>
            </w:pPr>
            <w:r w:rsidRPr="0082218E">
              <w:rPr>
                <w:rFonts w:cs="Times New Roman"/>
                <w:lang w:val="uk-UA"/>
              </w:rPr>
              <w:t>Вигоди відсутні.</w:t>
            </w:r>
          </w:p>
        </w:tc>
        <w:tc>
          <w:tcPr>
            <w:tcW w:w="1309" w:type="pct"/>
            <w:tcBorders>
              <w:top w:val="outset" w:sz="6" w:space="0" w:color="auto"/>
              <w:left w:val="outset" w:sz="6" w:space="0" w:color="auto"/>
              <w:bottom w:val="outset" w:sz="6" w:space="0" w:color="auto"/>
              <w:right w:val="outset" w:sz="6" w:space="0" w:color="auto"/>
            </w:tcBorders>
          </w:tcPr>
          <w:p w:rsidR="001C6D28" w:rsidRPr="0082218E" w:rsidRDefault="001C6D28">
            <w:pPr>
              <w:widowControl w:val="0"/>
              <w:ind w:firstLine="300"/>
              <w:jc w:val="both"/>
              <w:rPr>
                <w:lang w:val="uk-UA"/>
              </w:rPr>
            </w:pPr>
            <w:r w:rsidRPr="0082218E">
              <w:rPr>
                <w:lang w:val="uk-UA"/>
              </w:rPr>
              <w:t xml:space="preserve">На відміну від альтернативи 1, у разі не внесення змін до зазначених наказів Мінфіну, митне оформлення природного газу, зокрема, при операціях із його заміщення </w:t>
            </w:r>
            <w:r w:rsidRPr="0082218E">
              <w:rPr>
                <w:lang w:val="uk-UA"/>
              </w:rPr>
              <w:lastRenderedPageBreak/>
              <w:t>(бекхолу), використання обсягів балансування та балансуючих обсягів природного газу буде неможливим.</w:t>
            </w:r>
          </w:p>
          <w:p w:rsidR="001C6D28" w:rsidRPr="0082218E" w:rsidRDefault="001C6D28">
            <w:pPr>
              <w:widowControl w:val="0"/>
              <w:ind w:firstLine="300"/>
              <w:jc w:val="both"/>
              <w:rPr>
                <w:lang w:val="uk-UA"/>
              </w:rPr>
            </w:pPr>
          </w:p>
        </w:tc>
        <w:tc>
          <w:tcPr>
            <w:tcW w:w="1078" w:type="pct"/>
            <w:tcBorders>
              <w:top w:val="outset" w:sz="6" w:space="0" w:color="auto"/>
              <w:left w:val="outset" w:sz="6" w:space="0" w:color="auto"/>
              <w:bottom w:val="outset" w:sz="6" w:space="0" w:color="auto"/>
              <w:right w:val="nil"/>
            </w:tcBorders>
            <w:hideMark/>
          </w:tcPr>
          <w:p w:rsidR="001C6D28" w:rsidRPr="0082218E" w:rsidRDefault="001C6D28">
            <w:pPr>
              <w:pStyle w:val="a4"/>
              <w:widowControl w:val="0"/>
              <w:spacing w:before="100" w:beforeAutospacing="1" w:after="100" w:afterAutospacing="1"/>
              <w:ind w:left="0" w:firstLine="147"/>
              <w:jc w:val="both"/>
              <w:rPr>
                <w:rFonts w:cs="Times New Roman"/>
                <w:lang w:val="uk-UA"/>
              </w:rPr>
            </w:pPr>
            <w:r w:rsidRPr="0082218E">
              <w:rPr>
                <w:rFonts w:cs="Times New Roman"/>
                <w:lang w:val="uk-UA"/>
              </w:rPr>
              <w:lastRenderedPageBreak/>
              <w:t xml:space="preserve">Є найгіршою альтернативою, оскільки не призведе до досягнення цілей державного регулювання і позбавить суб’єктів господарювання </w:t>
            </w:r>
            <w:r w:rsidRPr="0082218E">
              <w:rPr>
                <w:rFonts w:cs="Times New Roman"/>
                <w:lang w:val="uk-UA"/>
              </w:rPr>
              <w:lastRenderedPageBreak/>
              <w:t>ряду переваг, пов’язаних із</w:t>
            </w:r>
            <w:r w:rsidRPr="0082218E">
              <w:rPr>
                <w:rFonts w:cs="Times New Roman"/>
                <w:lang w:val="uk-UA" w:eastAsia="en-US"/>
              </w:rPr>
              <w:t xml:space="preserve"> збільшенням послуг з транспортування та зберігання природного газу  , забезпеченням ліквідності ринку та безпекою енергопостачання.</w:t>
            </w:r>
          </w:p>
        </w:tc>
      </w:tr>
    </w:tbl>
    <w:p w:rsidR="001C6D28" w:rsidRPr="0082218E" w:rsidRDefault="001C6D28" w:rsidP="001C6D28">
      <w:pPr>
        <w:pStyle w:val="a4"/>
        <w:widowControl w:val="0"/>
        <w:ind w:left="0"/>
        <w:jc w:val="both"/>
        <w:rPr>
          <w:rFonts w:cs="Times New Roman"/>
          <w:b/>
          <w:bCs/>
          <w:sz w:val="28"/>
          <w:szCs w:val="28"/>
          <w:lang w:val="uk-UA"/>
        </w:rPr>
      </w:pPr>
    </w:p>
    <w:p w:rsidR="001C6D28" w:rsidRPr="0082218E" w:rsidRDefault="001C6D28" w:rsidP="001C6D28">
      <w:pPr>
        <w:pStyle w:val="3"/>
        <w:widowControl w:val="0"/>
        <w:spacing w:before="0" w:beforeAutospacing="0" w:after="0" w:afterAutospacing="0"/>
        <w:rPr>
          <w:b w:val="0"/>
          <w:sz w:val="28"/>
          <w:szCs w:val="28"/>
          <w:lang w:val="uk-UA"/>
        </w:rPr>
      </w:pP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V. Механізми та заходи, які забезпечать розв’язання визначеної проблеми</w:t>
      </w:r>
    </w:p>
    <w:p w:rsidR="001C6D28" w:rsidRPr="0082218E" w:rsidRDefault="001C6D28" w:rsidP="001C6D28">
      <w:pPr>
        <w:pStyle w:val="3"/>
        <w:widowControl w:val="0"/>
        <w:spacing w:before="0" w:beforeAutospacing="0" w:after="0" w:afterAutospacing="0"/>
        <w:rPr>
          <w:b w:val="0"/>
          <w:sz w:val="28"/>
          <w:szCs w:val="28"/>
          <w:lang w:val="uk-UA"/>
        </w:rPr>
      </w:pPr>
    </w:p>
    <w:p w:rsidR="001C6D28" w:rsidRPr="0082218E" w:rsidRDefault="001C6D28" w:rsidP="001C6D28">
      <w:pPr>
        <w:pStyle w:val="StyleZakonu0"/>
        <w:spacing w:after="0" w:line="240" w:lineRule="auto"/>
        <w:ind w:right="-2" w:firstLine="720"/>
        <w:rPr>
          <w:rFonts w:cs="Times New Roman"/>
          <w:szCs w:val="28"/>
        </w:rPr>
      </w:pPr>
      <w:r w:rsidRPr="0082218E">
        <w:rPr>
          <w:rFonts w:cs="Times New Roman"/>
          <w:szCs w:val="28"/>
        </w:rPr>
        <w:t>Основну частину проекту складають зміни до наказу Міністерства фінансів України від 30.05.2012 № 629 «Про митні формальності на трубопровідному транспорті та лініях електропередачі», зареєстрованого в Міністерстві юстиції України 22.06.2012 за № 1036/21348, спрямовані на встановлення особливостей митного контролю та оформлення при операціях із заміщення природного газу, що переміщується трубопровідним транспортом (бекхолу), та використанні обсягів балансування та балансуючих обсягів природного газу, вдосконалення здійснення фактичного контролю за переміщенням через митний кордон України товарів трубопровідним транспортом та лініями електропередачі.</w:t>
      </w:r>
    </w:p>
    <w:p w:rsidR="001C6D28" w:rsidRPr="0082218E" w:rsidRDefault="001C6D28" w:rsidP="001C6D28">
      <w:pPr>
        <w:pStyle w:val="StyleZakonu0"/>
        <w:spacing w:after="0" w:line="240" w:lineRule="auto"/>
        <w:ind w:right="-2" w:firstLine="720"/>
        <w:rPr>
          <w:rFonts w:cs="Times New Roman"/>
          <w:szCs w:val="28"/>
        </w:rPr>
      </w:pPr>
      <w:r w:rsidRPr="0082218E">
        <w:rPr>
          <w:rFonts w:cs="Times New Roman"/>
          <w:szCs w:val="28"/>
        </w:rPr>
        <w:t>Крім цього, проект наказу передбачає:</w:t>
      </w:r>
    </w:p>
    <w:p w:rsidR="001C6D28" w:rsidRPr="0082218E" w:rsidRDefault="001C6D28" w:rsidP="001C6D28">
      <w:pPr>
        <w:pStyle w:val="StyleZakonu0"/>
        <w:spacing w:after="0" w:line="240" w:lineRule="auto"/>
        <w:ind w:right="-2" w:firstLine="720"/>
        <w:rPr>
          <w:rFonts w:cs="Times New Roman"/>
          <w:szCs w:val="28"/>
        </w:rPr>
      </w:pPr>
      <w:r w:rsidRPr="0082218E">
        <w:rPr>
          <w:rFonts w:cs="Times New Roman"/>
          <w:szCs w:val="28"/>
        </w:rPr>
        <w:t xml:space="preserve">приведення переліку товарів, митне оформлення яких здійснюється Енергетичною митницею ДФС, у відповідність до </w:t>
      </w:r>
      <w:proofErr w:type="spellStart"/>
      <w:r w:rsidRPr="0082218E">
        <w:rPr>
          <w:rFonts w:cs="Times New Roman"/>
          <w:szCs w:val="28"/>
        </w:rPr>
        <w:t>підпунк</w:t>
      </w:r>
      <w:proofErr w:type="spellEnd"/>
      <w:r w:rsidRPr="0082218E">
        <w:rPr>
          <w:rFonts w:cs="Times New Roman"/>
          <w:szCs w:val="28"/>
        </w:rPr>
        <w:t>ту 215.3.4 пункту 215.3 статті 215 Податкового кодексу України з урахуванням змін, внесених до Податкового кодексу України згідно з Законом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1C6D28" w:rsidRPr="0082218E" w:rsidRDefault="001C6D28" w:rsidP="001C6D28">
      <w:pPr>
        <w:pStyle w:val="StyleZakonu0"/>
        <w:spacing w:after="0" w:line="240" w:lineRule="auto"/>
        <w:ind w:right="-2" w:firstLine="720"/>
        <w:rPr>
          <w:rFonts w:cs="Times New Roman"/>
          <w:szCs w:val="28"/>
        </w:rPr>
      </w:pPr>
      <w:r w:rsidRPr="0082218E">
        <w:rPr>
          <w:rFonts w:cs="Times New Roman"/>
          <w:szCs w:val="28"/>
        </w:rPr>
        <w:t xml:space="preserve">нормативне врегулювання питання зберігання природного газу у підземних сховищах газу України під митним контролем у режимі митного складу, що передбачено пунктом 1 глави 1 розділу ІІІ Плану пріоритетних дій Уряду на 2016 рік, затвердженого розпорядженням Кабінету Міністрів України від 27.05.2016 </w:t>
      </w:r>
      <w:r w:rsidRPr="0082218E">
        <w:rPr>
          <w:rFonts w:cs="Times New Roman"/>
          <w:szCs w:val="28"/>
        </w:rPr>
        <w:br/>
        <w:t>№ 418-р;</w:t>
      </w:r>
    </w:p>
    <w:p w:rsidR="001C6D28" w:rsidRPr="0082218E" w:rsidRDefault="001C6D28" w:rsidP="001C6D28">
      <w:pPr>
        <w:pStyle w:val="StyleZakonu0"/>
        <w:spacing w:after="0" w:line="240" w:lineRule="auto"/>
        <w:ind w:right="-2" w:firstLine="720"/>
        <w:rPr>
          <w:rFonts w:cs="Times New Roman"/>
          <w:szCs w:val="28"/>
        </w:rPr>
      </w:pPr>
      <w:r w:rsidRPr="0082218E">
        <w:rPr>
          <w:rFonts w:cs="Times New Roman"/>
          <w:szCs w:val="28"/>
        </w:rPr>
        <w:t>актуалізацію переліку місць митного контролю товарів, що переміщуються лініями електропередачі;</w:t>
      </w:r>
    </w:p>
    <w:p w:rsidR="001C6D28" w:rsidRPr="0082218E" w:rsidRDefault="001C6D28" w:rsidP="001C6D28">
      <w:pPr>
        <w:pStyle w:val="StyleZakonu0"/>
        <w:spacing w:after="0" w:line="240" w:lineRule="auto"/>
        <w:ind w:right="-2" w:firstLine="720"/>
        <w:rPr>
          <w:rFonts w:cs="Times New Roman"/>
          <w:szCs w:val="28"/>
        </w:rPr>
      </w:pPr>
      <w:r w:rsidRPr="0082218E">
        <w:rPr>
          <w:rFonts w:cs="Times New Roman"/>
          <w:szCs w:val="28"/>
        </w:rPr>
        <w:t>впровадження модуля «Фактичний контроль» Автоматизованої системи митного оформлення ДФС для прискорення обміну</w:t>
      </w:r>
      <w:r w:rsidRPr="0082218E">
        <w:rPr>
          <w:rFonts w:cs="Times New Roman"/>
          <w:szCs w:val="28"/>
          <w:lang w:val="ru-RU"/>
        </w:rPr>
        <w:t xml:space="preserve"> </w:t>
      </w:r>
      <w:r w:rsidRPr="0082218E">
        <w:rPr>
          <w:rFonts w:cs="Times New Roman"/>
          <w:szCs w:val="28"/>
        </w:rPr>
        <w:t>між органами доходів і зборів інформацією про результати фактичного контролю товарів, що переміщуються через митний кордон України трубопровідним транспортом та лініями електропередачі, часткової автоматизації використання цієї інформації при здійсненні митного оформлення, скорочення кількості актів, що складаються за результатами фактичного контролю.</w:t>
      </w:r>
    </w:p>
    <w:p w:rsidR="001C6D28" w:rsidRPr="0082218E" w:rsidRDefault="001C6D28" w:rsidP="001C6D28">
      <w:pPr>
        <w:pStyle w:val="3"/>
        <w:widowControl w:val="0"/>
        <w:spacing w:before="0" w:beforeAutospacing="0" w:after="0" w:afterAutospacing="0"/>
        <w:ind w:firstLine="720"/>
        <w:jc w:val="both"/>
        <w:rPr>
          <w:b w:val="0"/>
          <w:sz w:val="28"/>
          <w:szCs w:val="28"/>
          <w:lang w:val="uk-UA"/>
        </w:rPr>
      </w:pPr>
      <w:r w:rsidRPr="0082218E">
        <w:rPr>
          <w:b w:val="0"/>
          <w:sz w:val="28"/>
          <w:szCs w:val="28"/>
          <w:lang w:val="uk-UA"/>
        </w:rPr>
        <w:t xml:space="preserve">підготовку/узагальнення оперативної інформації щодо обсягів </w:t>
      </w:r>
      <w:r w:rsidRPr="0082218E">
        <w:rPr>
          <w:b w:val="0"/>
          <w:sz w:val="28"/>
          <w:szCs w:val="28"/>
          <w:lang w:val="uk-UA"/>
        </w:rPr>
        <w:lastRenderedPageBreak/>
        <w:t xml:space="preserve">переміщення природного газу через митний кордон України, в т.ч.  з </w:t>
      </w:r>
      <w:r w:rsidRPr="0082218E">
        <w:rPr>
          <w:b w:val="0"/>
          <w:sz w:val="28"/>
          <w:szCs w:val="28"/>
          <w:lang w:val="uk-UA" w:eastAsia="en-US"/>
        </w:rPr>
        <w:t>використанням операцій заміщення (бекхол), обсягу балансування та балансуючого обсягу.</w:t>
      </w:r>
    </w:p>
    <w:p w:rsidR="00F734F7" w:rsidRPr="0082218E" w:rsidRDefault="00F734F7" w:rsidP="00F734F7">
      <w:pPr>
        <w:pStyle w:val="StyleZakonu0"/>
        <w:spacing w:after="0" w:line="240" w:lineRule="auto"/>
        <w:ind w:right="-2" w:firstLine="720"/>
        <w:rPr>
          <w:rFonts w:cs="Times New Roman"/>
          <w:szCs w:val="28"/>
        </w:rPr>
      </w:pPr>
      <w:r w:rsidRPr="0082218E">
        <w:rPr>
          <w:rFonts w:cs="Times New Roman"/>
          <w:szCs w:val="28"/>
        </w:rPr>
        <w:t xml:space="preserve">Накази Міністерства фінансів України в оновленій редакції насамперед забезпечать відповідність господарської діяльності операторів газотранспортної системи та операторів газосховищ України вимогам Закону України "Про ринок природного газу" та європейського енергетичного законодавства. </w:t>
      </w:r>
    </w:p>
    <w:p w:rsidR="00F734F7" w:rsidRPr="0082218E" w:rsidRDefault="00F734F7" w:rsidP="00F734F7">
      <w:pPr>
        <w:pStyle w:val="StyleZakonu0"/>
        <w:spacing w:after="0" w:line="240" w:lineRule="auto"/>
        <w:ind w:right="-2" w:firstLine="720"/>
        <w:rPr>
          <w:rFonts w:cs="Times New Roman"/>
          <w:szCs w:val="28"/>
        </w:rPr>
      </w:pPr>
      <w:r w:rsidRPr="0082218E">
        <w:rPr>
          <w:rFonts w:cs="Times New Roman"/>
          <w:szCs w:val="28"/>
        </w:rPr>
        <w:t>Можливість проведення операцій заміщення (бекхолу) дозволить оптимізувати газотранспортні потоки, що в результаті істотно зменшить виробничо-технологічні витрати природного газу при його транспортуванні, при одночасному збільшенні торгового обороту.</w:t>
      </w:r>
    </w:p>
    <w:p w:rsidR="001C6D28" w:rsidRPr="0082218E" w:rsidRDefault="00F734F7" w:rsidP="00B74EA9">
      <w:pPr>
        <w:pStyle w:val="StyleZakonu0"/>
        <w:spacing w:after="0" w:line="240" w:lineRule="auto"/>
        <w:ind w:right="-2" w:firstLine="720"/>
        <w:rPr>
          <w:rFonts w:cs="Times New Roman"/>
          <w:szCs w:val="28"/>
        </w:rPr>
      </w:pPr>
      <w:r w:rsidRPr="0082218E">
        <w:rPr>
          <w:rFonts w:cs="Times New Roman"/>
          <w:szCs w:val="28"/>
        </w:rPr>
        <w:t xml:space="preserve">Крім того запропоновані доповнення та зміни до зазначених нормативних актів створять чіткі, прозорі та зрозумілі умови діяльності для європейських енергетичних </w:t>
      </w:r>
      <w:proofErr w:type="spellStart"/>
      <w:r w:rsidRPr="0082218E">
        <w:rPr>
          <w:rFonts w:cs="Times New Roman"/>
          <w:szCs w:val="28"/>
        </w:rPr>
        <w:t>трейдерів</w:t>
      </w:r>
      <w:proofErr w:type="spellEnd"/>
      <w:r w:rsidRPr="0082218E">
        <w:rPr>
          <w:rFonts w:cs="Times New Roman"/>
          <w:szCs w:val="28"/>
        </w:rPr>
        <w:t xml:space="preserve"> в Україні, що збільшить обсяг торгових операцій між українськими та європейськими постачальниками природного газу, що в свою чергу сприятиме зростанню запасу природного газу в газосховищах України, збільшить доходи від надання послуг по транспортуванню та зберіганню природного газу операторів газотранспортної системи та системи газосховищ України (без необхідності додаткових капітальних вкладень,) суттєво покращить інвестиційну привабливість української газотранспортної системи.</w:t>
      </w:r>
    </w:p>
    <w:p w:rsidR="001C6D28" w:rsidRPr="0082218E" w:rsidRDefault="001C6D28" w:rsidP="001C6D28">
      <w:pPr>
        <w:pStyle w:val="3"/>
        <w:widowControl w:val="0"/>
        <w:spacing w:before="0" w:beforeAutospacing="0" w:after="0" w:afterAutospacing="0"/>
        <w:jc w:val="both"/>
        <w:rPr>
          <w:b w:val="0"/>
          <w:sz w:val="28"/>
          <w:szCs w:val="28"/>
          <w:lang w:val="uk-UA"/>
        </w:rPr>
      </w:pP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або виконувати ці вимоги</w:t>
      </w:r>
    </w:p>
    <w:p w:rsidR="001C6D28" w:rsidRPr="0082218E" w:rsidRDefault="001C6D28" w:rsidP="001C6D28">
      <w:pPr>
        <w:pStyle w:val="3"/>
        <w:widowControl w:val="0"/>
        <w:spacing w:before="0" w:beforeAutospacing="0" w:after="0" w:afterAutospacing="0"/>
        <w:rPr>
          <w:b w:val="0"/>
          <w:sz w:val="28"/>
          <w:szCs w:val="28"/>
          <w:lang w:val="uk-UA"/>
        </w:rPr>
      </w:pPr>
    </w:p>
    <w:p w:rsidR="001C6D28" w:rsidRPr="0082218E" w:rsidRDefault="001C6D28" w:rsidP="001C6D28">
      <w:pPr>
        <w:pStyle w:val="3"/>
        <w:widowControl w:val="0"/>
        <w:spacing w:before="0" w:beforeAutospacing="0" w:after="0" w:afterAutospacing="0"/>
        <w:ind w:firstLine="720"/>
        <w:jc w:val="both"/>
        <w:rPr>
          <w:b w:val="0"/>
          <w:sz w:val="28"/>
          <w:szCs w:val="28"/>
          <w:lang w:val="uk-UA"/>
        </w:rPr>
      </w:pPr>
      <w:r w:rsidRPr="0082218E">
        <w:rPr>
          <w:b w:val="0"/>
          <w:sz w:val="28"/>
          <w:szCs w:val="28"/>
          <w:lang w:val="uk-UA"/>
        </w:rPr>
        <w:t>Реалізація наказу не передбачає фінансових витрат ЦОВВ та держави.</w:t>
      </w:r>
    </w:p>
    <w:p w:rsidR="0082218E" w:rsidRPr="0082218E" w:rsidRDefault="001C6D28" w:rsidP="0082218E">
      <w:pPr>
        <w:pStyle w:val="3"/>
        <w:widowControl w:val="0"/>
        <w:spacing w:before="0" w:beforeAutospacing="0" w:after="0" w:afterAutospacing="0"/>
        <w:ind w:firstLine="708"/>
        <w:jc w:val="both"/>
        <w:rPr>
          <w:b w:val="0"/>
          <w:sz w:val="28"/>
          <w:szCs w:val="28"/>
          <w:lang w:val="uk-UA"/>
        </w:rPr>
      </w:pPr>
      <w:r w:rsidRPr="0082218E">
        <w:rPr>
          <w:b w:val="0"/>
          <w:sz w:val="28"/>
          <w:szCs w:val="28"/>
          <w:lang w:val="uk-UA"/>
        </w:rPr>
        <w:t>Реалізація наказ</w:t>
      </w:r>
      <w:r w:rsidR="00B74EA9" w:rsidRPr="0082218E">
        <w:rPr>
          <w:b w:val="0"/>
          <w:sz w:val="28"/>
          <w:szCs w:val="28"/>
          <w:lang w:val="uk-UA"/>
        </w:rPr>
        <w:t xml:space="preserve">у передбачає </w:t>
      </w:r>
      <w:r w:rsidR="0082218E" w:rsidRPr="0082218E">
        <w:rPr>
          <w:b w:val="0"/>
          <w:sz w:val="28"/>
          <w:szCs w:val="28"/>
          <w:lang w:val="uk-UA"/>
        </w:rPr>
        <w:t>витрати НАК «</w:t>
      </w:r>
      <w:proofErr w:type="spellStart"/>
      <w:r w:rsidR="0082218E" w:rsidRPr="0082218E">
        <w:rPr>
          <w:b w:val="0"/>
          <w:sz w:val="28"/>
          <w:szCs w:val="28"/>
          <w:lang w:val="uk-UA"/>
        </w:rPr>
        <w:t>Нафогаз</w:t>
      </w:r>
      <w:proofErr w:type="spellEnd"/>
      <w:r w:rsidR="0082218E" w:rsidRPr="0082218E">
        <w:rPr>
          <w:b w:val="0"/>
          <w:sz w:val="28"/>
          <w:szCs w:val="28"/>
          <w:lang w:val="uk-UA"/>
        </w:rPr>
        <w:t xml:space="preserve"> України» та П</w:t>
      </w:r>
      <w:proofErr w:type="spellStart"/>
      <w:r w:rsidR="0082218E" w:rsidRPr="0082218E">
        <w:rPr>
          <w:b w:val="0"/>
          <w:sz w:val="28"/>
          <w:szCs w:val="28"/>
          <w:lang w:val="uk-UA"/>
        </w:rPr>
        <w:t>АТ «Укртран</w:t>
      </w:r>
      <w:proofErr w:type="spellEnd"/>
      <w:r w:rsidR="0082218E" w:rsidRPr="0082218E">
        <w:rPr>
          <w:b w:val="0"/>
          <w:sz w:val="28"/>
          <w:szCs w:val="28"/>
          <w:lang w:val="uk-UA"/>
        </w:rPr>
        <w:t>сгаз» як операторів газотранспортної системи та газосховищ, пов’язані із веденням обліку, підготовкою та поданням звітності державним органам на рівні близько 13</w:t>
      </w:r>
      <w:r w:rsidR="0082218E" w:rsidRPr="0082218E">
        <w:rPr>
          <w:b w:val="0"/>
          <w:sz w:val="28"/>
          <w:szCs w:val="28"/>
        </w:rPr>
        <w:t> </w:t>
      </w:r>
      <w:r w:rsidR="0082218E" w:rsidRPr="0082218E">
        <w:rPr>
          <w:b w:val="0"/>
          <w:sz w:val="28"/>
          <w:szCs w:val="28"/>
          <w:lang w:val="uk-UA"/>
        </w:rPr>
        <w:t xml:space="preserve">000 грн. на рік. </w:t>
      </w:r>
    </w:p>
    <w:p w:rsidR="001C6D28" w:rsidRPr="0082218E" w:rsidRDefault="0082218E" w:rsidP="0082218E">
      <w:pPr>
        <w:pStyle w:val="3"/>
        <w:widowControl w:val="0"/>
        <w:spacing w:before="0" w:beforeAutospacing="0" w:after="0" w:afterAutospacing="0"/>
        <w:ind w:firstLine="708"/>
        <w:jc w:val="both"/>
        <w:rPr>
          <w:b w:val="0"/>
          <w:color w:val="FF0000"/>
          <w:sz w:val="28"/>
          <w:szCs w:val="28"/>
          <w:lang w:val="uk-UA"/>
        </w:rPr>
      </w:pPr>
      <w:r w:rsidRPr="0082218E">
        <w:rPr>
          <w:b w:val="0"/>
          <w:sz w:val="28"/>
          <w:szCs w:val="28"/>
          <w:lang w:val="uk-UA"/>
        </w:rPr>
        <w:t>В</w:t>
      </w:r>
      <w:r w:rsidR="001C6D28" w:rsidRPr="0082218E">
        <w:rPr>
          <w:b w:val="0"/>
          <w:sz w:val="28"/>
          <w:szCs w:val="28"/>
          <w:lang w:val="uk-UA"/>
        </w:rPr>
        <w:t xml:space="preserve">итрати інших суб’єктів господарювання не передбачаються. </w:t>
      </w:r>
    </w:p>
    <w:p w:rsidR="001C6D28" w:rsidRPr="0082218E" w:rsidRDefault="001C6D28" w:rsidP="0082218E">
      <w:pPr>
        <w:pStyle w:val="3"/>
        <w:widowControl w:val="0"/>
        <w:spacing w:before="0" w:beforeAutospacing="0" w:after="0" w:afterAutospacing="0"/>
        <w:jc w:val="both"/>
        <w:rPr>
          <w:b w:val="0"/>
          <w:sz w:val="28"/>
          <w:szCs w:val="28"/>
          <w:lang w:val="uk-UA"/>
        </w:rPr>
      </w:pP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VII. Обґрунтування запропонованого строку дії регуляторного акта</w:t>
      </w:r>
    </w:p>
    <w:p w:rsidR="001C6D28" w:rsidRPr="0082218E" w:rsidRDefault="001C6D28" w:rsidP="001C6D28">
      <w:pPr>
        <w:pStyle w:val="3"/>
        <w:widowControl w:val="0"/>
        <w:spacing w:before="0" w:beforeAutospacing="0" w:after="0" w:afterAutospacing="0"/>
        <w:rPr>
          <w:b w:val="0"/>
          <w:sz w:val="28"/>
          <w:szCs w:val="28"/>
          <w:lang w:val="uk-UA"/>
        </w:rPr>
      </w:pPr>
    </w:p>
    <w:p w:rsidR="001C6D28" w:rsidRPr="0082218E" w:rsidRDefault="001C6D28" w:rsidP="001C6D28">
      <w:pPr>
        <w:pStyle w:val="a4"/>
        <w:widowControl w:val="0"/>
        <w:ind w:left="0" w:firstLine="720"/>
        <w:jc w:val="both"/>
        <w:rPr>
          <w:rFonts w:cs="Times New Roman"/>
          <w:sz w:val="28"/>
          <w:szCs w:val="28"/>
          <w:lang w:val="uk-UA"/>
        </w:rPr>
      </w:pPr>
      <w:r w:rsidRPr="0082218E">
        <w:rPr>
          <w:rFonts w:cs="Times New Roman"/>
          <w:sz w:val="28"/>
          <w:szCs w:val="28"/>
          <w:lang w:val="uk-UA"/>
        </w:rPr>
        <w:t>Термін ді</w:t>
      </w:r>
      <w:r w:rsidR="00B74EA9" w:rsidRPr="0082218E">
        <w:rPr>
          <w:rFonts w:cs="Times New Roman"/>
          <w:sz w:val="28"/>
          <w:szCs w:val="28"/>
          <w:lang w:val="uk-UA"/>
        </w:rPr>
        <w:t>ї є необмеженим, оскільки Закон</w:t>
      </w:r>
      <w:r w:rsidRPr="0082218E">
        <w:rPr>
          <w:rFonts w:cs="Times New Roman"/>
          <w:sz w:val="28"/>
          <w:szCs w:val="28"/>
          <w:lang w:val="uk-UA"/>
        </w:rPr>
        <w:t xml:space="preserve"> </w:t>
      </w:r>
      <w:r w:rsidR="0082218E" w:rsidRPr="0082218E">
        <w:rPr>
          <w:rFonts w:cs="Times New Roman"/>
          <w:sz w:val="28"/>
          <w:szCs w:val="28"/>
        </w:rPr>
        <w:t xml:space="preserve">України від </w:t>
      </w:r>
      <w:r w:rsidR="0082218E" w:rsidRPr="0082218E">
        <w:rPr>
          <w:rFonts w:cs="Times New Roman"/>
          <w:sz w:val="28"/>
          <w:szCs w:val="28"/>
        </w:rPr>
        <w:br/>
        <w:t xml:space="preserve">04 лютого 2016 року № 994-VIII «Про </w:t>
      </w:r>
      <w:proofErr w:type="spellStart"/>
      <w:r w:rsidR="0082218E" w:rsidRPr="0082218E">
        <w:rPr>
          <w:rFonts w:cs="Times New Roman"/>
          <w:sz w:val="28"/>
          <w:szCs w:val="28"/>
        </w:rPr>
        <w:t>внесення</w:t>
      </w:r>
      <w:proofErr w:type="spellEnd"/>
      <w:r w:rsidR="0082218E" w:rsidRPr="0082218E">
        <w:rPr>
          <w:rFonts w:cs="Times New Roman"/>
          <w:sz w:val="28"/>
          <w:szCs w:val="28"/>
        </w:rPr>
        <w:t xml:space="preserve"> </w:t>
      </w:r>
      <w:proofErr w:type="spellStart"/>
      <w:r w:rsidR="0082218E" w:rsidRPr="0082218E">
        <w:rPr>
          <w:rFonts w:cs="Times New Roman"/>
          <w:sz w:val="28"/>
          <w:szCs w:val="28"/>
        </w:rPr>
        <w:t>зміни</w:t>
      </w:r>
      <w:proofErr w:type="spellEnd"/>
      <w:r w:rsidR="0082218E" w:rsidRPr="0082218E">
        <w:rPr>
          <w:rFonts w:cs="Times New Roman"/>
          <w:sz w:val="28"/>
          <w:szCs w:val="28"/>
        </w:rPr>
        <w:t xml:space="preserve"> до Митного кодексу України </w:t>
      </w:r>
      <w:proofErr w:type="spellStart"/>
      <w:r w:rsidR="0082218E" w:rsidRPr="0082218E">
        <w:rPr>
          <w:rFonts w:cs="Times New Roman"/>
          <w:sz w:val="28"/>
          <w:szCs w:val="28"/>
        </w:rPr>
        <w:t>щодо</w:t>
      </w:r>
      <w:proofErr w:type="spellEnd"/>
      <w:r w:rsidR="0082218E" w:rsidRPr="0082218E">
        <w:rPr>
          <w:rFonts w:cs="Times New Roman"/>
          <w:sz w:val="28"/>
          <w:szCs w:val="28"/>
        </w:rPr>
        <w:t xml:space="preserve"> </w:t>
      </w:r>
      <w:proofErr w:type="spellStart"/>
      <w:r w:rsidR="0082218E" w:rsidRPr="0082218E">
        <w:rPr>
          <w:rFonts w:cs="Times New Roman"/>
          <w:sz w:val="28"/>
          <w:szCs w:val="28"/>
        </w:rPr>
        <w:t>створення</w:t>
      </w:r>
      <w:proofErr w:type="spellEnd"/>
      <w:r w:rsidR="0082218E" w:rsidRPr="0082218E">
        <w:rPr>
          <w:rFonts w:cs="Times New Roman"/>
          <w:sz w:val="28"/>
          <w:szCs w:val="28"/>
        </w:rPr>
        <w:t xml:space="preserve"> </w:t>
      </w:r>
      <w:proofErr w:type="spellStart"/>
      <w:r w:rsidR="0082218E" w:rsidRPr="0082218E">
        <w:rPr>
          <w:rFonts w:cs="Times New Roman"/>
          <w:sz w:val="28"/>
          <w:szCs w:val="28"/>
        </w:rPr>
        <w:t>передумов</w:t>
      </w:r>
      <w:proofErr w:type="spellEnd"/>
      <w:r w:rsidR="0082218E" w:rsidRPr="0082218E">
        <w:rPr>
          <w:rFonts w:cs="Times New Roman"/>
          <w:sz w:val="28"/>
          <w:szCs w:val="28"/>
        </w:rPr>
        <w:t xml:space="preserve"> для </w:t>
      </w:r>
      <w:proofErr w:type="spellStart"/>
      <w:r w:rsidR="0082218E" w:rsidRPr="0082218E">
        <w:rPr>
          <w:rFonts w:cs="Times New Roman"/>
          <w:sz w:val="28"/>
          <w:szCs w:val="28"/>
        </w:rPr>
        <w:t>нової</w:t>
      </w:r>
      <w:proofErr w:type="spellEnd"/>
      <w:r w:rsidR="0082218E" w:rsidRPr="0082218E">
        <w:rPr>
          <w:rFonts w:cs="Times New Roman"/>
          <w:sz w:val="28"/>
          <w:szCs w:val="28"/>
        </w:rPr>
        <w:t xml:space="preserve"> </w:t>
      </w:r>
      <w:proofErr w:type="spellStart"/>
      <w:r w:rsidR="0082218E" w:rsidRPr="0082218E">
        <w:rPr>
          <w:rFonts w:cs="Times New Roman"/>
          <w:sz w:val="28"/>
          <w:szCs w:val="28"/>
        </w:rPr>
        <w:t>моделі</w:t>
      </w:r>
      <w:proofErr w:type="spellEnd"/>
      <w:r w:rsidR="0082218E" w:rsidRPr="0082218E">
        <w:rPr>
          <w:rFonts w:cs="Times New Roman"/>
          <w:sz w:val="28"/>
          <w:szCs w:val="28"/>
        </w:rPr>
        <w:t xml:space="preserve"> ринку природного газу»</w:t>
      </w:r>
      <w:r w:rsidRPr="0082218E">
        <w:rPr>
          <w:rFonts w:cs="Times New Roman"/>
          <w:sz w:val="28"/>
          <w:szCs w:val="28"/>
          <w:lang w:val="uk-UA"/>
        </w:rPr>
        <w:t>, на виконання положень яких</w:t>
      </w:r>
      <w:r w:rsidR="0082218E" w:rsidRPr="0082218E">
        <w:rPr>
          <w:rFonts w:cs="Times New Roman"/>
          <w:sz w:val="28"/>
          <w:szCs w:val="28"/>
          <w:lang w:val="uk-UA"/>
        </w:rPr>
        <w:t xml:space="preserve"> розроблено проект наказу, має</w:t>
      </w:r>
      <w:r w:rsidRPr="0082218E">
        <w:rPr>
          <w:rFonts w:cs="Times New Roman"/>
          <w:sz w:val="28"/>
          <w:szCs w:val="28"/>
          <w:lang w:val="uk-UA"/>
        </w:rPr>
        <w:t xml:space="preserve"> необмежений термін дії.</w:t>
      </w:r>
    </w:p>
    <w:p w:rsidR="001C6D28" w:rsidRPr="0082218E" w:rsidRDefault="001C6D28" w:rsidP="001C6D28">
      <w:pPr>
        <w:pStyle w:val="a4"/>
        <w:widowControl w:val="0"/>
        <w:ind w:left="0"/>
        <w:jc w:val="both"/>
        <w:rPr>
          <w:rFonts w:cs="Times New Roman"/>
          <w:sz w:val="28"/>
          <w:szCs w:val="28"/>
          <w:lang w:val="uk-UA"/>
        </w:rPr>
      </w:pP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VIII. Визначення показників результативності дії регуляторного акта</w:t>
      </w:r>
    </w:p>
    <w:p w:rsidR="001C6D28" w:rsidRPr="0082218E" w:rsidRDefault="001C6D28" w:rsidP="001C6D28">
      <w:pPr>
        <w:pStyle w:val="3"/>
        <w:widowControl w:val="0"/>
        <w:spacing w:before="0" w:beforeAutospacing="0" w:after="0" w:afterAutospacing="0"/>
        <w:jc w:val="both"/>
        <w:rPr>
          <w:b w:val="0"/>
          <w:sz w:val="28"/>
          <w:szCs w:val="28"/>
          <w:lang w:val="uk-UA"/>
        </w:rPr>
      </w:pPr>
    </w:p>
    <w:p w:rsidR="00B74EA9" w:rsidRPr="0082218E" w:rsidRDefault="00B74EA9" w:rsidP="001C6D28">
      <w:pPr>
        <w:pStyle w:val="3"/>
        <w:widowControl w:val="0"/>
        <w:spacing w:before="0" w:beforeAutospacing="0" w:after="0" w:afterAutospacing="0"/>
        <w:ind w:firstLine="720"/>
        <w:jc w:val="both"/>
        <w:rPr>
          <w:b w:val="0"/>
          <w:sz w:val="28"/>
          <w:szCs w:val="28"/>
          <w:lang w:val="uk-UA"/>
        </w:rPr>
      </w:pPr>
      <w:r w:rsidRPr="0082218E">
        <w:rPr>
          <w:b w:val="0"/>
          <w:sz w:val="28"/>
          <w:szCs w:val="28"/>
          <w:lang w:val="uk-UA"/>
        </w:rPr>
        <w:t xml:space="preserve">Виконання вимог регуляторного акта покладено на </w:t>
      </w:r>
      <w:r w:rsidR="0082218E" w:rsidRPr="0082218E">
        <w:rPr>
          <w:b w:val="0"/>
          <w:sz w:val="28"/>
          <w:szCs w:val="28"/>
          <w:lang w:val="uk-UA"/>
        </w:rPr>
        <w:t>НАК «</w:t>
      </w:r>
      <w:proofErr w:type="spellStart"/>
      <w:r w:rsidR="0082218E" w:rsidRPr="0082218E">
        <w:rPr>
          <w:b w:val="0"/>
          <w:sz w:val="28"/>
          <w:szCs w:val="28"/>
          <w:lang w:val="uk-UA"/>
        </w:rPr>
        <w:t>Нафогаз</w:t>
      </w:r>
      <w:proofErr w:type="spellEnd"/>
      <w:r w:rsidR="0082218E" w:rsidRPr="0082218E">
        <w:rPr>
          <w:b w:val="0"/>
          <w:sz w:val="28"/>
          <w:szCs w:val="28"/>
          <w:lang w:val="uk-UA"/>
        </w:rPr>
        <w:t xml:space="preserve"> України» та П</w:t>
      </w:r>
      <w:proofErr w:type="spellStart"/>
      <w:r w:rsidR="0082218E" w:rsidRPr="0082218E">
        <w:rPr>
          <w:b w:val="0"/>
          <w:sz w:val="28"/>
          <w:szCs w:val="28"/>
          <w:lang w:val="uk-UA"/>
        </w:rPr>
        <w:t>АТ «Укртран</w:t>
      </w:r>
      <w:proofErr w:type="spellEnd"/>
      <w:r w:rsidR="0082218E" w:rsidRPr="0082218E">
        <w:rPr>
          <w:b w:val="0"/>
          <w:sz w:val="28"/>
          <w:szCs w:val="28"/>
          <w:lang w:val="uk-UA"/>
        </w:rPr>
        <w:t>сгаз» як операторів газотранспортної системи та газосховищ</w:t>
      </w:r>
      <w:r w:rsidRPr="0082218E">
        <w:rPr>
          <w:b w:val="0"/>
          <w:sz w:val="28"/>
          <w:szCs w:val="28"/>
          <w:lang w:val="uk-UA"/>
        </w:rPr>
        <w:t xml:space="preserve">. </w:t>
      </w:r>
    </w:p>
    <w:p w:rsidR="00B74EA9" w:rsidRPr="0082218E" w:rsidRDefault="00B74EA9" w:rsidP="001C6D28">
      <w:pPr>
        <w:pStyle w:val="3"/>
        <w:widowControl w:val="0"/>
        <w:spacing w:before="0" w:beforeAutospacing="0" w:after="0" w:afterAutospacing="0"/>
        <w:ind w:firstLine="720"/>
        <w:jc w:val="both"/>
        <w:rPr>
          <w:b w:val="0"/>
          <w:sz w:val="28"/>
          <w:szCs w:val="28"/>
          <w:lang w:val="uk-UA"/>
        </w:rPr>
      </w:pPr>
      <w:r w:rsidRPr="0082218E">
        <w:rPr>
          <w:b w:val="0"/>
          <w:sz w:val="28"/>
          <w:szCs w:val="28"/>
          <w:lang w:val="uk-UA"/>
        </w:rPr>
        <w:t xml:space="preserve">Кошти, необхідні даним суб’єктам господарювання для виконання вимог </w:t>
      </w:r>
      <w:r w:rsidRPr="0082218E">
        <w:rPr>
          <w:b w:val="0"/>
          <w:sz w:val="28"/>
          <w:szCs w:val="28"/>
          <w:lang w:val="uk-UA"/>
        </w:rPr>
        <w:lastRenderedPageBreak/>
        <w:t xml:space="preserve">регуляторного акта складають 13000 грн. </w:t>
      </w:r>
    </w:p>
    <w:p w:rsidR="001C6D28" w:rsidRPr="0082218E" w:rsidRDefault="001C6D28" w:rsidP="001C6D28">
      <w:pPr>
        <w:pStyle w:val="3"/>
        <w:widowControl w:val="0"/>
        <w:spacing w:before="0" w:beforeAutospacing="0" w:after="0" w:afterAutospacing="0"/>
        <w:ind w:firstLine="720"/>
        <w:jc w:val="both"/>
        <w:rPr>
          <w:b w:val="0"/>
          <w:sz w:val="28"/>
          <w:szCs w:val="28"/>
          <w:lang w:val="uk-UA"/>
        </w:rPr>
      </w:pPr>
      <w:r w:rsidRPr="0082218E">
        <w:rPr>
          <w:b w:val="0"/>
          <w:sz w:val="28"/>
          <w:szCs w:val="28"/>
          <w:lang w:val="uk-UA"/>
        </w:rPr>
        <w:t>Реалізація акта не впливатиме на зміни сум податків і зборів (обов’язкових платежів), що справляються при переміщенні природного газу та електроенергі</w:t>
      </w:r>
      <w:r w:rsidR="00EB17B0">
        <w:rPr>
          <w:b w:val="0"/>
          <w:sz w:val="28"/>
          <w:szCs w:val="28"/>
          <w:lang w:val="uk-UA"/>
        </w:rPr>
        <w:t>ї через митний кордон України, у</w:t>
      </w:r>
      <w:r w:rsidRPr="0082218E">
        <w:rPr>
          <w:b w:val="0"/>
          <w:sz w:val="28"/>
          <w:szCs w:val="28"/>
          <w:lang w:val="uk-UA"/>
        </w:rPr>
        <w:t xml:space="preserve"> зв’язку з цим розмір надходжень до державного та місцевих бюджетів і державних цільових фондів, пов’язаних з дією акта, не зміниться</w:t>
      </w:r>
      <w:r w:rsidR="00330F39" w:rsidRPr="00330F39">
        <w:rPr>
          <w:b w:val="0"/>
          <w:sz w:val="28"/>
          <w:szCs w:val="28"/>
          <w:lang w:val="uk-UA"/>
        </w:rPr>
        <w:t>, однак, прогнозується ситуація, за якої зі збільшенням обсягів транспортування та зберігання природного газу збільшиться розмір надходжень до державного та місцевих бюджетів і державних цільових фондів, пов'язаних з дією акта.</w:t>
      </w:r>
    </w:p>
    <w:p w:rsidR="001C6D28" w:rsidRPr="0082218E" w:rsidRDefault="001C6D28" w:rsidP="001C6D28">
      <w:pPr>
        <w:pStyle w:val="3"/>
        <w:widowControl w:val="0"/>
        <w:spacing w:before="0" w:beforeAutospacing="0" w:after="0" w:afterAutospacing="0"/>
        <w:ind w:firstLine="720"/>
        <w:jc w:val="both"/>
        <w:rPr>
          <w:b w:val="0"/>
          <w:sz w:val="28"/>
          <w:szCs w:val="28"/>
          <w:lang w:val="uk-UA"/>
        </w:rPr>
      </w:pPr>
      <w:r w:rsidRPr="0082218E">
        <w:rPr>
          <w:b w:val="0"/>
          <w:sz w:val="28"/>
          <w:szCs w:val="28"/>
          <w:lang w:val="uk-UA"/>
        </w:rPr>
        <w:t>Рівень поінформованості суб’єктів господарювання та/або фізичних осіб щодо основних положень наказу буде високим, оскільки</w:t>
      </w:r>
      <w:r w:rsidR="00B74EA9" w:rsidRPr="0082218E">
        <w:rPr>
          <w:b w:val="0"/>
          <w:sz w:val="28"/>
          <w:szCs w:val="28"/>
          <w:lang w:val="uk-UA"/>
        </w:rPr>
        <w:t xml:space="preserve"> проект</w:t>
      </w:r>
      <w:r w:rsidRPr="0082218E">
        <w:rPr>
          <w:b w:val="0"/>
          <w:sz w:val="28"/>
          <w:szCs w:val="28"/>
          <w:lang w:val="uk-UA"/>
        </w:rPr>
        <w:t xml:space="preserve"> наказ</w:t>
      </w:r>
      <w:r w:rsidR="00B74EA9" w:rsidRPr="0082218E">
        <w:rPr>
          <w:b w:val="0"/>
          <w:sz w:val="28"/>
          <w:szCs w:val="28"/>
          <w:lang w:val="uk-UA"/>
        </w:rPr>
        <w:t>у</w:t>
      </w:r>
      <w:r w:rsidRPr="0082218E">
        <w:rPr>
          <w:b w:val="0"/>
          <w:sz w:val="28"/>
          <w:szCs w:val="28"/>
          <w:lang w:val="uk-UA"/>
        </w:rPr>
        <w:t xml:space="preserve"> </w:t>
      </w:r>
      <w:r w:rsidR="00B74EA9" w:rsidRPr="0082218E">
        <w:rPr>
          <w:b w:val="0"/>
          <w:sz w:val="28"/>
          <w:szCs w:val="28"/>
          <w:lang w:val="uk-UA"/>
        </w:rPr>
        <w:t>оприлюднений на офіційному сайті Мінфіну</w:t>
      </w:r>
      <w:r w:rsidRPr="0082218E">
        <w:rPr>
          <w:b w:val="0"/>
          <w:sz w:val="28"/>
          <w:szCs w:val="28"/>
          <w:lang w:val="uk-UA"/>
        </w:rPr>
        <w:t>.</w:t>
      </w:r>
    </w:p>
    <w:p w:rsidR="00344E48" w:rsidRPr="0082218E" w:rsidRDefault="00344E48" w:rsidP="00344E48">
      <w:pPr>
        <w:pStyle w:val="rvps2"/>
        <w:shd w:val="clear" w:color="auto" w:fill="FFFFFF"/>
        <w:spacing w:before="0" w:beforeAutospacing="0" w:after="0" w:afterAutospacing="0"/>
        <w:ind w:firstLine="709"/>
        <w:jc w:val="both"/>
        <w:textAlignment w:val="baseline"/>
        <w:rPr>
          <w:sz w:val="28"/>
          <w:szCs w:val="28"/>
        </w:rPr>
      </w:pPr>
    </w:p>
    <w:p w:rsidR="001C6D28" w:rsidRPr="0082218E" w:rsidRDefault="001C6D28" w:rsidP="001C6D28">
      <w:pPr>
        <w:pStyle w:val="rvps2"/>
        <w:shd w:val="clear" w:color="auto" w:fill="FFFFFF"/>
        <w:spacing w:before="0" w:beforeAutospacing="0" w:after="150" w:afterAutospacing="0"/>
        <w:ind w:firstLine="709"/>
        <w:jc w:val="both"/>
        <w:textAlignment w:val="baseline"/>
        <w:rPr>
          <w:sz w:val="28"/>
          <w:szCs w:val="28"/>
        </w:rPr>
      </w:pPr>
      <w:r w:rsidRPr="0082218E">
        <w:rPr>
          <w:sz w:val="28"/>
          <w:szCs w:val="28"/>
        </w:rPr>
        <w:t>Прогнозні значення</w:t>
      </w:r>
      <w:r w:rsidR="00B74EA9" w:rsidRPr="0082218E">
        <w:rPr>
          <w:sz w:val="28"/>
          <w:szCs w:val="28"/>
        </w:rPr>
        <w:t xml:space="preserve"> додаткових</w:t>
      </w:r>
      <w:r w:rsidRPr="0082218E">
        <w:rPr>
          <w:sz w:val="28"/>
          <w:szCs w:val="28"/>
        </w:rPr>
        <w:t xml:space="preserve"> показників результативності регуляторного акта:</w:t>
      </w:r>
    </w:p>
    <w:p w:rsidR="001C6D28" w:rsidRPr="0082218E" w:rsidRDefault="00344E48" w:rsidP="001C6D28">
      <w:pPr>
        <w:pStyle w:val="rvps2"/>
        <w:shd w:val="clear" w:color="auto" w:fill="FFFFFF"/>
        <w:spacing w:before="0" w:beforeAutospacing="0" w:after="0" w:afterAutospacing="0"/>
        <w:ind w:firstLine="540"/>
        <w:jc w:val="both"/>
        <w:textAlignment w:val="baseline"/>
        <w:rPr>
          <w:sz w:val="28"/>
          <w:szCs w:val="28"/>
        </w:rPr>
      </w:pPr>
      <w:bookmarkStart w:id="1" w:name="n35"/>
      <w:bookmarkStart w:id="2" w:name="n36"/>
      <w:bookmarkStart w:id="3" w:name="n37"/>
      <w:bookmarkStart w:id="4" w:name="n38"/>
      <w:bookmarkEnd w:id="1"/>
      <w:bookmarkEnd w:id="2"/>
      <w:bookmarkEnd w:id="3"/>
      <w:bookmarkEnd w:id="4"/>
      <w:proofErr w:type="spellStart"/>
      <w:r w:rsidRPr="0082218E">
        <w:rPr>
          <w:sz w:val="28"/>
          <w:szCs w:val="28"/>
          <w:lang w:val="ru-RU"/>
        </w:rPr>
        <w:t>Кількість</w:t>
      </w:r>
      <w:proofErr w:type="spellEnd"/>
      <w:r w:rsidRPr="0082218E">
        <w:rPr>
          <w:sz w:val="28"/>
          <w:szCs w:val="28"/>
          <w:lang w:val="ru-RU"/>
        </w:rPr>
        <w:t xml:space="preserve"> </w:t>
      </w:r>
      <w:r w:rsidR="001C6D28" w:rsidRPr="0082218E">
        <w:rPr>
          <w:sz w:val="28"/>
          <w:szCs w:val="28"/>
        </w:rPr>
        <w:t>суб’єктів господарювання</w:t>
      </w:r>
      <w:r w:rsidRPr="0082218E">
        <w:rPr>
          <w:sz w:val="28"/>
          <w:szCs w:val="28"/>
        </w:rPr>
        <w:t>, які скористалися</w:t>
      </w:r>
      <w:r w:rsidR="001C6D28" w:rsidRPr="0082218E">
        <w:rPr>
          <w:sz w:val="28"/>
          <w:szCs w:val="28"/>
        </w:rPr>
        <w:t xml:space="preserve"> послугами митного складу</w:t>
      </w:r>
      <w:r w:rsidR="001C6D28" w:rsidRPr="0082218E">
        <w:rPr>
          <w:sz w:val="28"/>
          <w:szCs w:val="28"/>
          <w:lang w:val="ru-RU"/>
        </w:rPr>
        <w:t xml:space="preserve"> на </w:t>
      </w:r>
      <w:proofErr w:type="spellStart"/>
      <w:r w:rsidR="001C6D28" w:rsidRPr="0082218E">
        <w:rPr>
          <w:sz w:val="28"/>
          <w:szCs w:val="28"/>
          <w:lang w:val="ru-RU"/>
        </w:rPr>
        <w:t>газосховищах</w:t>
      </w:r>
      <w:proofErr w:type="spellEnd"/>
      <w:r w:rsidRPr="0082218E">
        <w:rPr>
          <w:sz w:val="28"/>
          <w:szCs w:val="28"/>
          <w:lang w:val="ru-RU"/>
        </w:rPr>
        <w:t xml:space="preserve"> – </w:t>
      </w:r>
      <w:proofErr w:type="spellStart"/>
      <w:r w:rsidRPr="0082218E">
        <w:rPr>
          <w:sz w:val="28"/>
          <w:szCs w:val="28"/>
          <w:lang w:val="ru-RU"/>
        </w:rPr>
        <w:t>орієнтовно</w:t>
      </w:r>
      <w:proofErr w:type="spellEnd"/>
      <w:r w:rsidRPr="0082218E">
        <w:rPr>
          <w:sz w:val="28"/>
          <w:szCs w:val="28"/>
          <w:lang w:val="ru-RU"/>
        </w:rPr>
        <w:t xml:space="preserve"> 40</w:t>
      </w:r>
      <w:r w:rsidR="001C6D28" w:rsidRPr="0082218E">
        <w:rPr>
          <w:sz w:val="28"/>
          <w:szCs w:val="28"/>
        </w:rPr>
        <w:t>;</w:t>
      </w:r>
    </w:p>
    <w:p w:rsidR="00344E48" w:rsidRPr="0082218E" w:rsidRDefault="00344E48" w:rsidP="001C6D28">
      <w:pPr>
        <w:pStyle w:val="rvps2"/>
        <w:shd w:val="clear" w:color="auto" w:fill="FFFFFF"/>
        <w:spacing w:before="0" w:beforeAutospacing="0" w:after="0" w:afterAutospacing="0"/>
        <w:ind w:firstLine="540"/>
        <w:jc w:val="both"/>
        <w:textAlignment w:val="baseline"/>
        <w:rPr>
          <w:sz w:val="28"/>
          <w:szCs w:val="28"/>
          <w:vertAlign w:val="superscript"/>
        </w:rPr>
      </w:pPr>
      <w:r w:rsidRPr="0082218E">
        <w:rPr>
          <w:sz w:val="28"/>
          <w:szCs w:val="28"/>
        </w:rPr>
        <w:t xml:space="preserve">Обсяг надання послуг з транспортування та зберігання газу – прогнозоване збільшення – до  1 </w:t>
      </w:r>
      <w:proofErr w:type="spellStart"/>
      <w:r w:rsidRPr="0082218E">
        <w:rPr>
          <w:sz w:val="28"/>
          <w:szCs w:val="28"/>
        </w:rPr>
        <w:t>млрд</w:t>
      </w:r>
      <w:proofErr w:type="spellEnd"/>
      <w:r w:rsidRPr="0082218E">
        <w:rPr>
          <w:sz w:val="28"/>
          <w:szCs w:val="28"/>
        </w:rPr>
        <w:t xml:space="preserve"> м</w:t>
      </w:r>
      <w:r w:rsidRPr="0082218E">
        <w:rPr>
          <w:sz w:val="28"/>
          <w:szCs w:val="28"/>
          <w:vertAlign w:val="superscript"/>
        </w:rPr>
        <w:t>3</w:t>
      </w:r>
    </w:p>
    <w:p w:rsidR="00344E48" w:rsidRPr="0082218E" w:rsidRDefault="00344E48" w:rsidP="00344E48">
      <w:pPr>
        <w:pStyle w:val="rvps2"/>
        <w:shd w:val="clear" w:color="auto" w:fill="FFFFFF"/>
        <w:spacing w:before="0" w:beforeAutospacing="0" w:after="0" w:afterAutospacing="0"/>
        <w:ind w:firstLine="540"/>
        <w:jc w:val="both"/>
        <w:textAlignment w:val="baseline"/>
        <w:rPr>
          <w:sz w:val="28"/>
          <w:szCs w:val="28"/>
          <w:vertAlign w:val="superscript"/>
        </w:rPr>
      </w:pPr>
      <w:r w:rsidRPr="0082218E">
        <w:rPr>
          <w:sz w:val="28"/>
          <w:szCs w:val="28"/>
        </w:rPr>
        <w:t xml:space="preserve">Рівень загальної завантаженості газосховищ для нерезидентів – до </w:t>
      </w:r>
      <w:r w:rsidR="0082218E" w:rsidRPr="0082218E">
        <w:rPr>
          <w:sz w:val="28"/>
          <w:szCs w:val="28"/>
        </w:rPr>
        <w:t xml:space="preserve">              </w:t>
      </w:r>
      <w:r w:rsidRPr="0082218E">
        <w:rPr>
          <w:sz w:val="28"/>
          <w:szCs w:val="28"/>
        </w:rPr>
        <w:t xml:space="preserve">1 </w:t>
      </w:r>
      <w:proofErr w:type="spellStart"/>
      <w:r w:rsidRPr="0082218E">
        <w:rPr>
          <w:sz w:val="28"/>
          <w:szCs w:val="28"/>
        </w:rPr>
        <w:t>млрд</w:t>
      </w:r>
      <w:proofErr w:type="spellEnd"/>
      <w:r w:rsidRPr="0082218E">
        <w:rPr>
          <w:sz w:val="28"/>
          <w:szCs w:val="28"/>
        </w:rPr>
        <w:t xml:space="preserve"> м</w:t>
      </w:r>
      <w:r w:rsidRPr="0082218E">
        <w:rPr>
          <w:sz w:val="28"/>
          <w:szCs w:val="28"/>
          <w:vertAlign w:val="superscript"/>
        </w:rPr>
        <w:t>3</w:t>
      </w:r>
    </w:p>
    <w:p w:rsidR="001C6D28" w:rsidRPr="0082218E" w:rsidRDefault="001C6D28" w:rsidP="001C6D28">
      <w:pPr>
        <w:widowControl w:val="0"/>
        <w:jc w:val="both"/>
        <w:rPr>
          <w:sz w:val="28"/>
          <w:szCs w:val="28"/>
          <w:lang w:val="uk-UA"/>
        </w:rPr>
      </w:pPr>
    </w:p>
    <w:p w:rsidR="001C6D28" w:rsidRPr="0082218E" w:rsidRDefault="001C6D28" w:rsidP="001C6D28">
      <w:pPr>
        <w:pStyle w:val="3"/>
        <w:widowControl w:val="0"/>
        <w:spacing w:before="0" w:beforeAutospacing="0" w:after="0" w:afterAutospacing="0"/>
        <w:jc w:val="center"/>
        <w:rPr>
          <w:sz w:val="28"/>
          <w:szCs w:val="28"/>
          <w:lang w:val="uk-UA"/>
        </w:rPr>
      </w:pPr>
      <w:r w:rsidRPr="0082218E">
        <w:rPr>
          <w:sz w:val="28"/>
          <w:szCs w:val="28"/>
          <w:lang w:val="uk-UA"/>
        </w:rPr>
        <w:t>IX. Визначення заходів, за допомогою яких здійснюватиметься відстеження результативності дії регуляторного акта</w:t>
      </w:r>
    </w:p>
    <w:p w:rsidR="001C6D28" w:rsidRPr="0082218E" w:rsidRDefault="001C6D28" w:rsidP="001C6D28">
      <w:pPr>
        <w:pStyle w:val="3"/>
        <w:widowControl w:val="0"/>
        <w:spacing w:before="0" w:beforeAutospacing="0" w:after="0" w:afterAutospacing="0"/>
        <w:rPr>
          <w:b w:val="0"/>
          <w:sz w:val="28"/>
          <w:szCs w:val="28"/>
          <w:lang w:val="uk-UA"/>
        </w:rPr>
      </w:pPr>
    </w:p>
    <w:p w:rsidR="00344E48" w:rsidRPr="0082218E" w:rsidRDefault="00344E48" w:rsidP="001C6D28">
      <w:pPr>
        <w:widowControl w:val="0"/>
        <w:ind w:firstLine="708"/>
        <w:jc w:val="both"/>
        <w:rPr>
          <w:sz w:val="28"/>
          <w:szCs w:val="28"/>
          <w:lang w:val="uk-UA"/>
        </w:rPr>
      </w:pPr>
      <w:r w:rsidRPr="0082218E">
        <w:rPr>
          <w:sz w:val="28"/>
          <w:szCs w:val="28"/>
          <w:lang w:val="uk-UA"/>
        </w:rPr>
        <w:t>Відстеження результативності регуляторного акта буде проводитися за допомогою статистичного методу, шляхом аналізу даних інформаційних систем ДФС, а також інформації з відкритих джерел оператора ГТС.</w:t>
      </w:r>
    </w:p>
    <w:p w:rsidR="00344E48" w:rsidRPr="0082218E" w:rsidRDefault="00344E48" w:rsidP="001C6D28">
      <w:pPr>
        <w:pStyle w:val="a4"/>
        <w:widowControl w:val="0"/>
        <w:ind w:left="0" w:firstLine="720"/>
        <w:jc w:val="both"/>
        <w:rPr>
          <w:rFonts w:cs="Times New Roman"/>
          <w:sz w:val="28"/>
          <w:szCs w:val="28"/>
          <w:lang w:val="uk-UA"/>
        </w:rPr>
      </w:pPr>
      <w:r w:rsidRPr="0082218E">
        <w:rPr>
          <w:rFonts w:cs="Times New Roman"/>
          <w:sz w:val="28"/>
          <w:szCs w:val="28"/>
          <w:lang w:val="uk-UA"/>
        </w:rPr>
        <w:t xml:space="preserve">Базове відстеження результативності регуляторного акта буде проводитися через 1 рік після його набрання чинності. </w:t>
      </w:r>
    </w:p>
    <w:p w:rsidR="001C6D28" w:rsidRPr="0082218E" w:rsidRDefault="001C6D28" w:rsidP="001C6D28">
      <w:pPr>
        <w:pStyle w:val="a4"/>
        <w:widowControl w:val="0"/>
        <w:ind w:left="0" w:firstLine="720"/>
        <w:jc w:val="both"/>
        <w:rPr>
          <w:rFonts w:cs="Times New Roman"/>
          <w:sz w:val="28"/>
          <w:szCs w:val="28"/>
          <w:lang w:val="uk-UA"/>
        </w:rPr>
      </w:pPr>
      <w:r w:rsidRPr="0082218E">
        <w:rPr>
          <w:rFonts w:cs="Times New Roman"/>
          <w:sz w:val="28"/>
          <w:szCs w:val="28"/>
          <w:lang w:val="uk-UA"/>
        </w:rPr>
        <w:t xml:space="preserve">Повторне відстеження буде здійснюватись через </w:t>
      </w:r>
      <w:r w:rsidR="00344E48" w:rsidRPr="0082218E">
        <w:rPr>
          <w:rFonts w:cs="Times New Roman"/>
          <w:sz w:val="28"/>
          <w:szCs w:val="28"/>
          <w:lang w:val="uk-UA"/>
        </w:rPr>
        <w:t>2 ро</w:t>
      </w:r>
      <w:r w:rsidRPr="0082218E">
        <w:rPr>
          <w:rFonts w:cs="Times New Roman"/>
          <w:sz w:val="28"/>
          <w:szCs w:val="28"/>
          <w:lang w:val="uk-UA"/>
        </w:rPr>
        <w:t>к</w:t>
      </w:r>
      <w:r w:rsidR="00344E48" w:rsidRPr="0082218E">
        <w:rPr>
          <w:rFonts w:cs="Times New Roman"/>
          <w:sz w:val="28"/>
          <w:szCs w:val="28"/>
          <w:lang w:val="uk-UA"/>
        </w:rPr>
        <w:t>и</w:t>
      </w:r>
      <w:r w:rsidRPr="0082218E">
        <w:rPr>
          <w:rFonts w:cs="Times New Roman"/>
          <w:sz w:val="28"/>
          <w:szCs w:val="28"/>
          <w:lang w:val="uk-UA"/>
        </w:rPr>
        <w:t xml:space="preserve"> після набрання чинності наказом.</w:t>
      </w:r>
    </w:p>
    <w:p w:rsidR="001C6D28" w:rsidRPr="0082218E" w:rsidRDefault="001C6D28" w:rsidP="001C6D28">
      <w:pPr>
        <w:widowControl w:val="0"/>
        <w:rPr>
          <w:sz w:val="28"/>
          <w:szCs w:val="28"/>
          <w:lang w:val="uk-UA"/>
        </w:rPr>
      </w:pPr>
      <w:r w:rsidRPr="0082218E">
        <w:rPr>
          <w:sz w:val="28"/>
          <w:szCs w:val="28"/>
          <w:lang w:val="uk-UA"/>
        </w:rPr>
        <w:tab/>
        <w:t>Виконавцем заходів з відстеження буде Мінфін та/або ДФС.</w:t>
      </w:r>
    </w:p>
    <w:p w:rsidR="001C6D28" w:rsidRDefault="001C6D28" w:rsidP="001C6D28">
      <w:pPr>
        <w:widowControl w:val="0"/>
        <w:rPr>
          <w:sz w:val="28"/>
          <w:szCs w:val="28"/>
          <w:lang w:val="uk-UA"/>
        </w:rPr>
      </w:pPr>
    </w:p>
    <w:p w:rsidR="009338C1" w:rsidRDefault="009338C1" w:rsidP="001C6D28">
      <w:pPr>
        <w:widowControl w:val="0"/>
        <w:rPr>
          <w:sz w:val="28"/>
          <w:szCs w:val="28"/>
          <w:lang w:val="uk-UA"/>
        </w:rPr>
      </w:pPr>
    </w:p>
    <w:p w:rsidR="009338C1" w:rsidRPr="0082218E" w:rsidRDefault="009338C1" w:rsidP="001C6D28">
      <w:pPr>
        <w:widowControl w:val="0"/>
        <w:rPr>
          <w:sz w:val="28"/>
          <w:szCs w:val="28"/>
          <w:lang w:val="uk-UA"/>
        </w:rPr>
      </w:pPr>
    </w:p>
    <w:p w:rsidR="001C6D28" w:rsidRPr="0082218E" w:rsidRDefault="001C6D28" w:rsidP="001C6D28">
      <w:pPr>
        <w:widowControl w:val="0"/>
        <w:autoSpaceDE w:val="0"/>
        <w:autoSpaceDN w:val="0"/>
        <w:jc w:val="both"/>
        <w:rPr>
          <w:b/>
          <w:bCs/>
          <w:sz w:val="28"/>
          <w:szCs w:val="28"/>
          <w:lang w:val="uk-UA"/>
        </w:rPr>
      </w:pPr>
      <w:r w:rsidRPr="0082218E">
        <w:rPr>
          <w:b/>
          <w:bCs/>
          <w:sz w:val="28"/>
          <w:szCs w:val="28"/>
          <w:lang w:val="uk-UA"/>
        </w:rPr>
        <w:t>Заступник Міністра</w:t>
      </w:r>
    </w:p>
    <w:p w:rsidR="001C6D28" w:rsidRPr="0082218E" w:rsidRDefault="001C6D28" w:rsidP="001C6D28">
      <w:pPr>
        <w:widowControl w:val="0"/>
        <w:autoSpaceDE w:val="0"/>
        <w:autoSpaceDN w:val="0"/>
        <w:jc w:val="both"/>
        <w:rPr>
          <w:b/>
          <w:bCs/>
          <w:sz w:val="28"/>
          <w:szCs w:val="28"/>
          <w:lang w:val="uk-UA"/>
        </w:rPr>
      </w:pPr>
      <w:r w:rsidRPr="0082218E">
        <w:rPr>
          <w:b/>
          <w:bCs/>
          <w:sz w:val="28"/>
          <w:szCs w:val="28"/>
          <w:lang w:val="uk-UA"/>
        </w:rPr>
        <w:t>фінансів України –</w:t>
      </w:r>
    </w:p>
    <w:p w:rsidR="001C6D28" w:rsidRPr="0082218E" w:rsidRDefault="001C6D28" w:rsidP="001C6D28">
      <w:pPr>
        <w:widowControl w:val="0"/>
        <w:autoSpaceDE w:val="0"/>
        <w:autoSpaceDN w:val="0"/>
        <w:jc w:val="both"/>
        <w:rPr>
          <w:b/>
          <w:bCs/>
          <w:sz w:val="28"/>
          <w:szCs w:val="28"/>
          <w:lang w:val="uk-UA"/>
        </w:rPr>
      </w:pPr>
      <w:r w:rsidRPr="0082218E">
        <w:rPr>
          <w:b/>
          <w:bCs/>
          <w:sz w:val="28"/>
          <w:szCs w:val="28"/>
          <w:lang w:val="uk-UA"/>
        </w:rPr>
        <w:t xml:space="preserve">керівник апарату </w:t>
      </w:r>
      <w:r w:rsidRPr="0082218E">
        <w:rPr>
          <w:b/>
          <w:bCs/>
          <w:sz w:val="28"/>
          <w:szCs w:val="28"/>
          <w:lang w:val="uk-UA"/>
        </w:rPr>
        <w:tab/>
      </w:r>
      <w:r w:rsidRPr="0082218E">
        <w:rPr>
          <w:b/>
          <w:bCs/>
          <w:sz w:val="28"/>
          <w:szCs w:val="28"/>
          <w:lang w:val="uk-UA"/>
        </w:rPr>
        <w:tab/>
      </w:r>
      <w:r w:rsidRPr="0082218E">
        <w:rPr>
          <w:b/>
          <w:bCs/>
          <w:sz w:val="28"/>
          <w:szCs w:val="28"/>
          <w:lang w:val="uk-UA"/>
        </w:rPr>
        <w:tab/>
      </w:r>
      <w:r w:rsidRPr="0082218E">
        <w:rPr>
          <w:b/>
          <w:bCs/>
          <w:sz w:val="28"/>
          <w:szCs w:val="28"/>
          <w:lang w:val="uk-UA"/>
        </w:rPr>
        <w:tab/>
      </w:r>
      <w:r w:rsidRPr="0082218E">
        <w:rPr>
          <w:b/>
          <w:bCs/>
          <w:sz w:val="28"/>
          <w:szCs w:val="28"/>
          <w:lang w:val="uk-UA"/>
        </w:rPr>
        <w:tab/>
      </w:r>
      <w:r w:rsidRPr="0082218E">
        <w:rPr>
          <w:b/>
          <w:bCs/>
          <w:sz w:val="28"/>
          <w:szCs w:val="28"/>
          <w:lang w:val="uk-UA"/>
        </w:rPr>
        <w:tab/>
      </w:r>
      <w:r w:rsidRPr="0082218E">
        <w:rPr>
          <w:b/>
          <w:bCs/>
          <w:sz w:val="28"/>
          <w:szCs w:val="28"/>
          <w:lang w:val="uk-UA"/>
        </w:rPr>
        <w:tab/>
      </w:r>
      <w:r w:rsidRPr="0082218E">
        <w:rPr>
          <w:b/>
          <w:bCs/>
          <w:sz w:val="28"/>
          <w:szCs w:val="28"/>
          <w:lang w:val="uk-UA"/>
        </w:rPr>
        <w:tab/>
        <w:t xml:space="preserve">  Є. КАПІНУС</w:t>
      </w:r>
    </w:p>
    <w:p w:rsidR="001C6D28" w:rsidRPr="0082218E" w:rsidRDefault="001C6D28" w:rsidP="001C6D28">
      <w:pPr>
        <w:widowControl w:val="0"/>
        <w:autoSpaceDE w:val="0"/>
        <w:autoSpaceDN w:val="0"/>
        <w:jc w:val="both"/>
        <w:rPr>
          <w:b/>
          <w:bCs/>
          <w:sz w:val="28"/>
          <w:szCs w:val="28"/>
          <w:lang w:val="uk-UA"/>
        </w:rPr>
      </w:pPr>
    </w:p>
    <w:p w:rsidR="001C6D28" w:rsidRPr="0082218E" w:rsidRDefault="001C6D28" w:rsidP="001C6D28">
      <w:pPr>
        <w:widowControl w:val="0"/>
        <w:autoSpaceDE w:val="0"/>
        <w:autoSpaceDN w:val="0"/>
        <w:jc w:val="both"/>
        <w:rPr>
          <w:b/>
          <w:bCs/>
          <w:sz w:val="28"/>
          <w:szCs w:val="28"/>
          <w:lang w:val="uk-UA"/>
        </w:rPr>
      </w:pPr>
    </w:p>
    <w:p w:rsidR="009338C1" w:rsidRDefault="009338C1" w:rsidP="001C6D28">
      <w:pPr>
        <w:widowControl w:val="0"/>
        <w:autoSpaceDE w:val="0"/>
        <w:autoSpaceDN w:val="0"/>
        <w:jc w:val="both"/>
        <w:rPr>
          <w:b/>
          <w:bCs/>
          <w:sz w:val="28"/>
          <w:szCs w:val="28"/>
          <w:lang w:val="uk-UA"/>
        </w:rPr>
      </w:pPr>
    </w:p>
    <w:p w:rsidR="009338C1" w:rsidRDefault="009338C1" w:rsidP="001C6D28">
      <w:pPr>
        <w:widowControl w:val="0"/>
        <w:autoSpaceDE w:val="0"/>
        <w:autoSpaceDN w:val="0"/>
        <w:jc w:val="both"/>
        <w:rPr>
          <w:b/>
          <w:bCs/>
          <w:sz w:val="28"/>
          <w:szCs w:val="28"/>
          <w:lang w:val="uk-UA"/>
        </w:rPr>
      </w:pPr>
    </w:p>
    <w:p w:rsidR="009338C1" w:rsidRDefault="009338C1" w:rsidP="001C6D28">
      <w:pPr>
        <w:widowControl w:val="0"/>
        <w:autoSpaceDE w:val="0"/>
        <w:autoSpaceDN w:val="0"/>
        <w:jc w:val="both"/>
        <w:rPr>
          <w:b/>
          <w:bCs/>
          <w:sz w:val="28"/>
          <w:szCs w:val="28"/>
          <w:lang w:val="uk-UA"/>
        </w:rPr>
      </w:pPr>
    </w:p>
    <w:p w:rsidR="009338C1" w:rsidRPr="0082218E" w:rsidRDefault="009338C1" w:rsidP="001C6D28">
      <w:pPr>
        <w:widowControl w:val="0"/>
        <w:autoSpaceDE w:val="0"/>
        <w:autoSpaceDN w:val="0"/>
        <w:jc w:val="both"/>
        <w:rPr>
          <w:b/>
          <w:bCs/>
          <w:sz w:val="28"/>
          <w:szCs w:val="28"/>
          <w:lang w:val="uk-UA"/>
        </w:rPr>
      </w:pPr>
    </w:p>
    <w:p w:rsidR="00877668" w:rsidRDefault="001C6D28" w:rsidP="001C6D28">
      <w:pPr>
        <w:widowControl w:val="0"/>
        <w:autoSpaceDE w:val="0"/>
        <w:autoSpaceDN w:val="0"/>
        <w:jc w:val="both"/>
        <w:rPr>
          <w:bCs/>
          <w:sz w:val="20"/>
          <w:szCs w:val="20"/>
          <w:lang w:val="uk-UA"/>
        </w:rPr>
      </w:pPr>
      <w:r w:rsidRPr="0082218E">
        <w:rPr>
          <w:b/>
          <w:bCs/>
          <w:sz w:val="20"/>
          <w:szCs w:val="20"/>
          <w:lang w:val="uk-UA"/>
        </w:rPr>
        <w:t xml:space="preserve">  </w:t>
      </w:r>
      <w:r w:rsidRPr="0082218E">
        <w:rPr>
          <w:bCs/>
          <w:sz w:val="20"/>
          <w:szCs w:val="20"/>
          <w:lang w:val="uk-UA"/>
        </w:rPr>
        <w:t>Колєйніков 277-53-</w:t>
      </w:r>
      <w:r w:rsidR="009338C1">
        <w:rPr>
          <w:bCs/>
          <w:sz w:val="20"/>
          <w:szCs w:val="20"/>
          <w:lang w:val="uk-UA"/>
        </w:rPr>
        <w:t>57</w:t>
      </w:r>
    </w:p>
    <w:p w:rsidR="00330F39" w:rsidRPr="0082218E" w:rsidRDefault="00330F39" w:rsidP="001C6D28">
      <w:pPr>
        <w:widowControl w:val="0"/>
        <w:autoSpaceDE w:val="0"/>
        <w:autoSpaceDN w:val="0"/>
        <w:jc w:val="both"/>
        <w:rPr>
          <w:bCs/>
          <w:sz w:val="20"/>
          <w:szCs w:val="20"/>
          <w:lang w:val="uk-UA"/>
        </w:rPr>
      </w:pPr>
    </w:p>
    <w:p w:rsidR="00A51688" w:rsidRDefault="00A51688" w:rsidP="00A51688">
      <w:pPr>
        <w:pStyle w:val="rvps12"/>
        <w:spacing w:before="0" w:beforeAutospacing="0" w:after="0" w:afterAutospacing="0"/>
        <w:jc w:val="right"/>
        <w:textAlignment w:val="baseline"/>
        <w:rPr>
          <w:rStyle w:val="rvts15"/>
          <w:b/>
          <w:bCs/>
          <w:sz w:val="28"/>
          <w:szCs w:val="28"/>
          <w:bdr w:val="none" w:sz="0" w:space="0" w:color="auto" w:frame="1"/>
        </w:rPr>
      </w:pPr>
      <w:r>
        <w:rPr>
          <w:rStyle w:val="rvts15"/>
          <w:b/>
          <w:bCs/>
          <w:sz w:val="28"/>
          <w:szCs w:val="28"/>
          <w:bdr w:val="none" w:sz="0" w:space="0" w:color="auto" w:frame="1"/>
        </w:rPr>
        <w:lastRenderedPageBreak/>
        <w:t>Додаток 1</w:t>
      </w:r>
    </w:p>
    <w:p w:rsidR="00A51688" w:rsidRDefault="00A51688" w:rsidP="00A51688">
      <w:pPr>
        <w:pStyle w:val="rvps12"/>
        <w:spacing w:before="0" w:beforeAutospacing="0" w:after="0" w:afterAutospacing="0"/>
        <w:jc w:val="center"/>
        <w:textAlignment w:val="baseline"/>
        <w:rPr>
          <w:rStyle w:val="rvts15"/>
          <w:b/>
          <w:bCs/>
          <w:sz w:val="28"/>
          <w:szCs w:val="28"/>
          <w:bdr w:val="none" w:sz="0" w:space="0" w:color="auto" w:frame="1"/>
        </w:rPr>
      </w:pPr>
      <w:r>
        <w:rPr>
          <w:rStyle w:val="rvts15"/>
          <w:b/>
          <w:bCs/>
          <w:sz w:val="28"/>
          <w:szCs w:val="28"/>
          <w:bdr w:val="none" w:sz="0" w:space="0" w:color="auto" w:frame="1"/>
        </w:rPr>
        <w:t>ВИТРАТИ</w:t>
      </w:r>
      <w:r>
        <w:rPr>
          <w:rStyle w:val="apple-converted-space"/>
          <w:b/>
          <w:bCs/>
          <w:sz w:val="28"/>
          <w:szCs w:val="28"/>
          <w:bdr w:val="none" w:sz="0" w:space="0" w:color="auto" w:frame="1"/>
        </w:rPr>
        <w:t> </w:t>
      </w:r>
      <w:r>
        <w:rPr>
          <w:sz w:val="28"/>
          <w:szCs w:val="28"/>
        </w:rPr>
        <w:br/>
      </w:r>
      <w:r>
        <w:rPr>
          <w:rStyle w:val="rvts15"/>
          <w:b/>
          <w:bCs/>
          <w:sz w:val="28"/>
          <w:szCs w:val="28"/>
          <w:bdr w:val="none" w:sz="0" w:space="0" w:color="auto" w:frame="1"/>
        </w:rPr>
        <w:t>на одного суб’єкта господарювання великого і середнього підприємництва, які виникають внаслідок дії регуляторного акта (Альтернатива 1)</w:t>
      </w:r>
    </w:p>
    <w:p w:rsidR="00A51688" w:rsidRDefault="00A51688" w:rsidP="00A51688">
      <w:pPr>
        <w:pStyle w:val="rvps12"/>
        <w:spacing w:before="0" w:beforeAutospacing="0" w:after="0" w:afterAutospacing="0"/>
        <w:jc w:val="center"/>
        <w:textAlignment w:val="baseline"/>
        <w:rPr>
          <w:sz w:val="28"/>
          <w:szCs w:val="28"/>
        </w:rPr>
      </w:pP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72"/>
        <w:gridCol w:w="5942"/>
        <w:gridCol w:w="1117"/>
        <w:gridCol w:w="1118"/>
      </w:tblGrid>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2"/>
              <w:spacing w:before="150" w:beforeAutospacing="0" w:after="150" w:afterAutospacing="0"/>
              <w:jc w:val="center"/>
              <w:textAlignment w:val="baseline"/>
              <w:rPr>
                <w:sz w:val="28"/>
                <w:szCs w:val="28"/>
              </w:rPr>
            </w:pPr>
            <w:bookmarkStart w:id="5" w:name="n178"/>
            <w:bookmarkEnd w:id="5"/>
            <w:r w:rsidRPr="003F379B">
              <w:rPr>
                <w:sz w:val="28"/>
                <w:szCs w:val="28"/>
              </w:rPr>
              <w:t>Порядковий номер</w:t>
            </w:r>
          </w:p>
        </w:tc>
        <w:tc>
          <w:tcPr>
            <w:tcW w:w="31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Витрати</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За перший рік</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За п’ять років</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1</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2</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Податки та збори (зміна розміру податків/зборів, виникнення необхідності у сплаті податків/зборів), гривень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3</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Витрати, пов’язані із веденням обліку, підготовкою та поданням звітності державним органам.</w:t>
            </w:r>
          </w:p>
          <w:p w:rsidR="00A51688" w:rsidRPr="003F379B" w:rsidRDefault="00A51688" w:rsidP="00461F01">
            <w:pPr>
              <w:pStyle w:val="rvps14"/>
              <w:spacing w:before="150" w:beforeAutospacing="0" w:after="150" w:afterAutospacing="0"/>
              <w:textAlignment w:val="baseline"/>
              <w:rPr>
                <w:i/>
                <w:sz w:val="28"/>
                <w:szCs w:val="28"/>
              </w:rPr>
            </w:pPr>
            <w:r w:rsidRPr="003F379B">
              <w:rPr>
                <w:i/>
                <w:sz w:val="28"/>
                <w:szCs w:val="28"/>
              </w:rPr>
              <w:t>Розрахунок:</w:t>
            </w:r>
          </w:p>
          <w:p w:rsidR="00A51688" w:rsidRPr="003F379B" w:rsidRDefault="00A51688" w:rsidP="00461F01">
            <w:pPr>
              <w:pStyle w:val="rvps14"/>
              <w:spacing w:before="150" w:beforeAutospacing="0" w:after="150" w:afterAutospacing="0"/>
              <w:textAlignment w:val="baseline"/>
              <w:rPr>
                <w:i/>
                <w:sz w:val="28"/>
                <w:szCs w:val="28"/>
              </w:rPr>
            </w:pPr>
            <w:r w:rsidRPr="003F379B">
              <w:rPr>
                <w:i/>
                <w:sz w:val="28"/>
                <w:szCs w:val="28"/>
              </w:rPr>
              <w:t>Щотижневий звіт про переміщуваний природний газ через митний кордон України на підставі показників приладів обліку, у тому числі розташованих за межами митної території України – 680,37 грн./міс.</w:t>
            </w:r>
          </w:p>
          <w:p w:rsidR="00A51688" w:rsidRPr="003F379B" w:rsidRDefault="00A51688" w:rsidP="00461F01">
            <w:pPr>
              <w:pStyle w:val="rvps14"/>
              <w:spacing w:before="150" w:beforeAutospacing="0" w:after="150" w:afterAutospacing="0"/>
              <w:textAlignment w:val="baseline"/>
              <w:rPr>
                <w:i/>
                <w:sz w:val="28"/>
                <w:szCs w:val="28"/>
              </w:rPr>
            </w:pPr>
            <w:r w:rsidRPr="003F379B">
              <w:rPr>
                <w:i/>
                <w:sz w:val="28"/>
                <w:szCs w:val="28"/>
              </w:rPr>
              <w:t>Щомісячний Реєстр обсягів природного газу, який  зберігається в газосховищах Товариства – 135,24 грн./міс.</w:t>
            </w:r>
          </w:p>
          <w:p w:rsidR="00A51688" w:rsidRPr="003F379B" w:rsidRDefault="00A51688" w:rsidP="00461F01">
            <w:pPr>
              <w:pStyle w:val="rvps14"/>
              <w:spacing w:before="150" w:beforeAutospacing="0" w:after="150" w:afterAutospacing="0"/>
              <w:textAlignment w:val="baseline"/>
              <w:rPr>
                <w:i/>
                <w:sz w:val="28"/>
                <w:szCs w:val="28"/>
              </w:rPr>
            </w:pPr>
            <w:r w:rsidRPr="003F379B">
              <w:rPr>
                <w:i/>
                <w:sz w:val="28"/>
                <w:szCs w:val="28"/>
              </w:rPr>
              <w:t xml:space="preserve">Щомісячна довідка до загального акту приймання-передачі газу між перевізниками з </w:t>
            </w:r>
            <w:proofErr w:type="spellStart"/>
            <w:r w:rsidRPr="003F379B">
              <w:rPr>
                <w:i/>
                <w:sz w:val="28"/>
                <w:szCs w:val="28"/>
              </w:rPr>
              <w:t>розшифровкою</w:t>
            </w:r>
            <w:proofErr w:type="spellEnd"/>
            <w:r w:rsidRPr="003F379B">
              <w:rPr>
                <w:i/>
                <w:sz w:val="28"/>
                <w:szCs w:val="28"/>
              </w:rPr>
              <w:t xml:space="preserve"> </w:t>
            </w:r>
            <w:proofErr w:type="spellStart"/>
            <w:r w:rsidRPr="003F379B">
              <w:rPr>
                <w:i/>
                <w:sz w:val="28"/>
                <w:szCs w:val="28"/>
              </w:rPr>
              <w:t>шипер-кодів</w:t>
            </w:r>
            <w:proofErr w:type="spellEnd"/>
            <w:r w:rsidRPr="003F379B">
              <w:rPr>
                <w:i/>
                <w:sz w:val="28"/>
                <w:szCs w:val="28"/>
              </w:rPr>
              <w:t>, довідка оформлюється окремо по 3-х точках підключення – 263,32 грн./міс.</w:t>
            </w:r>
          </w:p>
          <w:p w:rsidR="00A51688" w:rsidRPr="003F379B" w:rsidRDefault="00A51688" w:rsidP="00461F01">
            <w:pPr>
              <w:pStyle w:val="rvps14"/>
              <w:spacing w:before="150" w:beforeAutospacing="0" w:after="150" w:afterAutospacing="0"/>
              <w:textAlignment w:val="baseline"/>
              <w:rPr>
                <w:sz w:val="28"/>
                <w:szCs w:val="28"/>
              </w:rPr>
            </w:pPr>
            <w:r w:rsidRPr="003F379B">
              <w:rPr>
                <w:i/>
                <w:sz w:val="28"/>
                <w:szCs w:val="28"/>
              </w:rPr>
              <w:t>(680,37 + 135,24 + 263,32) х 12 = 12 947,16</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rPr>
            </w:pPr>
            <w:r w:rsidRPr="003F379B">
              <w:rPr>
                <w:sz w:val="28"/>
                <w:szCs w:val="28"/>
              </w:rPr>
              <w:t>13 000</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rPr>
            </w:pPr>
            <w:r w:rsidRPr="003F379B">
              <w:rPr>
                <w:sz w:val="28"/>
                <w:szCs w:val="28"/>
              </w:rPr>
              <w:t>65</w:t>
            </w:r>
            <w:r w:rsidRPr="003F379B">
              <w:rPr>
                <w:sz w:val="28"/>
                <w:szCs w:val="28"/>
                <w:lang w:val="en-US"/>
              </w:rPr>
              <w:t> </w:t>
            </w:r>
            <w:r w:rsidRPr="003F379B">
              <w:rPr>
                <w:sz w:val="28"/>
                <w:szCs w:val="28"/>
              </w:rPr>
              <w:t>000</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4</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5</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 xml:space="preserve">Витрати на отримання адміністративних послуг (дозволів, ліцензій, сертифікатів, атестатів, </w:t>
            </w:r>
            <w:r w:rsidRPr="003F379B">
              <w:rPr>
                <w:sz w:val="28"/>
                <w:szCs w:val="28"/>
              </w:rPr>
              <w:lastRenderedPageBreak/>
              <w:t>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lastRenderedPageBreak/>
              <w:t>-</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lastRenderedPageBreak/>
              <w:t>6</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Витрати на оборотні активи (матеріали, канцелярські товари тощо), гривень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7</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Витрати, пов’язані із наймом додаткового персоналу, гривень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8</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Інше (уточнити), гривень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lang w:val="en-US"/>
              </w:rPr>
              <w:t>-</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9</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РАЗОМ (сума рядків: 1 + 2 + 3 + 4 + 5 + 6 + 7 + 8), гривень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rPr>
            </w:pPr>
            <w:r w:rsidRPr="003F379B">
              <w:rPr>
                <w:sz w:val="28"/>
                <w:szCs w:val="28"/>
              </w:rPr>
              <w:t>13 000</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rPr>
            </w:pPr>
            <w:r w:rsidRPr="003F379B">
              <w:rPr>
                <w:sz w:val="28"/>
                <w:szCs w:val="28"/>
              </w:rPr>
              <w:t>65 000</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10</w:t>
            </w:r>
          </w:p>
        </w:tc>
        <w:tc>
          <w:tcPr>
            <w:tcW w:w="3112" w:type="pct"/>
            <w:tcBorders>
              <w:top w:val="single" w:sz="4" w:space="0" w:color="auto"/>
              <w:left w:val="single" w:sz="4" w:space="0" w:color="auto"/>
              <w:bottom w:val="single" w:sz="4" w:space="0" w:color="auto"/>
              <w:right w:val="single" w:sz="4" w:space="0" w:color="auto"/>
            </w:tcBorders>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Кількість суб’єктів господарювання великого та середнього підприємництва, на яких буде поширено регулювання, одиниць</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rPr>
            </w:pPr>
            <w:r w:rsidRPr="003F379B">
              <w:rPr>
                <w:sz w:val="28"/>
                <w:szCs w:val="28"/>
              </w:rPr>
              <w:t>1</w:t>
            </w:r>
          </w:p>
        </w:tc>
        <w:tc>
          <w:tcPr>
            <w:tcW w:w="612" w:type="pct"/>
            <w:tcBorders>
              <w:top w:val="single" w:sz="4" w:space="0" w:color="auto"/>
              <w:left w:val="single" w:sz="4" w:space="0" w:color="auto"/>
              <w:bottom w:val="single" w:sz="4" w:space="0" w:color="auto"/>
              <w:right w:val="single" w:sz="4" w:space="0" w:color="auto"/>
            </w:tcBorders>
            <w:vAlign w:val="center"/>
            <w:hideMark/>
          </w:tcPr>
          <w:p w:rsidR="00A51688" w:rsidRPr="003F379B" w:rsidRDefault="00A51688" w:rsidP="00461F01">
            <w:pPr>
              <w:pStyle w:val="rvps14"/>
              <w:spacing w:before="150" w:beforeAutospacing="0" w:after="150" w:afterAutospacing="0"/>
              <w:jc w:val="center"/>
              <w:textAlignment w:val="baseline"/>
              <w:rPr>
                <w:sz w:val="28"/>
                <w:szCs w:val="28"/>
                <w:lang w:val="en-US"/>
              </w:rPr>
            </w:pPr>
            <w:r w:rsidRPr="003F379B">
              <w:rPr>
                <w:sz w:val="28"/>
                <w:szCs w:val="28"/>
              </w:rPr>
              <w:t>1</w:t>
            </w:r>
          </w:p>
        </w:tc>
      </w:tr>
      <w:tr w:rsidR="00A51688" w:rsidRPr="003F379B" w:rsidTr="00461F01">
        <w:trPr>
          <w:jc w:val="center"/>
        </w:trPr>
        <w:tc>
          <w:tcPr>
            <w:tcW w:w="664" w:type="pct"/>
            <w:tcBorders>
              <w:top w:val="single" w:sz="4" w:space="0" w:color="auto"/>
              <w:left w:val="single" w:sz="4" w:space="0" w:color="auto"/>
              <w:bottom w:val="single" w:sz="4" w:space="0" w:color="auto"/>
              <w:right w:val="single" w:sz="4" w:space="0" w:color="auto"/>
            </w:tcBorders>
            <w:shd w:val="clear" w:color="auto" w:fill="FFFFFF"/>
            <w:hideMark/>
          </w:tcPr>
          <w:p w:rsidR="00A51688" w:rsidRPr="003F379B" w:rsidRDefault="00A51688" w:rsidP="00461F01">
            <w:pPr>
              <w:pStyle w:val="rvps12"/>
              <w:spacing w:before="150" w:beforeAutospacing="0" w:after="150" w:afterAutospacing="0"/>
              <w:jc w:val="center"/>
              <w:textAlignment w:val="baseline"/>
              <w:rPr>
                <w:sz w:val="28"/>
                <w:szCs w:val="28"/>
              </w:rPr>
            </w:pPr>
            <w:r w:rsidRPr="003F379B">
              <w:rPr>
                <w:sz w:val="28"/>
                <w:szCs w:val="28"/>
              </w:rPr>
              <w:t>11</w:t>
            </w:r>
          </w:p>
        </w:tc>
        <w:tc>
          <w:tcPr>
            <w:tcW w:w="3112" w:type="pct"/>
            <w:tcBorders>
              <w:top w:val="single" w:sz="4" w:space="0" w:color="auto"/>
              <w:left w:val="single" w:sz="4" w:space="0" w:color="auto"/>
              <w:bottom w:val="single" w:sz="4" w:space="0" w:color="auto"/>
              <w:right w:val="single" w:sz="4" w:space="0" w:color="auto"/>
            </w:tcBorders>
            <w:shd w:val="clear" w:color="auto" w:fill="FFFFFF"/>
            <w:hideMark/>
          </w:tcPr>
          <w:p w:rsidR="00A51688" w:rsidRPr="003F379B" w:rsidRDefault="00A51688" w:rsidP="00461F01">
            <w:pPr>
              <w:pStyle w:val="rvps14"/>
              <w:spacing w:before="150" w:beforeAutospacing="0" w:after="150" w:afterAutospacing="0"/>
              <w:textAlignment w:val="baseline"/>
              <w:rPr>
                <w:sz w:val="28"/>
                <w:szCs w:val="28"/>
              </w:rPr>
            </w:pPr>
            <w:r w:rsidRPr="003F379B">
              <w:rPr>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51688" w:rsidRPr="003F379B" w:rsidRDefault="00A51688" w:rsidP="00461F01">
            <w:pPr>
              <w:pStyle w:val="rvps14"/>
              <w:spacing w:before="150" w:beforeAutospacing="0" w:after="150" w:afterAutospacing="0"/>
              <w:jc w:val="center"/>
              <w:textAlignment w:val="baseline"/>
              <w:rPr>
                <w:sz w:val="28"/>
                <w:szCs w:val="28"/>
              </w:rPr>
            </w:pPr>
            <w:r w:rsidRPr="003F379B">
              <w:rPr>
                <w:sz w:val="28"/>
                <w:szCs w:val="28"/>
              </w:rPr>
              <w:t>13 000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51688" w:rsidRPr="003F379B" w:rsidRDefault="00A51688" w:rsidP="00461F01">
            <w:pPr>
              <w:jc w:val="center"/>
              <w:rPr>
                <w:sz w:val="28"/>
                <w:szCs w:val="28"/>
                <w:lang w:val="uk-UA"/>
              </w:rPr>
            </w:pPr>
            <w:r w:rsidRPr="003F379B">
              <w:rPr>
                <w:sz w:val="28"/>
                <w:szCs w:val="28"/>
              </w:rPr>
              <w:t>65 000</w:t>
            </w:r>
          </w:p>
        </w:tc>
      </w:tr>
    </w:tbl>
    <w:p w:rsidR="00A51688" w:rsidRPr="003F379B" w:rsidRDefault="00A51688" w:rsidP="00A51688">
      <w:pPr>
        <w:pStyle w:val="3"/>
        <w:widowControl w:val="0"/>
        <w:spacing w:before="0" w:beforeAutospacing="0" w:after="0" w:afterAutospacing="0"/>
        <w:rPr>
          <w:b w:val="0"/>
          <w:sz w:val="28"/>
          <w:szCs w:val="28"/>
          <w:lang w:val="uk-UA"/>
        </w:rPr>
      </w:pPr>
    </w:p>
    <w:p w:rsidR="00A51688" w:rsidRPr="003F379B" w:rsidRDefault="00A51688" w:rsidP="00A51688">
      <w:pPr>
        <w:rPr>
          <w:sz w:val="28"/>
          <w:szCs w:val="28"/>
        </w:rPr>
      </w:pPr>
    </w:p>
    <w:p w:rsidR="00877668" w:rsidRPr="0082218E" w:rsidRDefault="00877668" w:rsidP="001C6D28">
      <w:pPr>
        <w:widowControl w:val="0"/>
        <w:autoSpaceDE w:val="0"/>
        <w:autoSpaceDN w:val="0"/>
        <w:jc w:val="both"/>
        <w:rPr>
          <w:bCs/>
          <w:sz w:val="20"/>
          <w:szCs w:val="20"/>
          <w:lang w:val="uk-UA"/>
        </w:rPr>
      </w:pPr>
    </w:p>
    <w:p w:rsidR="00877668" w:rsidRPr="0082218E" w:rsidRDefault="00877668" w:rsidP="001C6D28">
      <w:pPr>
        <w:widowControl w:val="0"/>
        <w:autoSpaceDE w:val="0"/>
        <w:autoSpaceDN w:val="0"/>
        <w:jc w:val="both"/>
        <w:rPr>
          <w:bCs/>
          <w:sz w:val="20"/>
          <w:szCs w:val="20"/>
          <w:lang w:val="uk-UA"/>
        </w:rPr>
      </w:pPr>
    </w:p>
    <w:p w:rsidR="00877668" w:rsidRPr="0082218E" w:rsidRDefault="00877668" w:rsidP="001C6D28">
      <w:pPr>
        <w:widowControl w:val="0"/>
        <w:autoSpaceDE w:val="0"/>
        <w:autoSpaceDN w:val="0"/>
        <w:jc w:val="both"/>
        <w:rPr>
          <w:bCs/>
          <w:sz w:val="20"/>
          <w:szCs w:val="20"/>
          <w:lang w:val="uk-UA"/>
        </w:rPr>
      </w:pPr>
    </w:p>
    <w:p w:rsidR="00877668" w:rsidRPr="0082218E" w:rsidRDefault="00877668" w:rsidP="001C6D28">
      <w:pPr>
        <w:widowControl w:val="0"/>
        <w:autoSpaceDE w:val="0"/>
        <w:autoSpaceDN w:val="0"/>
        <w:jc w:val="both"/>
        <w:rPr>
          <w:bCs/>
          <w:sz w:val="20"/>
          <w:szCs w:val="20"/>
          <w:lang w:val="uk-UA"/>
        </w:rPr>
      </w:pPr>
    </w:p>
    <w:p w:rsidR="00877668" w:rsidRPr="0082218E" w:rsidRDefault="00877668" w:rsidP="001C6D28">
      <w:pPr>
        <w:widowControl w:val="0"/>
        <w:autoSpaceDE w:val="0"/>
        <w:autoSpaceDN w:val="0"/>
        <w:jc w:val="both"/>
        <w:rPr>
          <w:bCs/>
          <w:sz w:val="20"/>
          <w:szCs w:val="20"/>
          <w:lang w:val="uk-UA"/>
        </w:rPr>
      </w:pPr>
    </w:p>
    <w:p w:rsidR="00877668" w:rsidRPr="0082218E" w:rsidRDefault="00877668" w:rsidP="001C6D28">
      <w:pPr>
        <w:widowControl w:val="0"/>
        <w:autoSpaceDE w:val="0"/>
        <w:autoSpaceDN w:val="0"/>
        <w:jc w:val="both"/>
        <w:rPr>
          <w:bCs/>
          <w:sz w:val="20"/>
          <w:szCs w:val="20"/>
          <w:lang w:val="uk-UA"/>
        </w:rPr>
      </w:pPr>
    </w:p>
    <w:p w:rsidR="00877668" w:rsidRDefault="00877668"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Default="00330F39" w:rsidP="001C6D28">
      <w:pPr>
        <w:widowControl w:val="0"/>
        <w:autoSpaceDE w:val="0"/>
        <w:autoSpaceDN w:val="0"/>
        <w:jc w:val="both"/>
        <w:rPr>
          <w:bCs/>
          <w:sz w:val="20"/>
          <w:szCs w:val="20"/>
          <w:lang w:val="uk-UA"/>
        </w:rPr>
      </w:pPr>
    </w:p>
    <w:p w:rsidR="00330F39" w:rsidRPr="00330F39" w:rsidRDefault="00330F39" w:rsidP="00330F39">
      <w:pPr>
        <w:ind w:firstLine="567"/>
        <w:jc w:val="right"/>
        <w:rPr>
          <w:b/>
          <w:sz w:val="28"/>
          <w:szCs w:val="28"/>
          <w:lang w:val="uk-UA"/>
        </w:rPr>
      </w:pPr>
      <w:r w:rsidRPr="00330F39">
        <w:rPr>
          <w:b/>
          <w:sz w:val="28"/>
          <w:szCs w:val="28"/>
          <w:lang w:val="uk-UA"/>
        </w:rPr>
        <w:lastRenderedPageBreak/>
        <w:t>Додаток 2</w:t>
      </w:r>
    </w:p>
    <w:p w:rsidR="00330F39" w:rsidRPr="00330F39" w:rsidRDefault="00330F39" w:rsidP="00330F39">
      <w:pPr>
        <w:ind w:firstLine="567"/>
        <w:jc w:val="center"/>
        <w:rPr>
          <w:b/>
          <w:sz w:val="28"/>
          <w:szCs w:val="28"/>
        </w:rPr>
      </w:pPr>
      <w:proofErr w:type="spellStart"/>
      <w:r w:rsidRPr="00330F39">
        <w:rPr>
          <w:b/>
          <w:sz w:val="28"/>
          <w:szCs w:val="28"/>
        </w:rPr>
        <w:t>Інформаційно</w:t>
      </w:r>
      <w:proofErr w:type="spellEnd"/>
      <w:r w:rsidRPr="00330F39">
        <w:rPr>
          <w:b/>
          <w:sz w:val="28"/>
          <w:szCs w:val="28"/>
        </w:rPr>
        <w:t xml:space="preserve"> – </w:t>
      </w:r>
      <w:proofErr w:type="spellStart"/>
      <w:r w:rsidRPr="00330F39">
        <w:rPr>
          <w:b/>
          <w:sz w:val="28"/>
          <w:szCs w:val="28"/>
        </w:rPr>
        <w:t>аналітична</w:t>
      </w:r>
      <w:proofErr w:type="spellEnd"/>
      <w:r w:rsidRPr="00330F39">
        <w:rPr>
          <w:b/>
          <w:sz w:val="28"/>
          <w:szCs w:val="28"/>
        </w:rPr>
        <w:t xml:space="preserve"> </w:t>
      </w:r>
      <w:proofErr w:type="spellStart"/>
      <w:r w:rsidRPr="00330F39">
        <w:rPr>
          <w:b/>
          <w:sz w:val="28"/>
          <w:szCs w:val="28"/>
        </w:rPr>
        <w:t>довідка</w:t>
      </w:r>
      <w:proofErr w:type="spellEnd"/>
      <w:r w:rsidRPr="00330F39">
        <w:rPr>
          <w:b/>
          <w:sz w:val="28"/>
          <w:szCs w:val="28"/>
        </w:rPr>
        <w:t xml:space="preserve"> </w:t>
      </w:r>
      <w:proofErr w:type="spellStart"/>
      <w:r w:rsidRPr="00330F39">
        <w:rPr>
          <w:b/>
          <w:sz w:val="28"/>
          <w:szCs w:val="28"/>
        </w:rPr>
        <w:t>щодо</w:t>
      </w:r>
      <w:proofErr w:type="spellEnd"/>
      <w:r w:rsidRPr="00330F39">
        <w:rPr>
          <w:b/>
          <w:sz w:val="28"/>
          <w:szCs w:val="28"/>
        </w:rPr>
        <w:t xml:space="preserve"> </w:t>
      </w:r>
      <w:proofErr w:type="spellStart"/>
      <w:r w:rsidRPr="00330F39">
        <w:rPr>
          <w:b/>
          <w:sz w:val="28"/>
          <w:szCs w:val="28"/>
        </w:rPr>
        <w:t>створення</w:t>
      </w:r>
      <w:proofErr w:type="spellEnd"/>
      <w:r w:rsidRPr="00330F39">
        <w:rPr>
          <w:b/>
          <w:sz w:val="28"/>
          <w:szCs w:val="28"/>
        </w:rPr>
        <w:t xml:space="preserve"> митного складу на </w:t>
      </w:r>
      <w:proofErr w:type="spellStart"/>
      <w:r w:rsidRPr="00330F39">
        <w:rPr>
          <w:b/>
          <w:sz w:val="28"/>
          <w:szCs w:val="28"/>
        </w:rPr>
        <w:t>базі</w:t>
      </w:r>
      <w:proofErr w:type="spellEnd"/>
      <w:r w:rsidRPr="00330F39">
        <w:rPr>
          <w:b/>
          <w:sz w:val="28"/>
          <w:szCs w:val="28"/>
        </w:rPr>
        <w:t xml:space="preserve"> ПСГ ПАТ «УКРТРАНСГАЗ» </w:t>
      </w:r>
    </w:p>
    <w:p w:rsidR="00330F39" w:rsidRPr="00330F39" w:rsidRDefault="00330F39" w:rsidP="00330F39">
      <w:pPr>
        <w:ind w:firstLine="567"/>
        <w:jc w:val="both"/>
        <w:rPr>
          <w:sz w:val="28"/>
          <w:szCs w:val="28"/>
          <w:lang w:val="uk-UA"/>
        </w:rPr>
      </w:pPr>
      <w:r w:rsidRPr="00330F39">
        <w:rPr>
          <w:sz w:val="28"/>
          <w:szCs w:val="28"/>
        </w:rPr>
        <w:t xml:space="preserve">До складу ПАТ "УКРТРАНСГАЗ" входить 12 </w:t>
      </w:r>
      <w:proofErr w:type="spellStart"/>
      <w:proofErr w:type="gramStart"/>
      <w:r w:rsidRPr="00330F39">
        <w:rPr>
          <w:sz w:val="28"/>
          <w:szCs w:val="28"/>
        </w:rPr>
        <w:t>п</w:t>
      </w:r>
      <w:proofErr w:type="gramEnd"/>
      <w:r w:rsidRPr="00330F39">
        <w:rPr>
          <w:sz w:val="28"/>
          <w:szCs w:val="28"/>
        </w:rPr>
        <w:t>ідземних</w:t>
      </w:r>
      <w:proofErr w:type="spellEnd"/>
      <w:r w:rsidRPr="00330F39">
        <w:rPr>
          <w:sz w:val="28"/>
          <w:szCs w:val="28"/>
        </w:rPr>
        <w:t xml:space="preserve"> </w:t>
      </w:r>
      <w:proofErr w:type="spellStart"/>
      <w:r w:rsidRPr="00330F39">
        <w:rPr>
          <w:sz w:val="28"/>
          <w:szCs w:val="28"/>
        </w:rPr>
        <w:t>сховищ</w:t>
      </w:r>
      <w:proofErr w:type="spellEnd"/>
      <w:r w:rsidRPr="00330F39">
        <w:rPr>
          <w:sz w:val="28"/>
          <w:szCs w:val="28"/>
        </w:rPr>
        <w:t xml:space="preserve"> газу (</w:t>
      </w:r>
      <w:proofErr w:type="spellStart"/>
      <w:r w:rsidRPr="00330F39">
        <w:rPr>
          <w:sz w:val="28"/>
          <w:szCs w:val="28"/>
        </w:rPr>
        <w:t>Більче-Волицько-Угерське</w:t>
      </w:r>
      <w:proofErr w:type="spellEnd"/>
      <w:r w:rsidRPr="00330F39">
        <w:rPr>
          <w:sz w:val="28"/>
          <w:szCs w:val="28"/>
        </w:rPr>
        <w:t xml:space="preserve">, </w:t>
      </w:r>
      <w:proofErr w:type="spellStart"/>
      <w:r w:rsidRPr="00330F39">
        <w:rPr>
          <w:sz w:val="28"/>
          <w:szCs w:val="28"/>
        </w:rPr>
        <w:t>Угерське</w:t>
      </w:r>
      <w:proofErr w:type="spellEnd"/>
      <w:r w:rsidRPr="00330F39">
        <w:rPr>
          <w:sz w:val="28"/>
          <w:szCs w:val="28"/>
        </w:rPr>
        <w:t xml:space="preserve"> </w:t>
      </w:r>
      <w:r w:rsidRPr="00330F39">
        <w:rPr>
          <w:sz w:val="28"/>
          <w:szCs w:val="28"/>
          <w:lang w:val="en-US"/>
        </w:rPr>
        <w:t>XIV</w:t>
      </w:r>
      <w:r w:rsidRPr="00330F39">
        <w:rPr>
          <w:sz w:val="28"/>
          <w:szCs w:val="28"/>
          <w:lang w:val="uk-UA"/>
        </w:rPr>
        <w:t xml:space="preserve"> – </w:t>
      </w:r>
      <w:r w:rsidRPr="00330F39">
        <w:rPr>
          <w:sz w:val="28"/>
          <w:szCs w:val="28"/>
          <w:lang w:val="en-US"/>
        </w:rPr>
        <w:t>XV</w:t>
      </w:r>
      <w:r w:rsidRPr="00330F39">
        <w:rPr>
          <w:sz w:val="28"/>
          <w:szCs w:val="28"/>
        </w:rPr>
        <w:t xml:space="preserve">, </w:t>
      </w:r>
      <w:proofErr w:type="spellStart"/>
      <w:r w:rsidRPr="00330F39">
        <w:rPr>
          <w:sz w:val="28"/>
          <w:szCs w:val="28"/>
        </w:rPr>
        <w:t>Опарське</w:t>
      </w:r>
      <w:proofErr w:type="spellEnd"/>
      <w:r w:rsidRPr="00330F39">
        <w:rPr>
          <w:sz w:val="28"/>
          <w:szCs w:val="28"/>
        </w:rPr>
        <w:t xml:space="preserve">, </w:t>
      </w:r>
      <w:proofErr w:type="spellStart"/>
      <w:r w:rsidRPr="00330F39">
        <w:rPr>
          <w:sz w:val="28"/>
          <w:szCs w:val="28"/>
        </w:rPr>
        <w:t>Дашавське</w:t>
      </w:r>
      <w:proofErr w:type="spellEnd"/>
      <w:r w:rsidRPr="00330F39">
        <w:rPr>
          <w:sz w:val="28"/>
          <w:szCs w:val="28"/>
        </w:rPr>
        <w:t xml:space="preserve">, </w:t>
      </w:r>
      <w:proofErr w:type="spellStart"/>
      <w:r w:rsidRPr="00330F39">
        <w:rPr>
          <w:sz w:val="28"/>
          <w:szCs w:val="28"/>
        </w:rPr>
        <w:t>Богородчанське</w:t>
      </w:r>
      <w:proofErr w:type="spellEnd"/>
      <w:r w:rsidRPr="00330F39">
        <w:rPr>
          <w:sz w:val="28"/>
          <w:szCs w:val="28"/>
        </w:rPr>
        <w:t xml:space="preserve">, </w:t>
      </w:r>
      <w:proofErr w:type="spellStart"/>
      <w:r w:rsidRPr="00330F39">
        <w:rPr>
          <w:sz w:val="28"/>
          <w:szCs w:val="28"/>
        </w:rPr>
        <w:t>Олишівське</w:t>
      </w:r>
      <w:proofErr w:type="spellEnd"/>
      <w:r w:rsidRPr="00330F39">
        <w:rPr>
          <w:sz w:val="28"/>
          <w:szCs w:val="28"/>
        </w:rPr>
        <w:t xml:space="preserve">, </w:t>
      </w:r>
      <w:proofErr w:type="spellStart"/>
      <w:r w:rsidRPr="00330F39">
        <w:rPr>
          <w:sz w:val="28"/>
          <w:szCs w:val="28"/>
        </w:rPr>
        <w:t>Солохівське</w:t>
      </w:r>
      <w:proofErr w:type="spellEnd"/>
      <w:r w:rsidRPr="00330F39">
        <w:rPr>
          <w:sz w:val="28"/>
          <w:szCs w:val="28"/>
        </w:rPr>
        <w:t xml:space="preserve">, </w:t>
      </w:r>
      <w:proofErr w:type="spellStart"/>
      <w:r w:rsidRPr="00330F39">
        <w:rPr>
          <w:sz w:val="28"/>
          <w:szCs w:val="28"/>
        </w:rPr>
        <w:t>Червонопартизанське</w:t>
      </w:r>
      <w:proofErr w:type="spellEnd"/>
      <w:r w:rsidRPr="00330F39">
        <w:rPr>
          <w:sz w:val="28"/>
          <w:szCs w:val="28"/>
        </w:rPr>
        <w:t xml:space="preserve">, </w:t>
      </w:r>
      <w:proofErr w:type="spellStart"/>
      <w:r w:rsidRPr="00330F39">
        <w:rPr>
          <w:sz w:val="28"/>
          <w:szCs w:val="28"/>
        </w:rPr>
        <w:t>Пролетарське</w:t>
      </w:r>
      <w:proofErr w:type="spellEnd"/>
      <w:r w:rsidRPr="00330F39">
        <w:rPr>
          <w:sz w:val="28"/>
          <w:szCs w:val="28"/>
        </w:rPr>
        <w:t xml:space="preserve">, </w:t>
      </w:r>
      <w:proofErr w:type="spellStart"/>
      <w:r w:rsidRPr="00330F39">
        <w:rPr>
          <w:sz w:val="28"/>
          <w:szCs w:val="28"/>
        </w:rPr>
        <w:t>Кегичівське</w:t>
      </w:r>
      <w:proofErr w:type="spellEnd"/>
      <w:r w:rsidRPr="00330F39">
        <w:rPr>
          <w:sz w:val="28"/>
          <w:szCs w:val="28"/>
        </w:rPr>
        <w:t xml:space="preserve">, </w:t>
      </w:r>
      <w:proofErr w:type="spellStart"/>
      <w:r w:rsidRPr="00330F39">
        <w:rPr>
          <w:sz w:val="28"/>
          <w:szCs w:val="28"/>
        </w:rPr>
        <w:t>Краснопопівське</w:t>
      </w:r>
      <w:proofErr w:type="spellEnd"/>
      <w:r w:rsidRPr="00330F39">
        <w:rPr>
          <w:sz w:val="28"/>
          <w:szCs w:val="28"/>
        </w:rPr>
        <w:t xml:space="preserve">, </w:t>
      </w:r>
      <w:proofErr w:type="spellStart"/>
      <w:r w:rsidRPr="00330F39">
        <w:rPr>
          <w:sz w:val="28"/>
          <w:szCs w:val="28"/>
        </w:rPr>
        <w:t>Вергунське</w:t>
      </w:r>
      <w:proofErr w:type="spellEnd"/>
      <w:r w:rsidRPr="00330F39">
        <w:rPr>
          <w:sz w:val="28"/>
          <w:szCs w:val="28"/>
        </w:rPr>
        <w:t xml:space="preserve">) з </w:t>
      </w:r>
      <w:proofErr w:type="spellStart"/>
      <w:r w:rsidRPr="00330F39">
        <w:rPr>
          <w:sz w:val="28"/>
          <w:szCs w:val="28"/>
        </w:rPr>
        <w:t>загальним</w:t>
      </w:r>
      <w:proofErr w:type="spellEnd"/>
      <w:r w:rsidRPr="00330F39">
        <w:rPr>
          <w:sz w:val="28"/>
          <w:szCs w:val="28"/>
        </w:rPr>
        <w:t xml:space="preserve"> </w:t>
      </w:r>
      <w:proofErr w:type="spellStart"/>
      <w:r w:rsidRPr="00330F39">
        <w:rPr>
          <w:sz w:val="28"/>
          <w:szCs w:val="28"/>
        </w:rPr>
        <w:t>об'ємом</w:t>
      </w:r>
      <w:proofErr w:type="spellEnd"/>
      <w:r w:rsidRPr="00330F39">
        <w:rPr>
          <w:sz w:val="28"/>
          <w:szCs w:val="28"/>
        </w:rPr>
        <w:t xml:space="preserve"> активного газу</w:t>
      </w:r>
      <w:r w:rsidRPr="00330F39">
        <w:rPr>
          <w:sz w:val="28"/>
          <w:szCs w:val="28"/>
          <w:lang w:val="uk-UA"/>
        </w:rPr>
        <w:t xml:space="preserve"> </w:t>
      </w:r>
      <w:r w:rsidRPr="00330F39">
        <w:rPr>
          <w:sz w:val="28"/>
          <w:szCs w:val="28"/>
        </w:rPr>
        <w:t xml:space="preserve">30,95 </w:t>
      </w:r>
      <w:proofErr w:type="spellStart"/>
      <w:r w:rsidRPr="00330F39">
        <w:rPr>
          <w:sz w:val="28"/>
          <w:szCs w:val="28"/>
        </w:rPr>
        <w:t>млрд.куб.м</w:t>
      </w:r>
      <w:proofErr w:type="spellEnd"/>
      <w:r w:rsidRPr="00330F39">
        <w:rPr>
          <w:sz w:val="28"/>
          <w:szCs w:val="28"/>
        </w:rPr>
        <w:t xml:space="preserve">. З 2014 року на </w:t>
      </w:r>
      <w:proofErr w:type="spellStart"/>
      <w:r w:rsidRPr="00330F39">
        <w:rPr>
          <w:sz w:val="28"/>
          <w:szCs w:val="28"/>
        </w:rPr>
        <w:t>тимчасово</w:t>
      </w:r>
      <w:proofErr w:type="spellEnd"/>
      <w:r w:rsidRPr="00330F39">
        <w:rPr>
          <w:sz w:val="28"/>
          <w:szCs w:val="28"/>
        </w:rPr>
        <w:t xml:space="preserve"> </w:t>
      </w:r>
      <w:proofErr w:type="spellStart"/>
      <w:r w:rsidRPr="00330F39">
        <w:rPr>
          <w:sz w:val="28"/>
          <w:szCs w:val="28"/>
        </w:rPr>
        <w:t>непідконтрольній</w:t>
      </w:r>
      <w:proofErr w:type="spellEnd"/>
      <w:r w:rsidRPr="00330F39">
        <w:rPr>
          <w:sz w:val="28"/>
          <w:szCs w:val="28"/>
        </w:rPr>
        <w:t xml:space="preserve"> </w:t>
      </w:r>
      <w:proofErr w:type="spellStart"/>
      <w:r w:rsidRPr="00330F39">
        <w:rPr>
          <w:sz w:val="28"/>
          <w:szCs w:val="28"/>
        </w:rPr>
        <w:t>території</w:t>
      </w:r>
      <w:proofErr w:type="spellEnd"/>
      <w:r w:rsidRPr="00330F39">
        <w:rPr>
          <w:sz w:val="28"/>
          <w:szCs w:val="28"/>
        </w:rPr>
        <w:t xml:space="preserve"> знаходиться </w:t>
      </w:r>
      <w:proofErr w:type="spellStart"/>
      <w:r w:rsidRPr="00330F39">
        <w:rPr>
          <w:sz w:val="28"/>
          <w:szCs w:val="28"/>
        </w:rPr>
        <w:t>Вергунське</w:t>
      </w:r>
      <w:proofErr w:type="spellEnd"/>
      <w:r w:rsidRPr="00330F39">
        <w:rPr>
          <w:sz w:val="28"/>
          <w:szCs w:val="28"/>
        </w:rPr>
        <w:t xml:space="preserve"> ПСГ.</w:t>
      </w:r>
    </w:p>
    <w:p w:rsidR="00330F39" w:rsidRDefault="00330F39" w:rsidP="00330F39">
      <w:pPr>
        <w:ind w:firstLine="567"/>
        <w:jc w:val="center"/>
      </w:pPr>
      <w:r>
        <w:rPr>
          <w:noProof/>
          <w:lang w:val="uk-UA" w:eastAsia="uk-UA"/>
        </w:rPr>
        <w:drawing>
          <wp:inline distT="0" distB="0" distL="0" distR="0" wp14:anchorId="19875941" wp14:editId="7877D3F3">
            <wp:extent cx="5543550" cy="2584412"/>
            <wp:effectExtent l="0" t="0" r="0" b="6985"/>
            <wp:docPr id="1" name="Рисунок 1" descr="http://naftogaz-europe.com/newsimage/U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ftogaz-europe.com/newsimage/UK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5612" cy="2594697"/>
                    </a:xfrm>
                    <a:prstGeom prst="rect">
                      <a:avLst/>
                    </a:prstGeom>
                    <a:noFill/>
                    <a:ln>
                      <a:noFill/>
                    </a:ln>
                  </pic:spPr>
                </pic:pic>
              </a:graphicData>
            </a:graphic>
          </wp:inline>
        </w:drawing>
      </w:r>
    </w:p>
    <w:p w:rsidR="00330F39" w:rsidRPr="00330F39" w:rsidRDefault="00330F39" w:rsidP="00330F39">
      <w:pPr>
        <w:spacing w:after="120"/>
        <w:ind w:firstLine="567"/>
        <w:jc w:val="center"/>
        <w:rPr>
          <w:i/>
          <w:lang w:val="uk-UA"/>
        </w:rPr>
      </w:pPr>
      <w:r w:rsidRPr="000A6609">
        <w:rPr>
          <w:i/>
        </w:rPr>
        <w:t xml:space="preserve">Рис. 1. Карта </w:t>
      </w:r>
      <w:proofErr w:type="spellStart"/>
      <w:proofErr w:type="gramStart"/>
      <w:r w:rsidRPr="000A6609">
        <w:rPr>
          <w:i/>
        </w:rPr>
        <w:t>п</w:t>
      </w:r>
      <w:proofErr w:type="gramEnd"/>
      <w:r w:rsidRPr="000A6609">
        <w:rPr>
          <w:i/>
        </w:rPr>
        <w:t>ідземних</w:t>
      </w:r>
      <w:proofErr w:type="spellEnd"/>
      <w:r w:rsidRPr="000A6609">
        <w:rPr>
          <w:i/>
        </w:rPr>
        <w:t xml:space="preserve">  </w:t>
      </w:r>
      <w:proofErr w:type="spellStart"/>
      <w:r w:rsidRPr="000A6609">
        <w:rPr>
          <w:i/>
        </w:rPr>
        <w:t>газосховищ</w:t>
      </w:r>
      <w:proofErr w:type="spellEnd"/>
      <w:r w:rsidRPr="000A6609">
        <w:rPr>
          <w:i/>
        </w:rPr>
        <w:t xml:space="preserve"> України.</w:t>
      </w:r>
    </w:p>
    <w:p w:rsidR="00330F39" w:rsidRPr="00330F39" w:rsidRDefault="00330F39" w:rsidP="00330F39">
      <w:pPr>
        <w:spacing w:after="120"/>
        <w:ind w:firstLine="567"/>
        <w:jc w:val="both"/>
        <w:rPr>
          <w:sz w:val="28"/>
          <w:szCs w:val="28"/>
        </w:rPr>
      </w:pPr>
      <w:r w:rsidRPr="00330F39">
        <w:rPr>
          <w:sz w:val="28"/>
          <w:szCs w:val="28"/>
        </w:rPr>
        <w:t xml:space="preserve">Система </w:t>
      </w:r>
      <w:proofErr w:type="spellStart"/>
      <w:proofErr w:type="gramStart"/>
      <w:r w:rsidRPr="00330F39">
        <w:rPr>
          <w:sz w:val="28"/>
          <w:szCs w:val="28"/>
        </w:rPr>
        <w:t>п</w:t>
      </w:r>
      <w:proofErr w:type="gramEnd"/>
      <w:r w:rsidRPr="00330F39">
        <w:rPr>
          <w:sz w:val="28"/>
          <w:szCs w:val="28"/>
        </w:rPr>
        <w:t>ідземних</w:t>
      </w:r>
      <w:proofErr w:type="spellEnd"/>
      <w:r w:rsidRPr="00330F39">
        <w:rPr>
          <w:sz w:val="28"/>
          <w:szCs w:val="28"/>
        </w:rPr>
        <w:t xml:space="preserve"> </w:t>
      </w:r>
      <w:proofErr w:type="spellStart"/>
      <w:r w:rsidRPr="00330F39">
        <w:rPr>
          <w:sz w:val="28"/>
          <w:szCs w:val="28"/>
        </w:rPr>
        <w:t>газосховищ</w:t>
      </w:r>
      <w:proofErr w:type="spellEnd"/>
      <w:r w:rsidRPr="00330F39">
        <w:rPr>
          <w:sz w:val="28"/>
          <w:szCs w:val="28"/>
        </w:rPr>
        <w:t xml:space="preserve"> (</w:t>
      </w:r>
      <w:proofErr w:type="spellStart"/>
      <w:r w:rsidRPr="00330F39">
        <w:rPr>
          <w:sz w:val="28"/>
          <w:szCs w:val="28"/>
        </w:rPr>
        <w:t>далі</w:t>
      </w:r>
      <w:proofErr w:type="spellEnd"/>
      <w:r w:rsidRPr="00330F39">
        <w:rPr>
          <w:sz w:val="28"/>
          <w:szCs w:val="28"/>
        </w:rPr>
        <w:t xml:space="preserve"> - ПСГ) ПАТ «УКРТРАНСГАЗ» </w:t>
      </w:r>
      <w:proofErr w:type="spellStart"/>
      <w:r w:rsidRPr="00330F39">
        <w:rPr>
          <w:sz w:val="28"/>
          <w:szCs w:val="28"/>
        </w:rPr>
        <w:t>використовується</w:t>
      </w:r>
      <w:proofErr w:type="spellEnd"/>
      <w:r w:rsidRPr="00330F39">
        <w:rPr>
          <w:sz w:val="28"/>
          <w:szCs w:val="28"/>
        </w:rPr>
        <w:t xml:space="preserve"> для </w:t>
      </w:r>
      <w:proofErr w:type="spellStart"/>
      <w:r w:rsidRPr="00330F39">
        <w:rPr>
          <w:sz w:val="28"/>
          <w:szCs w:val="28"/>
        </w:rPr>
        <w:t>перекриття</w:t>
      </w:r>
      <w:proofErr w:type="spellEnd"/>
      <w:r w:rsidRPr="00330F39">
        <w:rPr>
          <w:sz w:val="28"/>
          <w:szCs w:val="28"/>
        </w:rPr>
        <w:t xml:space="preserve"> </w:t>
      </w:r>
      <w:proofErr w:type="spellStart"/>
      <w:r w:rsidRPr="00330F39">
        <w:rPr>
          <w:sz w:val="28"/>
          <w:szCs w:val="28"/>
        </w:rPr>
        <w:t>пікових</w:t>
      </w:r>
      <w:proofErr w:type="spellEnd"/>
      <w:r w:rsidRPr="00330F39">
        <w:rPr>
          <w:sz w:val="28"/>
          <w:szCs w:val="28"/>
        </w:rPr>
        <w:t xml:space="preserve"> </w:t>
      </w:r>
      <w:proofErr w:type="spellStart"/>
      <w:r w:rsidRPr="00330F39">
        <w:rPr>
          <w:sz w:val="28"/>
          <w:szCs w:val="28"/>
        </w:rPr>
        <w:t>періодів</w:t>
      </w:r>
      <w:proofErr w:type="spellEnd"/>
      <w:r w:rsidRPr="00330F39">
        <w:rPr>
          <w:sz w:val="28"/>
          <w:szCs w:val="28"/>
        </w:rPr>
        <w:t xml:space="preserve"> </w:t>
      </w:r>
      <w:proofErr w:type="spellStart"/>
      <w:r w:rsidRPr="00330F39">
        <w:rPr>
          <w:sz w:val="28"/>
          <w:szCs w:val="28"/>
        </w:rPr>
        <w:t>споживання</w:t>
      </w:r>
      <w:proofErr w:type="spellEnd"/>
      <w:r w:rsidRPr="00330F39">
        <w:rPr>
          <w:sz w:val="28"/>
          <w:szCs w:val="28"/>
        </w:rPr>
        <w:t xml:space="preserve"> природного газу в </w:t>
      </w:r>
      <w:proofErr w:type="spellStart"/>
      <w:r w:rsidRPr="00330F39">
        <w:rPr>
          <w:sz w:val="28"/>
          <w:szCs w:val="28"/>
        </w:rPr>
        <w:t>Україні</w:t>
      </w:r>
      <w:proofErr w:type="spellEnd"/>
      <w:r w:rsidRPr="00330F39">
        <w:rPr>
          <w:sz w:val="28"/>
          <w:szCs w:val="28"/>
        </w:rPr>
        <w:t xml:space="preserve"> та </w:t>
      </w:r>
      <w:proofErr w:type="spellStart"/>
      <w:r w:rsidRPr="00330F39">
        <w:rPr>
          <w:sz w:val="28"/>
          <w:szCs w:val="28"/>
        </w:rPr>
        <w:t>забезпечення</w:t>
      </w:r>
      <w:proofErr w:type="spellEnd"/>
      <w:r w:rsidRPr="00330F39">
        <w:rPr>
          <w:sz w:val="28"/>
          <w:szCs w:val="28"/>
        </w:rPr>
        <w:t xml:space="preserve"> </w:t>
      </w:r>
      <w:proofErr w:type="spellStart"/>
      <w:r w:rsidRPr="00330F39">
        <w:rPr>
          <w:sz w:val="28"/>
          <w:szCs w:val="28"/>
        </w:rPr>
        <w:t>надійного</w:t>
      </w:r>
      <w:proofErr w:type="spellEnd"/>
      <w:r w:rsidRPr="00330F39">
        <w:rPr>
          <w:sz w:val="28"/>
          <w:szCs w:val="28"/>
        </w:rPr>
        <w:t xml:space="preserve"> транзиту природного газу до </w:t>
      </w:r>
      <w:proofErr w:type="spellStart"/>
      <w:r w:rsidRPr="00330F39">
        <w:rPr>
          <w:sz w:val="28"/>
          <w:szCs w:val="28"/>
        </w:rPr>
        <w:t>країн</w:t>
      </w:r>
      <w:proofErr w:type="spellEnd"/>
      <w:r w:rsidRPr="00330F39">
        <w:rPr>
          <w:sz w:val="28"/>
          <w:szCs w:val="28"/>
        </w:rPr>
        <w:t xml:space="preserve"> </w:t>
      </w:r>
      <w:proofErr w:type="spellStart"/>
      <w:r w:rsidRPr="00330F39">
        <w:rPr>
          <w:sz w:val="28"/>
          <w:szCs w:val="28"/>
        </w:rPr>
        <w:t>Європи</w:t>
      </w:r>
      <w:proofErr w:type="spellEnd"/>
      <w:r w:rsidRPr="00330F39">
        <w:rPr>
          <w:sz w:val="28"/>
          <w:szCs w:val="28"/>
        </w:rPr>
        <w:t xml:space="preserve">. Таким чином, </w:t>
      </w:r>
      <w:proofErr w:type="spellStart"/>
      <w:r w:rsidRPr="00330F39">
        <w:rPr>
          <w:sz w:val="28"/>
          <w:szCs w:val="28"/>
        </w:rPr>
        <w:t>завантаженість</w:t>
      </w:r>
      <w:proofErr w:type="spellEnd"/>
      <w:r w:rsidRPr="00330F39">
        <w:rPr>
          <w:sz w:val="28"/>
          <w:szCs w:val="28"/>
        </w:rPr>
        <w:t xml:space="preserve"> ПСГ                                      ПАТ «УКРТРАНСГАЗ» </w:t>
      </w:r>
      <w:proofErr w:type="spellStart"/>
      <w:r w:rsidRPr="00330F39">
        <w:rPr>
          <w:sz w:val="28"/>
          <w:szCs w:val="28"/>
        </w:rPr>
        <w:t>залежить</w:t>
      </w:r>
      <w:proofErr w:type="spellEnd"/>
      <w:r w:rsidRPr="00330F39">
        <w:rPr>
          <w:sz w:val="28"/>
          <w:szCs w:val="28"/>
        </w:rPr>
        <w:t xml:space="preserve"> від </w:t>
      </w:r>
      <w:proofErr w:type="spellStart"/>
      <w:proofErr w:type="gramStart"/>
      <w:r w:rsidRPr="00330F39">
        <w:rPr>
          <w:sz w:val="28"/>
          <w:szCs w:val="28"/>
        </w:rPr>
        <w:t>р</w:t>
      </w:r>
      <w:proofErr w:type="gramEnd"/>
      <w:r w:rsidRPr="00330F39">
        <w:rPr>
          <w:sz w:val="28"/>
          <w:szCs w:val="28"/>
        </w:rPr>
        <w:t>івня</w:t>
      </w:r>
      <w:proofErr w:type="spellEnd"/>
      <w:r w:rsidRPr="00330F39">
        <w:rPr>
          <w:sz w:val="28"/>
          <w:szCs w:val="28"/>
        </w:rPr>
        <w:t xml:space="preserve"> </w:t>
      </w:r>
      <w:proofErr w:type="spellStart"/>
      <w:r w:rsidRPr="00330F39">
        <w:rPr>
          <w:sz w:val="28"/>
          <w:szCs w:val="28"/>
        </w:rPr>
        <w:t>споживання</w:t>
      </w:r>
      <w:proofErr w:type="spellEnd"/>
      <w:r w:rsidRPr="00330F39">
        <w:rPr>
          <w:sz w:val="28"/>
          <w:szCs w:val="28"/>
        </w:rPr>
        <w:t xml:space="preserve"> природного газу в </w:t>
      </w:r>
      <w:proofErr w:type="spellStart"/>
      <w:r w:rsidRPr="00330F39">
        <w:rPr>
          <w:sz w:val="28"/>
          <w:szCs w:val="28"/>
        </w:rPr>
        <w:t>Україні</w:t>
      </w:r>
      <w:proofErr w:type="spellEnd"/>
      <w:r w:rsidRPr="00330F39">
        <w:rPr>
          <w:sz w:val="28"/>
          <w:szCs w:val="28"/>
        </w:rPr>
        <w:t xml:space="preserve">. </w:t>
      </w:r>
      <w:proofErr w:type="spellStart"/>
      <w:r w:rsidRPr="00330F39">
        <w:rPr>
          <w:sz w:val="28"/>
          <w:szCs w:val="28"/>
        </w:rPr>
        <w:t>Починаючи</w:t>
      </w:r>
      <w:proofErr w:type="spellEnd"/>
      <w:r w:rsidRPr="00330F39">
        <w:rPr>
          <w:sz w:val="28"/>
          <w:szCs w:val="28"/>
        </w:rPr>
        <w:t xml:space="preserve"> з 2005 року </w:t>
      </w:r>
      <w:proofErr w:type="spellStart"/>
      <w:r w:rsidRPr="00330F39">
        <w:rPr>
          <w:sz w:val="28"/>
          <w:szCs w:val="28"/>
        </w:rPr>
        <w:t>рівень</w:t>
      </w:r>
      <w:proofErr w:type="spellEnd"/>
      <w:r w:rsidRPr="00330F39">
        <w:rPr>
          <w:sz w:val="28"/>
          <w:szCs w:val="28"/>
        </w:rPr>
        <w:t xml:space="preserve"> </w:t>
      </w:r>
      <w:proofErr w:type="spellStart"/>
      <w:r w:rsidRPr="00330F39">
        <w:rPr>
          <w:sz w:val="28"/>
          <w:szCs w:val="28"/>
        </w:rPr>
        <w:t>споживання</w:t>
      </w:r>
      <w:proofErr w:type="spellEnd"/>
      <w:r w:rsidRPr="00330F39">
        <w:rPr>
          <w:sz w:val="28"/>
          <w:szCs w:val="28"/>
        </w:rPr>
        <w:t xml:space="preserve"> природного газу в </w:t>
      </w:r>
      <w:proofErr w:type="spellStart"/>
      <w:r w:rsidRPr="00330F39">
        <w:rPr>
          <w:sz w:val="28"/>
          <w:szCs w:val="28"/>
        </w:rPr>
        <w:t>Україні</w:t>
      </w:r>
      <w:proofErr w:type="spellEnd"/>
      <w:r w:rsidRPr="00330F39">
        <w:rPr>
          <w:sz w:val="28"/>
          <w:szCs w:val="28"/>
        </w:rPr>
        <w:t xml:space="preserve"> </w:t>
      </w:r>
      <w:proofErr w:type="spellStart"/>
      <w:r w:rsidRPr="00330F39">
        <w:rPr>
          <w:sz w:val="28"/>
          <w:szCs w:val="28"/>
        </w:rPr>
        <w:t>поступово</w:t>
      </w:r>
      <w:proofErr w:type="spellEnd"/>
      <w:r w:rsidRPr="00330F39">
        <w:rPr>
          <w:sz w:val="28"/>
          <w:szCs w:val="28"/>
        </w:rPr>
        <w:t xml:space="preserve"> </w:t>
      </w:r>
      <w:proofErr w:type="spellStart"/>
      <w:r w:rsidRPr="00330F39">
        <w:rPr>
          <w:sz w:val="28"/>
          <w:szCs w:val="28"/>
        </w:rPr>
        <w:t>скорочується</w:t>
      </w:r>
      <w:proofErr w:type="spellEnd"/>
      <w:r w:rsidRPr="00330F39">
        <w:rPr>
          <w:sz w:val="28"/>
          <w:szCs w:val="28"/>
        </w:rPr>
        <w:t xml:space="preserve">. За </w:t>
      </w:r>
      <w:proofErr w:type="spellStart"/>
      <w:r w:rsidRPr="00330F39">
        <w:rPr>
          <w:sz w:val="28"/>
          <w:szCs w:val="28"/>
        </w:rPr>
        <w:t>останні</w:t>
      </w:r>
      <w:proofErr w:type="spellEnd"/>
      <w:r w:rsidRPr="00330F39">
        <w:rPr>
          <w:sz w:val="28"/>
          <w:szCs w:val="28"/>
        </w:rPr>
        <w:t xml:space="preserve"> десять </w:t>
      </w:r>
      <w:proofErr w:type="spellStart"/>
      <w:r w:rsidRPr="00330F39">
        <w:rPr>
          <w:sz w:val="28"/>
          <w:szCs w:val="28"/>
        </w:rPr>
        <w:t>років</w:t>
      </w:r>
      <w:proofErr w:type="spellEnd"/>
      <w:r w:rsidRPr="00330F39">
        <w:rPr>
          <w:sz w:val="28"/>
          <w:szCs w:val="28"/>
        </w:rPr>
        <w:t xml:space="preserve"> </w:t>
      </w:r>
      <w:proofErr w:type="spellStart"/>
      <w:r w:rsidRPr="00330F39">
        <w:rPr>
          <w:sz w:val="28"/>
          <w:szCs w:val="28"/>
        </w:rPr>
        <w:t>споживання</w:t>
      </w:r>
      <w:proofErr w:type="spellEnd"/>
      <w:r w:rsidRPr="00330F39">
        <w:rPr>
          <w:sz w:val="28"/>
          <w:szCs w:val="28"/>
        </w:rPr>
        <w:t xml:space="preserve"> природного газу </w:t>
      </w:r>
      <w:proofErr w:type="spellStart"/>
      <w:r w:rsidRPr="00330F39">
        <w:rPr>
          <w:sz w:val="28"/>
          <w:szCs w:val="28"/>
        </w:rPr>
        <w:t>скоротилося</w:t>
      </w:r>
      <w:proofErr w:type="spellEnd"/>
      <w:r w:rsidRPr="00330F39">
        <w:rPr>
          <w:sz w:val="28"/>
          <w:szCs w:val="28"/>
        </w:rPr>
        <w:t xml:space="preserve"> з 73,9 </w:t>
      </w:r>
      <w:proofErr w:type="spellStart"/>
      <w:r w:rsidRPr="00330F39">
        <w:rPr>
          <w:sz w:val="28"/>
          <w:szCs w:val="28"/>
        </w:rPr>
        <w:t>млрд</w:t>
      </w:r>
      <w:proofErr w:type="gramStart"/>
      <w:r w:rsidRPr="00330F39">
        <w:rPr>
          <w:sz w:val="28"/>
          <w:szCs w:val="28"/>
        </w:rPr>
        <w:t>.к</w:t>
      </w:r>
      <w:proofErr w:type="gramEnd"/>
      <w:r w:rsidRPr="00330F39">
        <w:rPr>
          <w:sz w:val="28"/>
          <w:szCs w:val="28"/>
        </w:rPr>
        <w:t>уб.м</w:t>
      </w:r>
      <w:proofErr w:type="spellEnd"/>
      <w:r w:rsidRPr="00330F39">
        <w:rPr>
          <w:sz w:val="28"/>
          <w:szCs w:val="28"/>
        </w:rPr>
        <w:t xml:space="preserve">. в 2006 </w:t>
      </w:r>
      <w:proofErr w:type="spellStart"/>
      <w:r w:rsidRPr="00330F39">
        <w:rPr>
          <w:sz w:val="28"/>
          <w:szCs w:val="28"/>
        </w:rPr>
        <w:t>році</w:t>
      </w:r>
      <w:proofErr w:type="spellEnd"/>
      <w:r w:rsidRPr="00330F39">
        <w:rPr>
          <w:sz w:val="28"/>
          <w:szCs w:val="28"/>
        </w:rPr>
        <w:t xml:space="preserve"> до 33,3 </w:t>
      </w:r>
      <w:proofErr w:type="spellStart"/>
      <w:r w:rsidRPr="00330F39">
        <w:rPr>
          <w:sz w:val="28"/>
          <w:szCs w:val="28"/>
        </w:rPr>
        <w:t>млрд.куб.м</w:t>
      </w:r>
      <w:proofErr w:type="spellEnd"/>
      <w:r w:rsidRPr="00330F39">
        <w:rPr>
          <w:sz w:val="28"/>
          <w:szCs w:val="28"/>
        </w:rPr>
        <w:t xml:space="preserve">. в 2016 </w:t>
      </w:r>
      <w:proofErr w:type="spellStart"/>
      <w:r w:rsidRPr="00330F39">
        <w:rPr>
          <w:sz w:val="28"/>
          <w:szCs w:val="28"/>
        </w:rPr>
        <w:t>році</w:t>
      </w:r>
      <w:proofErr w:type="spellEnd"/>
      <w:r w:rsidRPr="00330F39">
        <w:rPr>
          <w:sz w:val="28"/>
          <w:szCs w:val="28"/>
        </w:rPr>
        <w:t xml:space="preserve">. </w:t>
      </w:r>
      <w:proofErr w:type="spellStart"/>
      <w:r w:rsidRPr="00330F39">
        <w:rPr>
          <w:sz w:val="28"/>
          <w:szCs w:val="28"/>
        </w:rPr>
        <w:t>Враховуючи</w:t>
      </w:r>
      <w:proofErr w:type="spellEnd"/>
      <w:r w:rsidRPr="00330F39">
        <w:rPr>
          <w:sz w:val="28"/>
          <w:szCs w:val="28"/>
        </w:rPr>
        <w:t xml:space="preserve"> </w:t>
      </w:r>
      <w:proofErr w:type="spellStart"/>
      <w:r w:rsidRPr="00330F39">
        <w:rPr>
          <w:sz w:val="28"/>
          <w:szCs w:val="28"/>
        </w:rPr>
        <w:t>зміну</w:t>
      </w:r>
      <w:proofErr w:type="spellEnd"/>
      <w:r w:rsidRPr="00330F39">
        <w:rPr>
          <w:sz w:val="28"/>
          <w:szCs w:val="28"/>
        </w:rPr>
        <w:t xml:space="preserve"> </w:t>
      </w:r>
      <w:proofErr w:type="spellStart"/>
      <w:r w:rsidRPr="00330F39">
        <w:rPr>
          <w:sz w:val="28"/>
          <w:szCs w:val="28"/>
        </w:rPr>
        <w:t>споживання</w:t>
      </w:r>
      <w:proofErr w:type="spellEnd"/>
      <w:r w:rsidRPr="00330F39">
        <w:rPr>
          <w:sz w:val="28"/>
          <w:szCs w:val="28"/>
        </w:rPr>
        <w:t xml:space="preserve"> природного газу в </w:t>
      </w:r>
      <w:proofErr w:type="spellStart"/>
      <w:r w:rsidRPr="00330F39">
        <w:rPr>
          <w:sz w:val="28"/>
          <w:szCs w:val="28"/>
        </w:rPr>
        <w:t>Україні</w:t>
      </w:r>
      <w:proofErr w:type="spellEnd"/>
      <w:r w:rsidRPr="00330F39">
        <w:rPr>
          <w:sz w:val="28"/>
          <w:szCs w:val="28"/>
        </w:rPr>
        <w:t xml:space="preserve"> попит на </w:t>
      </w:r>
      <w:proofErr w:type="spellStart"/>
      <w:r w:rsidRPr="00330F39">
        <w:rPr>
          <w:sz w:val="28"/>
          <w:szCs w:val="28"/>
        </w:rPr>
        <w:t>потужності</w:t>
      </w:r>
      <w:proofErr w:type="spellEnd"/>
      <w:r w:rsidRPr="00330F39">
        <w:rPr>
          <w:sz w:val="28"/>
          <w:szCs w:val="28"/>
        </w:rPr>
        <w:t xml:space="preserve"> </w:t>
      </w:r>
      <w:proofErr w:type="spellStart"/>
      <w:r w:rsidRPr="00330F39">
        <w:rPr>
          <w:sz w:val="28"/>
          <w:szCs w:val="28"/>
        </w:rPr>
        <w:t>підземних</w:t>
      </w:r>
      <w:proofErr w:type="spellEnd"/>
      <w:r w:rsidRPr="00330F39">
        <w:rPr>
          <w:sz w:val="28"/>
          <w:szCs w:val="28"/>
        </w:rPr>
        <w:t xml:space="preserve"> </w:t>
      </w:r>
      <w:proofErr w:type="spellStart"/>
      <w:r w:rsidRPr="00330F39">
        <w:rPr>
          <w:sz w:val="28"/>
          <w:szCs w:val="28"/>
        </w:rPr>
        <w:t>сховищ</w:t>
      </w:r>
      <w:proofErr w:type="spellEnd"/>
      <w:r w:rsidRPr="00330F39">
        <w:rPr>
          <w:sz w:val="28"/>
          <w:szCs w:val="28"/>
        </w:rPr>
        <w:t xml:space="preserve"> природного газу </w:t>
      </w:r>
      <w:proofErr w:type="spellStart"/>
      <w:r w:rsidRPr="00330F39">
        <w:rPr>
          <w:sz w:val="28"/>
          <w:szCs w:val="28"/>
        </w:rPr>
        <w:t>суттєво</w:t>
      </w:r>
      <w:proofErr w:type="spellEnd"/>
      <w:r w:rsidRPr="00330F39">
        <w:rPr>
          <w:sz w:val="28"/>
          <w:szCs w:val="28"/>
        </w:rPr>
        <w:t xml:space="preserve"> </w:t>
      </w:r>
      <w:proofErr w:type="spellStart"/>
      <w:r w:rsidRPr="00330F39">
        <w:rPr>
          <w:sz w:val="28"/>
          <w:szCs w:val="28"/>
        </w:rPr>
        <w:t>знизився</w:t>
      </w:r>
      <w:proofErr w:type="spellEnd"/>
      <w:r w:rsidRPr="00330F39">
        <w:rPr>
          <w:sz w:val="28"/>
          <w:szCs w:val="28"/>
        </w:rPr>
        <w:t xml:space="preserve"> (Рис 2.).</w:t>
      </w:r>
    </w:p>
    <w:p w:rsidR="00330F39" w:rsidRDefault="00330F39" w:rsidP="00330F39">
      <w:pPr>
        <w:ind w:firstLine="567"/>
        <w:jc w:val="center"/>
      </w:pPr>
      <w:r>
        <w:rPr>
          <w:noProof/>
          <w:lang w:val="uk-UA" w:eastAsia="uk-UA"/>
        </w:rPr>
        <w:drawing>
          <wp:inline distT="0" distB="0" distL="0" distR="0" wp14:anchorId="280AFA1B" wp14:editId="482995C8">
            <wp:extent cx="6000750" cy="27241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0F39" w:rsidRPr="00136B77" w:rsidRDefault="00330F39" w:rsidP="00330F39">
      <w:pPr>
        <w:ind w:firstLine="567"/>
        <w:jc w:val="center"/>
        <w:rPr>
          <w:i/>
        </w:rPr>
      </w:pPr>
      <w:r w:rsidRPr="00136B77">
        <w:rPr>
          <w:i/>
        </w:rPr>
        <w:lastRenderedPageBreak/>
        <w:t xml:space="preserve">Рис.2 </w:t>
      </w:r>
      <w:proofErr w:type="spellStart"/>
      <w:r w:rsidRPr="00136B77">
        <w:rPr>
          <w:i/>
        </w:rPr>
        <w:t>Показники</w:t>
      </w:r>
      <w:proofErr w:type="spellEnd"/>
      <w:r w:rsidRPr="00136B77">
        <w:rPr>
          <w:i/>
        </w:rPr>
        <w:t xml:space="preserve"> максимального </w:t>
      </w:r>
      <w:proofErr w:type="spellStart"/>
      <w:r w:rsidRPr="00136B77">
        <w:rPr>
          <w:i/>
        </w:rPr>
        <w:t>обсягу</w:t>
      </w:r>
      <w:proofErr w:type="spellEnd"/>
      <w:r w:rsidRPr="00136B77">
        <w:rPr>
          <w:i/>
        </w:rPr>
        <w:t xml:space="preserve"> газу в ПСГ з </w:t>
      </w:r>
      <w:proofErr w:type="spellStart"/>
      <w:r w:rsidRPr="00136B77">
        <w:rPr>
          <w:i/>
        </w:rPr>
        <w:t>показниками</w:t>
      </w:r>
      <w:proofErr w:type="spellEnd"/>
      <w:r w:rsidRPr="00136B77">
        <w:rPr>
          <w:i/>
        </w:rPr>
        <w:t xml:space="preserve"> </w:t>
      </w:r>
      <w:proofErr w:type="spellStart"/>
      <w:r w:rsidRPr="00136B77">
        <w:rPr>
          <w:i/>
        </w:rPr>
        <w:t>рівнів</w:t>
      </w:r>
      <w:proofErr w:type="spellEnd"/>
      <w:r w:rsidRPr="00136B77">
        <w:rPr>
          <w:i/>
        </w:rPr>
        <w:t xml:space="preserve"> </w:t>
      </w:r>
      <w:proofErr w:type="spellStart"/>
      <w:proofErr w:type="gramStart"/>
      <w:r w:rsidRPr="00136B77">
        <w:rPr>
          <w:i/>
        </w:rPr>
        <w:t>в</w:t>
      </w:r>
      <w:proofErr w:type="gramEnd"/>
      <w:r w:rsidRPr="00136B77">
        <w:rPr>
          <w:i/>
        </w:rPr>
        <w:t>ідбору</w:t>
      </w:r>
      <w:proofErr w:type="spellEnd"/>
      <w:r w:rsidRPr="00136B77">
        <w:rPr>
          <w:i/>
        </w:rPr>
        <w:t xml:space="preserve"> та </w:t>
      </w:r>
      <w:proofErr w:type="spellStart"/>
      <w:r w:rsidRPr="00136B77">
        <w:rPr>
          <w:i/>
        </w:rPr>
        <w:t>закачування</w:t>
      </w:r>
      <w:proofErr w:type="spellEnd"/>
      <w:r w:rsidRPr="00136B77">
        <w:rPr>
          <w:i/>
        </w:rPr>
        <w:t xml:space="preserve"> за </w:t>
      </w:r>
      <w:proofErr w:type="spellStart"/>
      <w:r w:rsidRPr="00136B77">
        <w:rPr>
          <w:i/>
        </w:rPr>
        <w:t>період</w:t>
      </w:r>
      <w:proofErr w:type="spellEnd"/>
      <w:r w:rsidRPr="00136B77">
        <w:rPr>
          <w:i/>
        </w:rPr>
        <w:t xml:space="preserve"> 2006 – 2016 </w:t>
      </w:r>
      <w:proofErr w:type="spellStart"/>
      <w:r w:rsidRPr="00136B77">
        <w:rPr>
          <w:i/>
        </w:rPr>
        <w:t>рр</w:t>
      </w:r>
      <w:proofErr w:type="spellEnd"/>
      <w:r w:rsidRPr="00136B77">
        <w:rPr>
          <w:i/>
        </w:rPr>
        <w:t xml:space="preserve">. в </w:t>
      </w:r>
      <w:proofErr w:type="spellStart"/>
      <w:r w:rsidRPr="00136B77">
        <w:rPr>
          <w:i/>
        </w:rPr>
        <w:t>млрд.куб.м</w:t>
      </w:r>
      <w:proofErr w:type="spellEnd"/>
      <w:r w:rsidRPr="00136B77">
        <w:rPr>
          <w:i/>
        </w:rPr>
        <w:t xml:space="preserve">. в </w:t>
      </w:r>
      <w:proofErr w:type="spellStart"/>
      <w:r w:rsidRPr="00136B77">
        <w:rPr>
          <w:i/>
        </w:rPr>
        <w:t>рік</w:t>
      </w:r>
      <w:proofErr w:type="spellEnd"/>
      <w:r w:rsidRPr="00136B77">
        <w:rPr>
          <w:i/>
        </w:rPr>
        <w:t>.</w:t>
      </w:r>
    </w:p>
    <w:p w:rsidR="00330F39" w:rsidRDefault="00330F39" w:rsidP="00330F39">
      <w:pPr>
        <w:ind w:firstLine="567"/>
        <w:jc w:val="both"/>
      </w:pPr>
    </w:p>
    <w:p w:rsidR="00330F39" w:rsidRPr="00330F39" w:rsidRDefault="00330F39" w:rsidP="00330F39">
      <w:pPr>
        <w:ind w:firstLine="567"/>
        <w:jc w:val="both"/>
        <w:rPr>
          <w:sz w:val="28"/>
          <w:szCs w:val="28"/>
        </w:rPr>
      </w:pPr>
      <w:proofErr w:type="spellStart"/>
      <w:r w:rsidRPr="00330F39">
        <w:rPr>
          <w:sz w:val="28"/>
          <w:szCs w:val="28"/>
        </w:rPr>
        <w:t>Виходячи</w:t>
      </w:r>
      <w:proofErr w:type="spellEnd"/>
      <w:r w:rsidRPr="00330F39">
        <w:rPr>
          <w:sz w:val="28"/>
          <w:szCs w:val="28"/>
        </w:rPr>
        <w:t xml:space="preserve"> з </w:t>
      </w:r>
      <w:proofErr w:type="spellStart"/>
      <w:r w:rsidRPr="00330F39">
        <w:rPr>
          <w:sz w:val="28"/>
          <w:szCs w:val="28"/>
        </w:rPr>
        <w:t>динаміки</w:t>
      </w:r>
      <w:proofErr w:type="spellEnd"/>
      <w:r w:rsidRPr="00330F39">
        <w:rPr>
          <w:sz w:val="28"/>
          <w:szCs w:val="28"/>
        </w:rPr>
        <w:t xml:space="preserve"> </w:t>
      </w:r>
      <w:proofErr w:type="spellStart"/>
      <w:r w:rsidRPr="00330F39">
        <w:rPr>
          <w:sz w:val="28"/>
          <w:szCs w:val="28"/>
        </w:rPr>
        <w:t>закачування</w:t>
      </w:r>
      <w:proofErr w:type="spellEnd"/>
      <w:r w:rsidRPr="00330F39">
        <w:rPr>
          <w:sz w:val="28"/>
          <w:szCs w:val="28"/>
        </w:rPr>
        <w:t xml:space="preserve"> і </w:t>
      </w:r>
      <w:proofErr w:type="spellStart"/>
      <w:r w:rsidRPr="00330F39">
        <w:rPr>
          <w:sz w:val="28"/>
          <w:szCs w:val="28"/>
        </w:rPr>
        <w:t>відбору</w:t>
      </w:r>
      <w:proofErr w:type="spellEnd"/>
      <w:r w:rsidRPr="00330F39">
        <w:rPr>
          <w:sz w:val="28"/>
          <w:szCs w:val="28"/>
        </w:rPr>
        <w:t xml:space="preserve"> природного за </w:t>
      </w:r>
      <w:proofErr w:type="spellStart"/>
      <w:r w:rsidRPr="00330F39">
        <w:rPr>
          <w:sz w:val="28"/>
          <w:szCs w:val="28"/>
        </w:rPr>
        <w:t>період</w:t>
      </w:r>
      <w:proofErr w:type="spellEnd"/>
      <w:r w:rsidRPr="00330F39">
        <w:rPr>
          <w:sz w:val="28"/>
          <w:szCs w:val="28"/>
        </w:rPr>
        <w:t xml:space="preserve"> з 2013 до 2016 року газу, </w:t>
      </w:r>
      <w:proofErr w:type="spellStart"/>
      <w:r w:rsidRPr="00330F39">
        <w:rPr>
          <w:sz w:val="28"/>
          <w:szCs w:val="28"/>
        </w:rPr>
        <w:t>можна</w:t>
      </w:r>
      <w:proofErr w:type="spellEnd"/>
      <w:r w:rsidRPr="00330F39">
        <w:rPr>
          <w:sz w:val="28"/>
          <w:szCs w:val="28"/>
        </w:rPr>
        <w:t xml:space="preserve"> </w:t>
      </w:r>
      <w:proofErr w:type="spellStart"/>
      <w:r w:rsidRPr="00330F39">
        <w:rPr>
          <w:sz w:val="28"/>
          <w:szCs w:val="28"/>
        </w:rPr>
        <w:t>зробити</w:t>
      </w:r>
      <w:proofErr w:type="spellEnd"/>
      <w:r w:rsidRPr="00330F39">
        <w:rPr>
          <w:sz w:val="28"/>
          <w:szCs w:val="28"/>
        </w:rPr>
        <w:t xml:space="preserve"> </w:t>
      </w:r>
      <w:proofErr w:type="spellStart"/>
      <w:r w:rsidRPr="00330F39">
        <w:rPr>
          <w:sz w:val="28"/>
          <w:szCs w:val="28"/>
        </w:rPr>
        <w:t>висновок</w:t>
      </w:r>
      <w:proofErr w:type="spellEnd"/>
      <w:r w:rsidRPr="00330F39">
        <w:rPr>
          <w:sz w:val="28"/>
          <w:szCs w:val="28"/>
        </w:rPr>
        <w:t xml:space="preserve">, що </w:t>
      </w:r>
      <w:proofErr w:type="spellStart"/>
      <w:proofErr w:type="gramStart"/>
      <w:r w:rsidRPr="00330F39">
        <w:rPr>
          <w:sz w:val="28"/>
          <w:szCs w:val="28"/>
        </w:rPr>
        <w:t>п</w:t>
      </w:r>
      <w:proofErr w:type="gramEnd"/>
      <w:r w:rsidRPr="00330F39">
        <w:rPr>
          <w:sz w:val="28"/>
          <w:szCs w:val="28"/>
        </w:rPr>
        <w:t>ідземні</w:t>
      </w:r>
      <w:proofErr w:type="spellEnd"/>
      <w:r w:rsidRPr="00330F39">
        <w:rPr>
          <w:sz w:val="28"/>
          <w:szCs w:val="28"/>
        </w:rPr>
        <w:t xml:space="preserve"> </w:t>
      </w:r>
      <w:proofErr w:type="spellStart"/>
      <w:r w:rsidRPr="00330F39">
        <w:rPr>
          <w:sz w:val="28"/>
          <w:szCs w:val="28"/>
        </w:rPr>
        <w:t>газосховища</w:t>
      </w:r>
      <w:proofErr w:type="spellEnd"/>
      <w:r w:rsidRPr="00330F39">
        <w:rPr>
          <w:sz w:val="28"/>
          <w:szCs w:val="28"/>
        </w:rPr>
        <w:t xml:space="preserve"> ПАТ «УКРТРАНСГАЗ» </w:t>
      </w:r>
      <w:proofErr w:type="spellStart"/>
      <w:r w:rsidRPr="00330F39">
        <w:rPr>
          <w:sz w:val="28"/>
          <w:szCs w:val="28"/>
        </w:rPr>
        <w:t>мають</w:t>
      </w:r>
      <w:proofErr w:type="spellEnd"/>
      <w:r w:rsidRPr="00330F39">
        <w:rPr>
          <w:sz w:val="28"/>
          <w:szCs w:val="28"/>
        </w:rPr>
        <w:t xml:space="preserve"> </w:t>
      </w:r>
      <w:proofErr w:type="spellStart"/>
      <w:r w:rsidRPr="00330F39">
        <w:rPr>
          <w:sz w:val="28"/>
          <w:szCs w:val="28"/>
        </w:rPr>
        <w:t>невикористані</w:t>
      </w:r>
      <w:proofErr w:type="spellEnd"/>
      <w:r w:rsidRPr="00330F39">
        <w:rPr>
          <w:sz w:val="28"/>
          <w:szCs w:val="28"/>
        </w:rPr>
        <w:t xml:space="preserve"> </w:t>
      </w:r>
      <w:proofErr w:type="spellStart"/>
      <w:r w:rsidRPr="00330F39">
        <w:rPr>
          <w:sz w:val="28"/>
          <w:szCs w:val="28"/>
        </w:rPr>
        <w:t>потужності</w:t>
      </w:r>
      <w:proofErr w:type="spellEnd"/>
      <w:r w:rsidRPr="00330F39">
        <w:rPr>
          <w:sz w:val="28"/>
          <w:szCs w:val="28"/>
        </w:rPr>
        <w:t xml:space="preserve"> на </w:t>
      </w:r>
      <w:proofErr w:type="spellStart"/>
      <w:r w:rsidRPr="00330F39">
        <w:rPr>
          <w:sz w:val="28"/>
          <w:szCs w:val="28"/>
        </w:rPr>
        <w:t>рівні</w:t>
      </w:r>
      <w:proofErr w:type="spellEnd"/>
      <w:r w:rsidRPr="00330F39">
        <w:rPr>
          <w:sz w:val="28"/>
          <w:szCs w:val="28"/>
        </w:rPr>
        <w:t xml:space="preserve"> 14 – 16 </w:t>
      </w:r>
      <w:proofErr w:type="spellStart"/>
      <w:r w:rsidRPr="00330F39">
        <w:rPr>
          <w:sz w:val="28"/>
          <w:szCs w:val="28"/>
        </w:rPr>
        <w:t>млрд.куб.м</w:t>
      </w:r>
      <w:proofErr w:type="spellEnd"/>
      <w:r w:rsidRPr="00330F39">
        <w:rPr>
          <w:sz w:val="28"/>
          <w:szCs w:val="28"/>
        </w:rPr>
        <w:t xml:space="preserve">. У </w:t>
      </w:r>
      <w:proofErr w:type="spellStart"/>
      <w:r w:rsidRPr="00330F39">
        <w:rPr>
          <w:sz w:val="28"/>
          <w:szCs w:val="28"/>
        </w:rPr>
        <w:t>зв’язку</w:t>
      </w:r>
      <w:proofErr w:type="spellEnd"/>
      <w:r w:rsidRPr="00330F39">
        <w:rPr>
          <w:sz w:val="28"/>
          <w:szCs w:val="28"/>
        </w:rPr>
        <w:t xml:space="preserve"> з </w:t>
      </w:r>
      <w:proofErr w:type="spellStart"/>
      <w:r w:rsidRPr="00330F39">
        <w:rPr>
          <w:sz w:val="28"/>
          <w:szCs w:val="28"/>
        </w:rPr>
        <w:t>цим</w:t>
      </w:r>
      <w:proofErr w:type="spellEnd"/>
      <w:r w:rsidRPr="00330F39">
        <w:rPr>
          <w:sz w:val="28"/>
          <w:szCs w:val="28"/>
        </w:rPr>
        <w:t xml:space="preserve"> </w:t>
      </w:r>
      <w:proofErr w:type="spellStart"/>
      <w:r w:rsidRPr="00330F39">
        <w:rPr>
          <w:sz w:val="28"/>
          <w:szCs w:val="28"/>
        </w:rPr>
        <w:t>перспективним</w:t>
      </w:r>
      <w:proofErr w:type="spellEnd"/>
      <w:r w:rsidRPr="00330F39">
        <w:rPr>
          <w:sz w:val="28"/>
          <w:szCs w:val="28"/>
        </w:rPr>
        <w:t xml:space="preserve"> </w:t>
      </w:r>
      <w:proofErr w:type="spellStart"/>
      <w:r w:rsidRPr="00330F39">
        <w:rPr>
          <w:sz w:val="28"/>
          <w:szCs w:val="28"/>
        </w:rPr>
        <w:t>напрямком</w:t>
      </w:r>
      <w:proofErr w:type="spellEnd"/>
      <w:r w:rsidRPr="00330F39">
        <w:rPr>
          <w:sz w:val="28"/>
          <w:szCs w:val="28"/>
        </w:rPr>
        <w:t xml:space="preserve">  </w:t>
      </w:r>
      <w:proofErr w:type="spellStart"/>
      <w:r w:rsidRPr="00330F39">
        <w:rPr>
          <w:sz w:val="28"/>
          <w:szCs w:val="28"/>
        </w:rPr>
        <w:t>розвитку</w:t>
      </w:r>
      <w:proofErr w:type="spellEnd"/>
      <w:r w:rsidRPr="00330F39">
        <w:rPr>
          <w:sz w:val="28"/>
          <w:szCs w:val="28"/>
        </w:rPr>
        <w:t xml:space="preserve"> </w:t>
      </w:r>
      <w:proofErr w:type="spellStart"/>
      <w:r w:rsidRPr="00330F39">
        <w:rPr>
          <w:sz w:val="28"/>
          <w:szCs w:val="28"/>
        </w:rPr>
        <w:t>використання</w:t>
      </w:r>
      <w:proofErr w:type="spellEnd"/>
      <w:r w:rsidRPr="00330F39">
        <w:rPr>
          <w:sz w:val="28"/>
          <w:szCs w:val="28"/>
        </w:rPr>
        <w:t xml:space="preserve"> </w:t>
      </w:r>
      <w:proofErr w:type="spellStart"/>
      <w:r w:rsidRPr="00330F39">
        <w:rPr>
          <w:sz w:val="28"/>
          <w:szCs w:val="28"/>
        </w:rPr>
        <w:t>наявних</w:t>
      </w:r>
      <w:proofErr w:type="spellEnd"/>
      <w:r w:rsidRPr="00330F39">
        <w:rPr>
          <w:sz w:val="28"/>
          <w:szCs w:val="28"/>
        </w:rPr>
        <w:t xml:space="preserve"> </w:t>
      </w:r>
      <w:proofErr w:type="spellStart"/>
      <w:r w:rsidRPr="00330F39">
        <w:rPr>
          <w:sz w:val="28"/>
          <w:szCs w:val="28"/>
        </w:rPr>
        <w:t>потужностей</w:t>
      </w:r>
      <w:proofErr w:type="spellEnd"/>
      <w:r w:rsidRPr="00330F39">
        <w:rPr>
          <w:sz w:val="28"/>
          <w:szCs w:val="28"/>
        </w:rPr>
        <w:t xml:space="preserve"> ПСГ є </w:t>
      </w:r>
      <w:proofErr w:type="spellStart"/>
      <w:r w:rsidRPr="00330F39">
        <w:rPr>
          <w:sz w:val="28"/>
          <w:szCs w:val="28"/>
        </w:rPr>
        <w:t>надання</w:t>
      </w:r>
      <w:proofErr w:type="spellEnd"/>
      <w:r w:rsidRPr="00330F39">
        <w:rPr>
          <w:sz w:val="28"/>
          <w:szCs w:val="28"/>
        </w:rPr>
        <w:t xml:space="preserve"> </w:t>
      </w:r>
      <w:proofErr w:type="spellStart"/>
      <w:r w:rsidRPr="00330F39">
        <w:rPr>
          <w:sz w:val="28"/>
          <w:szCs w:val="28"/>
        </w:rPr>
        <w:t>послуг</w:t>
      </w:r>
      <w:proofErr w:type="spellEnd"/>
      <w:r w:rsidRPr="00330F39">
        <w:rPr>
          <w:sz w:val="28"/>
          <w:szCs w:val="28"/>
        </w:rPr>
        <w:t xml:space="preserve"> </w:t>
      </w:r>
      <w:proofErr w:type="spellStart"/>
      <w:r w:rsidRPr="00330F39">
        <w:rPr>
          <w:sz w:val="28"/>
          <w:szCs w:val="28"/>
        </w:rPr>
        <w:t>зі</w:t>
      </w:r>
      <w:proofErr w:type="spellEnd"/>
      <w:r w:rsidRPr="00330F39">
        <w:rPr>
          <w:sz w:val="28"/>
          <w:szCs w:val="28"/>
        </w:rPr>
        <w:t xml:space="preserve"> </w:t>
      </w:r>
      <w:proofErr w:type="spellStart"/>
      <w:r w:rsidRPr="00330F39">
        <w:rPr>
          <w:sz w:val="28"/>
          <w:szCs w:val="28"/>
        </w:rPr>
        <w:t>зберігання</w:t>
      </w:r>
      <w:proofErr w:type="spellEnd"/>
      <w:r w:rsidRPr="00330F39">
        <w:rPr>
          <w:sz w:val="28"/>
          <w:szCs w:val="28"/>
        </w:rPr>
        <w:t xml:space="preserve"> </w:t>
      </w:r>
      <w:proofErr w:type="spellStart"/>
      <w:r w:rsidRPr="00330F39">
        <w:rPr>
          <w:sz w:val="28"/>
          <w:szCs w:val="28"/>
        </w:rPr>
        <w:t>європейським</w:t>
      </w:r>
      <w:proofErr w:type="spellEnd"/>
      <w:r w:rsidRPr="00330F39">
        <w:rPr>
          <w:sz w:val="28"/>
          <w:szCs w:val="28"/>
        </w:rPr>
        <w:t xml:space="preserve"> </w:t>
      </w:r>
      <w:proofErr w:type="spellStart"/>
      <w:r w:rsidRPr="00330F39">
        <w:rPr>
          <w:sz w:val="28"/>
          <w:szCs w:val="28"/>
        </w:rPr>
        <w:t>енергетичним</w:t>
      </w:r>
      <w:proofErr w:type="spellEnd"/>
      <w:r w:rsidRPr="00330F39">
        <w:rPr>
          <w:sz w:val="28"/>
          <w:szCs w:val="28"/>
        </w:rPr>
        <w:t xml:space="preserve"> </w:t>
      </w:r>
      <w:proofErr w:type="spellStart"/>
      <w:r w:rsidRPr="00330F39">
        <w:rPr>
          <w:sz w:val="28"/>
          <w:szCs w:val="28"/>
        </w:rPr>
        <w:t>компаніям</w:t>
      </w:r>
      <w:proofErr w:type="spellEnd"/>
      <w:r w:rsidRPr="00330F39">
        <w:rPr>
          <w:sz w:val="28"/>
          <w:szCs w:val="28"/>
        </w:rPr>
        <w:t>.</w:t>
      </w:r>
    </w:p>
    <w:p w:rsidR="00330F39" w:rsidRPr="00330F39" w:rsidRDefault="00330F39" w:rsidP="00330F39">
      <w:pPr>
        <w:ind w:firstLine="567"/>
        <w:jc w:val="both"/>
        <w:rPr>
          <w:sz w:val="28"/>
          <w:szCs w:val="28"/>
        </w:rPr>
      </w:pPr>
      <w:proofErr w:type="spellStart"/>
      <w:r w:rsidRPr="00330F39">
        <w:rPr>
          <w:sz w:val="28"/>
          <w:szCs w:val="28"/>
        </w:rPr>
        <w:t>Відповідно</w:t>
      </w:r>
      <w:proofErr w:type="spellEnd"/>
      <w:r w:rsidRPr="00330F39">
        <w:rPr>
          <w:sz w:val="28"/>
          <w:szCs w:val="28"/>
        </w:rPr>
        <w:t xml:space="preserve"> до наших </w:t>
      </w:r>
      <w:proofErr w:type="spellStart"/>
      <w:r w:rsidRPr="00330F39">
        <w:rPr>
          <w:sz w:val="28"/>
          <w:szCs w:val="28"/>
        </w:rPr>
        <w:t>прогнозів</w:t>
      </w:r>
      <w:proofErr w:type="spellEnd"/>
      <w:r w:rsidRPr="00330F39">
        <w:rPr>
          <w:sz w:val="28"/>
          <w:szCs w:val="28"/>
        </w:rPr>
        <w:t xml:space="preserve">, </w:t>
      </w:r>
      <w:proofErr w:type="spellStart"/>
      <w:r w:rsidRPr="00330F39">
        <w:rPr>
          <w:sz w:val="28"/>
          <w:szCs w:val="28"/>
        </w:rPr>
        <w:t>споживання</w:t>
      </w:r>
      <w:proofErr w:type="spellEnd"/>
      <w:r w:rsidRPr="00330F39">
        <w:rPr>
          <w:sz w:val="28"/>
          <w:szCs w:val="28"/>
        </w:rPr>
        <w:t xml:space="preserve"> природного газу в </w:t>
      </w:r>
      <w:proofErr w:type="spellStart"/>
      <w:r w:rsidRPr="00330F39">
        <w:rPr>
          <w:sz w:val="28"/>
          <w:szCs w:val="28"/>
        </w:rPr>
        <w:t>Україні</w:t>
      </w:r>
      <w:proofErr w:type="spellEnd"/>
      <w:r w:rsidRPr="00330F39">
        <w:rPr>
          <w:sz w:val="28"/>
          <w:szCs w:val="28"/>
        </w:rPr>
        <w:t xml:space="preserve"> в </w:t>
      </w:r>
      <w:proofErr w:type="spellStart"/>
      <w:r w:rsidRPr="00330F39">
        <w:rPr>
          <w:sz w:val="28"/>
          <w:szCs w:val="28"/>
        </w:rPr>
        <w:t>найближчі</w:t>
      </w:r>
      <w:proofErr w:type="spellEnd"/>
      <w:r w:rsidRPr="00330F39">
        <w:rPr>
          <w:sz w:val="28"/>
          <w:szCs w:val="28"/>
        </w:rPr>
        <w:t xml:space="preserve"> роки буде </w:t>
      </w:r>
      <w:proofErr w:type="spellStart"/>
      <w:r w:rsidRPr="00330F39">
        <w:rPr>
          <w:sz w:val="28"/>
          <w:szCs w:val="28"/>
        </w:rPr>
        <w:t>перебувати</w:t>
      </w:r>
      <w:proofErr w:type="spellEnd"/>
      <w:r w:rsidRPr="00330F39">
        <w:rPr>
          <w:sz w:val="28"/>
          <w:szCs w:val="28"/>
        </w:rPr>
        <w:t xml:space="preserve"> на </w:t>
      </w:r>
      <w:proofErr w:type="spellStart"/>
      <w:proofErr w:type="gramStart"/>
      <w:r w:rsidRPr="00330F39">
        <w:rPr>
          <w:sz w:val="28"/>
          <w:szCs w:val="28"/>
        </w:rPr>
        <w:t>р</w:t>
      </w:r>
      <w:proofErr w:type="gramEnd"/>
      <w:r w:rsidRPr="00330F39">
        <w:rPr>
          <w:sz w:val="28"/>
          <w:szCs w:val="28"/>
        </w:rPr>
        <w:t>івні</w:t>
      </w:r>
      <w:proofErr w:type="spellEnd"/>
      <w:r w:rsidRPr="00330F39">
        <w:rPr>
          <w:sz w:val="28"/>
          <w:szCs w:val="28"/>
        </w:rPr>
        <w:t xml:space="preserve"> 31,0 – 33,5 </w:t>
      </w:r>
      <w:proofErr w:type="spellStart"/>
      <w:r w:rsidRPr="00330F39">
        <w:rPr>
          <w:sz w:val="28"/>
          <w:szCs w:val="28"/>
        </w:rPr>
        <w:t>млрд.куб.м</w:t>
      </w:r>
      <w:proofErr w:type="spellEnd"/>
      <w:r w:rsidRPr="00330F39">
        <w:rPr>
          <w:sz w:val="28"/>
          <w:szCs w:val="28"/>
        </w:rPr>
        <w:t xml:space="preserve">. в </w:t>
      </w:r>
      <w:proofErr w:type="spellStart"/>
      <w:r w:rsidRPr="00330F39">
        <w:rPr>
          <w:sz w:val="28"/>
          <w:szCs w:val="28"/>
        </w:rPr>
        <w:t>рік</w:t>
      </w:r>
      <w:proofErr w:type="spellEnd"/>
      <w:r w:rsidRPr="00330F39">
        <w:rPr>
          <w:sz w:val="28"/>
          <w:szCs w:val="28"/>
        </w:rPr>
        <w:t xml:space="preserve">. За </w:t>
      </w:r>
      <w:proofErr w:type="spellStart"/>
      <w:r w:rsidRPr="00330F39">
        <w:rPr>
          <w:sz w:val="28"/>
          <w:szCs w:val="28"/>
        </w:rPr>
        <w:t>цих</w:t>
      </w:r>
      <w:proofErr w:type="spellEnd"/>
      <w:r w:rsidRPr="00330F39">
        <w:rPr>
          <w:sz w:val="28"/>
          <w:szCs w:val="28"/>
        </w:rPr>
        <w:t xml:space="preserve"> умов </w:t>
      </w:r>
      <w:proofErr w:type="spellStart"/>
      <w:r w:rsidRPr="00330F39">
        <w:rPr>
          <w:sz w:val="28"/>
          <w:szCs w:val="28"/>
        </w:rPr>
        <w:t>рівень</w:t>
      </w:r>
      <w:proofErr w:type="spellEnd"/>
      <w:r w:rsidRPr="00330F39">
        <w:rPr>
          <w:sz w:val="28"/>
          <w:szCs w:val="28"/>
        </w:rPr>
        <w:t xml:space="preserve"> </w:t>
      </w:r>
      <w:proofErr w:type="spellStart"/>
      <w:r w:rsidRPr="00330F39">
        <w:rPr>
          <w:sz w:val="28"/>
          <w:szCs w:val="28"/>
        </w:rPr>
        <w:t>завантаженості</w:t>
      </w:r>
      <w:proofErr w:type="spellEnd"/>
      <w:r w:rsidRPr="00330F39">
        <w:rPr>
          <w:sz w:val="28"/>
          <w:szCs w:val="28"/>
        </w:rPr>
        <w:t xml:space="preserve"> ПСГ не буде </w:t>
      </w:r>
      <w:proofErr w:type="spellStart"/>
      <w:r w:rsidRPr="00330F39">
        <w:rPr>
          <w:sz w:val="28"/>
          <w:szCs w:val="28"/>
        </w:rPr>
        <w:t>перевищувати</w:t>
      </w:r>
      <w:proofErr w:type="spellEnd"/>
      <w:r w:rsidRPr="00330F39">
        <w:rPr>
          <w:sz w:val="28"/>
          <w:szCs w:val="28"/>
        </w:rPr>
        <w:t xml:space="preserve"> 17,5 </w:t>
      </w:r>
      <w:proofErr w:type="spellStart"/>
      <w:r w:rsidRPr="00330F39">
        <w:rPr>
          <w:sz w:val="28"/>
          <w:szCs w:val="28"/>
        </w:rPr>
        <w:t>млрд.куб.м</w:t>
      </w:r>
      <w:proofErr w:type="spellEnd"/>
      <w:r w:rsidRPr="00330F39">
        <w:rPr>
          <w:sz w:val="28"/>
          <w:szCs w:val="28"/>
        </w:rPr>
        <w:t xml:space="preserve">. При </w:t>
      </w:r>
      <w:proofErr w:type="spellStart"/>
      <w:r w:rsidRPr="00330F39">
        <w:rPr>
          <w:sz w:val="28"/>
          <w:szCs w:val="28"/>
        </w:rPr>
        <w:t>цьому</w:t>
      </w:r>
      <w:proofErr w:type="spellEnd"/>
      <w:r w:rsidRPr="00330F39">
        <w:rPr>
          <w:sz w:val="28"/>
          <w:szCs w:val="28"/>
        </w:rPr>
        <w:t xml:space="preserve"> </w:t>
      </w:r>
      <w:proofErr w:type="spellStart"/>
      <w:r w:rsidRPr="00330F39">
        <w:rPr>
          <w:sz w:val="28"/>
          <w:szCs w:val="28"/>
        </w:rPr>
        <w:t>обсяг</w:t>
      </w:r>
      <w:proofErr w:type="spellEnd"/>
      <w:r w:rsidRPr="00330F39">
        <w:rPr>
          <w:sz w:val="28"/>
          <w:szCs w:val="28"/>
        </w:rPr>
        <w:t xml:space="preserve"> </w:t>
      </w:r>
      <w:proofErr w:type="spellStart"/>
      <w:r w:rsidRPr="00330F39">
        <w:rPr>
          <w:sz w:val="28"/>
          <w:szCs w:val="28"/>
        </w:rPr>
        <w:t>вільних</w:t>
      </w:r>
      <w:proofErr w:type="spellEnd"/>
      <w:r w:rsidRPr="00330F39">
        <w:rPr>
          <w:sz w:val="28"/>
          <w:szCs w:val="28"/>
        </w:rPr>
        <w:t xml:space="preserve"> </w:t>
      </w:r>
      <w:proofErr w:type="spellStart"/>
      <w:r w:rsidRPr="00330F39">
        <w:rPr>
          <w:sz w:val="28"/>
          <w:szCs w:val="28"/>
        </w:rPr>
        <w:t>потужностей</w:t>
      </w:r>
      <w:proofErr w:type="spellEnd"/>
      <w:r w:rsidRPr="00330F39">
        <w:rPr>
          <w:sz w:val="28"/>
          <w:szCs w:val="28"/>
        </w:rPr>
        <w:t xml:space="preserve"> буде </w:t>
      </w:r>
      <w:proofErr w:type="spellStart"/>
      <w:r w:rsidRPr="00330F39">
        <w:rPr>
          <w:sz w:val="28"/>
          <w:szCs w:val="28"/>
        </w:rPr>
        <w:t>становити</w:t>
      </w:r>
      <w:proofErr w:type="spellEnd"/>
      <w:r w:rsidRPr="00330F39">
        <w:rPr>
          <w:sz w:val="28"/>
          <w:szCs w:val="28"/>
        </w:rPr>
        <w:t xml:space="preserve"> 13,5 </w:t>
      </w:r>
      <w:proofErr w:type="spellStart"/>
      <w:r w:rsidRPr="00330F39">
        <w:rPr>
          <w:sz w:val="28"/>
          <w:szCs w:val="28"/>
        </w:rPr>
        <w:t>млрд.куб.м</w:t>
      </w:r>
      <w:proofErr w:type="spellEnd"/>
      <w:r w:rsidRPr="00330F39">
        <w:rPr>
          <w:sz w:val="28"/>
          <w:szCs w:val="28"/>
        </w:rPr>
        <w:t xml:space="preserve">.        </w:t>
      </w:r>
    </w:p>
    <w:p w:rsidR="00330F39" w:rsidRDefault="00330F39" w:rsidP="00330F39">
      <w:pPr>
        <w:ind w:firstLine="567"/>
        <w:jc w:val="right"/>
      </w:pPr>
    </w:p>
    <w:p w:rsidR="00330F39" w:rsidRDefault="00330F39" w:rsidP="00330F39">
      <w:pPr>
        <w:ind w:firstLine="567"/>
        <w:jc w:val="center"/>
      </w:pPr>
      <w:r w:rsidRPr="004327D3">
        <w:rPr>
          <w:noProof/>
          <w:lang w:val="uk-UA" w:eastAsia="uk-UA"/>
        </w:rPr>
        <w:drawing>
          <wp:inline distT="0" distB="0" distL="0" distR="0" wp14:anchorId="7E63E76E" wp14:editId="59B255A1">
            <wp:extent cx="4667250" cy="22764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0F39" w:rsidRPr="000A6609" w:rsidRDefault="00330F39" w:rsidP="00330F39">
      <w:pPr>
        <w:spacing w:after="120"/>
        <w:ind w:firstLine="567"/>
        <w:jc w:val="center"/>
        <w:rPr>
          <w:i/>
        </w:rPr>
      </w:pPr>
      <w:r w:rsidRPr="000A6609">
        <w:rPr>
          <w:i/>
        </w:rPr>
        <w:t xml:space="preserve">Рис.3 </w:t>
      </w:r>
      <w:proofErr w:type="spellStart"/>
      <w:r w:rsidRPr="000A6609">
        <w:rPr>
          <w:i/>
        </w:rPr>
        <w:t>Прогнозований</w:t>
      </w:r>
      <w:proofErr w:type="spellEnd"/>
      <w:r w:rsidRPr="000A6609">
        <w:rPr>
          <w:i/>
        </w:rPr>
        <w:t xml:space="preserve"> </w:t>
      </w:r>
      <w:proofErr w:type="spellStart"/>
      <w:proofErr w:type="gramStart"/>
      <w:r w:rsidRPr="000A6609">
        <w:rPr>
          <w:i/>
        </w:rPr>
        <w:t>р</w:t>
      </w:r>
      <w:proofErr w:type="gramEnd"/>
      <w:r w:rsidRPr="000A6609">
        <w:rPr>
          <w:i/>
        </w:rPr>
        <w:t>івень</w:t>
      </w:r>
      <w:proofErr w:type="spellEnd"/>
      <w:r w:rsidRPr="000A6609">
        <w:rPr>
          <w:i/>
        </w:rPr>
        <w:t xml:space="preserve"> </w:t>
      </w:r>
      <w:proofErr w:type="spellStart"/>
      <w:r w:rsidRPr="000A6609">
        <w:rPr>
          <w:i/>
        </w:rPr>
        <w:t>завантаженості</w:t>
      </w:r>
      <w:proofErr w:type="spellEnd"/>
      <w:r w:rsidRPr="000A6609">
        <w:rPr>
          <w:i/>
        </w:rPr>
        <w:t xml:space="preserve"> ПСГ за </w:t>
      </w:r>
      <w:proofErr w:type="spellStart"/>
      <w:r w:rsidRPr="000A6609">
        <w:rPr>
          <w:i/>
        </w:rPr>
        <w:t>період</w:t>
      </w:r>
      <w:proofErr w:type="spellEnd"/>
      <w:r w:rsidRPr="000A6609">
        <w:rPr>
          <w:i/>
        </w:rPr>
        <w:t xml:space="preserve"> 2016– 2025 </w:t>
      </w:r>
      <w:proofErr w:type="spellStart"/>
      <w:r>
        <w:rPr>
          <w:i/>
        </w:rPr>
        <w:t>рр</w:t>
      </w:r>
      <w:proofErr w:type="spellEnd"/>
      <w:r>
        <w:rPr>
          <w:i/>
        </w:rPr>
        <w:t xml:space="preserve">. в </w:t>
      </w:r>
      <w:proofErr w:type="spellStart"/>
      <w:r>
        <w:rPr>
          <w:i/>
        </w:rPr>
        <w:t>млрд.куб.м</w:t>
      </w:r>
      <w:proofErr w:type="spellEnd"/>
      <w:r>
        <w:rPr>
          <w:i/>
        </w:rPr>
        <w:t xml:space="preserve">. в </w:t>
      </w:r>
      <w:proofErr w:type="spellStart"/>
      <w:r>
        <w:rPr>
          <w:i/>
        </w:rPr>
        <w:t>рік</w:t>
      </w:r>
      <w:proofErr w:type="spellEnd"/>
      <w:r w:rsidRPr="000A6609">
        <w:rPr>
          <w:i/>
        </w:rPr>
        <w:t xml:space="preserve"> </w:t>
      </w:r>
      <w:proofErr w:type="spellStart"/>
      <w:r w:rsidRPr="000A6609">
        <w:rPr>
          <w:i/>
        </w:rPr>
        <w:t>відповідно</w:t>
      </w:r>
      <w:proofErr w:type="spellEnd"/>
      <w:r w:rsidRPr="000A6609">
        <w:rPr>
          <w:i/>
        </w:rPr>
        <w:t xml:space="preserve"> до </w:t>
      </w:r>
      <w:proofErr w:type="spellStart"/>
      <w:r>
        <w:rPr>
          <w:i/>
        </w:rPr>
        <w:t>десятирічного</w:t>
      </w:r>
      <w:proofErr w:type="spellEnd"/>
      <w:r>
        <w:rPr>
          <w:i/>
        </w:rPr>
        <w:t xml:space="preserve"> плану</w:t>
      </w:r>
      <w:r w:rsidRPr="000A6609">
        <w:rPr>
          <w:i/>
        </w:rPr>
        <w:t xml:space="preserve"> </w:t>
      </w:r>
      <w:proofErr w:type="spellStart"/>
      <w:r w:rsidRPr="000A6609">
        <w:rPr>
          <w:i/>
        </w:rPr>
        <w:t>розвитку</w:t>
      </w:r>
      <w:proofErr w:type="spellEnd"/>
      <w:r w:rsidRPr="000A6609">
        <w:rPr>
          <w:i/>
        </w:rPr>
        <w:t xml:space="preserve"> </w:t>
      </w:r>
      <w:proofErr w:type="spellStart"/>
      <w:r w:rsidRPr="000A6609">
        <w:rPr>
          <w:i/>
        </w:rPr>
        <w:t>газосховищ</w:t>
      </w:r>
      <w:proofErr w:type="spellEnd"/>
      <w:r w:rsidRPr="000A6609">
        <w:rPr>
          <w:i/>
        </w:rPr>
        <w:t xml:space="preserve"> ПАТ «УКРТРАНСГАЗ» на 2016 – 2025 </w:t>
      </w:r>
      <w:proofErr w:type="spellStart"/>
      <w:r w:rsidRPr="000A6609">
        <w:rPr>
          <w:i/>
        </w:rPr>
        <w:t>рр</w:t>
      </w:r>
      <w:proofErr w:type="spellEnd"/>
      <w:r w:rsidRPr="000A6609">
        <w:rPr>
          <w:i/>
        </w:rPr>
        <w:t>.</w:t>
      </w:r>
    </w:p>
    <w:p w:rsidR="00330F39" w:rsidRPr="00330F39" w:rsidRDefault="00330F39" w:rsidP="00330F39">
      <w:pPr>
        <w:ind w:firstLine="567"/>
        <w:jc w:val="both"/>
        <w:rPr>
          <w:sz w:val="28"/>
          <w:szCs w:val="28"/>
        </w:rPr>
      </w:pPr>
      <w:proofErr w:type="spellStart"/>
      <w:r w:rsidRPr="00330F39">
        <w:rPr>
          <w:sz w:val="28"/>
          <w:szCs w:val="28"/>
        </w:rPr>
        <w:t>Використання</w:t>
      </w:r>
      <w:proofErr w:type="spellEnd"/>
      <w:r w:rsidRPr="00330F39">
        <w:rPr>
          <w:sz w:val="28"/>
          <w:szCs w:val="28"/>
        </w:rPr>
        <w:t xml:space="preserve"> </w:t>
      </w:r>
      <w:proofErr w:type="spellStart"/>
      <w:r w:rsidRPr="00330F39">
        <w:rPr>
          <w:sz w:val="28"/>
          <w:szCs w:val="28"/>
        </w:rPr>
        <w:t>вільних</w:t>
      </w:r>
      <w:proofErr w:type="spellEnd"/>
      <w:r w:rsidRPr="00330F39">
        <w:rPr>
          <w:sz w:val="28"/>
          <w:szCs w:val="28"/>
        </w:rPr>
        <w:t xml:space="preserve"> </w:t>
      </w:r>
      <w:proofErr w:type="spellStart"/>
      <w:r w:rsidRPr="00330F39">
        <w:rPr>
          <w:sz w:val="28"/>
          <w:szCs w:val="28"/>
        </w:rPr>
        <w:t>потужностей</w:t>
      </w:r>
      <w:proofErr w:type="spellEnd"/>
      <w:r w:rsidRPr="00330F39">
        <w:rPr>
          <w:sz w:val="28"/>
          <w:szCs w:val="28"/>
        </w:rPr>
        <w:t xml:space="preserve"> ПСГ ПАТ «УКРТРАНСГАЗ» </w:t>
      </w:r>
      <w:proofErr w:type="spellStart"/>
      <w:r w:rsidRPr="00330F39">
        <w:rPr>
          <w:sz w:val="28"/>
          <w:szCs w:val="28"/>
        </w:rPr>
        <w:t>європейськими</w:t>
      </w:r>
      <w:proofErr w:type="spellEnd"/>
      <w:r w:rsidRPr="00330F39">
        <w:rPr>
          <w:sz w:val="28"/>
          <w:szCs w:val="28"/>
        </w:rPr>
        <w:t xml:space="preserve"> </w:t>
      </w:r>
      <w:proofErr w:type="spellStart"/>
      <w:r w:rsidRPr="00330F39">
        <w:rPr>
          <w:sz w:val="28"/>
          <w:szCs w:val="28"/>
        </w:rPr>
        <w:t>енергетичними</w:t>
      </w:r>
      <w:proofErr w:type="spellEnd"/>
      <w:r w:rsidRPr="00330F39">
        <w:rPr>
          <w:sz w:val="28"/>
          <w:szCs w:val="28"/>
        </w:rPr>
        <w:t xml:space="preserve"> </w:t>
      </w:r>
      <w:proofErr w:type="spellStart"/>
      <w:r w:rsidRPr="00330F39">
        <w:rPr>
          <w:sz w:val="28"/>
          <w:szCs w:val="28"/>
        </w:rPr>
        <w:t>компаніями</w:t>
      </w:r>
      <w:proofErr w:type="spellEnd"/>
      <w:r w:rsidRPr="00330F39">
        <w:rPr>
          <w:sz w:val="28"/>
          <w:szCs w:val="28"/>
        </w:rPr>
        <w:t xml:space="preserve"> </w:t>
      </w:r>
      <w:proofErr w:type="spellStart"/>
      <w:r w:rsidRPr="00330F39">
        <w:rPr>
          <w:sz w:val="28"/>
          <w:szCs w:val="28"/>
        </w:rPr>
        <w:t>сприятиме</w:t>
      </w:r>
      <w:proofErr w:type="spellEnd"/>
      <w:r w:rsidRPr="00330F39">
        <w:rPr>
          <w:sz w:val="28"/>
          <w:szCs w:val="28"/>
        </w:rPr>
        <w:t xml:space="preserve"> </w:t>
      </w:r>
      <w:proofErr w:type="spellStart"/>
      <w:r w:rsidRPr="00330F39">
        <w:rPr>
          <w:sz w:val="28"/>
          <w:szCs w:val="28"/>
        </w:rPr>
        <w:t>більшій</w:t>
      </w:r>
      <w:proofErr w:type="spellEnd"/>
      <w:r w:rsidRPr="00330F39">
        <w:rPr>
          <w:sz w:val="28"/>
          <w:szCs w:val="28"/>
        </w:rPr>
        <w:t xml:space="preserve"> </w:t>
      </w:r>
      <w:proofErr w:type="spellStart"/>
      <w:r w:rsidRPr="00330F39">
        <w:rPr>
          <w:sz w:val="28"/>
          <w:szCs w:val="28"/>
        </w:rPr>
        <w:t>завантаженості</w:t>
      </w:r>
      <w:proofErr w:type="spellEnd"/>
      <w:r w:rsidRPr="00330F39">
        <w:rPr>
          <w:sz w:val="28"/>
          <w:szCs w:val="28"/>
        </w:rPr>
        <w:t xml:space="preserve"> ПСГ, а </w:t>
      </w:r>
      <w:proofErr w:type="spellStart"/>
      <w:r w:rsidRPr="00330F39">
        <w:rPr>
          <w:sz w:val="28"/>
          <w:szCs w:val="28"/>
        </w:rPr>
        <w:t>також</w:t>
      </w:r>
      <w:proofErr w:type="spellEnd"/>
      <w:r w:rsidRPr="00330F39">
        <w:rPr>
          <w:sz w:val="28"/>
          <w:szCs w:val="28"/>
        </w:rPr>
        <w:t xml:space="preserve"> </w:t>
      </w:r>
      <w:proofErr w:type="spellStart"/>
      <w:r w:rsidRPr="00330F39">
        <w:rPr>
          <w:sz w:val="28"/>
          <w:szCs w:val="28"/>
        </w:rPr>
        <w:t>отриманню</w:t>
      </w:r>
      <w:proofErr w:type="spellEnd"/>
      <w:r w:rsidRPr="00330F39">
        <w:rPr>
          <w:sz w:val="28"/>
          <w:szCs w:val="28"/>
        </w:rPr>
        <w:t xml:space="preserve"> </w:t>
      </w:r>
      <w:proofErr w:type="spellStart"/>
      <w:r w:rsidRPr="00330F39">
        <w:rPr>
          <w:sz w:val="28"/>
          <w:szCs w:val="28"/>
        </w:rPr>
        <w:t>додаткового</w:t>
      </w:r>
      <w:proofErr w:type="spellEnd"/>
      <w:r w:rsidRPr="00330F39">
        <w:rPr>
          <w:sz w:val="28"/>
          <w:szCs w:val="28"/>
        </w:rPr>
        <w:t xml:space="preserve"> доходу за </w:t>
      </w:r>
      <w:proofErr w:type="spellStart"/>
      <w:r w:rsidRPr="00330F39">
        <w:rPr>
          <w:sz w:val="28"/>
          <w:szCs w:val="28"/>
        </w:rPr>
        <w:t>послуги</w:t>
      </w:r>
      <w:proofErr w:type="spellEnd"/>
      <w:r w:rsidRPr="00330F39">
        <w:rPr>
          <w:sz w:val="28"/>
          <w:szCs w:val="28"/>
        </w:rPr>
        <w:t xml:space="preserve"> </w:t>
      </w:r>
      <w:proofErr w:type="spellStart"/>
      <w:r w:rsidRPr="00330F39">
        <w:rPr>
          <w:sz w:val="28"/>
          <w:szCs w:val="28"/>
        </w:rPr>
        <w:t>зберігання</w:t>
      </w:r>
      <w:proofErr w:type="spellEnd"/>
      <w:r w:rsidRPr="00330F39">
        <w:rPr>
          <w:sz w:val="28"/>
          <w:szCs w:val="28"/>
        </w:rPr>
        <w:t xml:space="preserve"> та </w:t>
      </w:r>
      <w:proofErr w:type="spellStart"/>
      <w:r w:rsidRPr="00330F39">
        <w:rPr>
          <w:sz w:val="28"/>
          <w:szCs w:val="28"/>
        </w:rPr>
        <w:t>транспортування</w:t>
      </w:r>
      <w:proofErr w:type="spellEnd"/>
      <w:r w:rsidRPr="00330F39">
        <w:rPr>
          <w:sz w:val="28"/>
          <w:szCs w:val="28"/>
        </w:rPr>
        <w:t xml:space="preserve">.  </w:t>
      </w:r>
    </w:p>
    <w:p w:rsidR="00330F39" w:rsidRDefault="00330F39" w:rsidP="00330F39">
      <w:pPr>
        <w:ind w:firstLine="567"/>
        <w:jc w:val="right"/>
      </w:pPr>
    </w:p>
    <w:p w:rsidR="00330F39" w:rsidRDefault="00330F39" w:rsidP="00330F39">
      <w:pPr>
        <w:ind w:left="1418" w:hanging="851"/>
        <w:jc w:val="both"/>
      </w:pPr>
      <w:r>
        <w:t>Табл. 1</w:t>
      </w:r>
      <w:proofErr w:type="gramStart"/>
      <w:r>
        <w:t xml:space="preserve"> Д</w:t>
      </w:r>
      <w:proofErr w:type="gramEnd"/>
      <w:r>
        <w:t xml:space="preserve">оходи за </w:t>
      </w:r>
      <w:proofErr w:type="spellStart"/>
      <w:r>
        <w:t>послуги</w:t>
      </w:r>
      <w:proofErr w:type="spellEnd"/>
      <w:r>
        <w:t xml:space="preserve"> </w:t>
      </w:r>
      <w:proofErr w:type="spellStart"/>
      <w:r>
        <w:t>зберігання</w:t>
      </w:r>
      <w:proofErr w:type="spellEnd"/>
      <w:r>
        <w:t xml:space="preserve"> та </w:t>
      </w:r>
      <w:proofErr w:type="spellStart"/>
      <w:r>
        <w:t>транспортування</w:t>
      </w:r>
      <w:proofErr w:type="spellEnd"/>
      <w:r>
        <w:t xml:space="preserve"> природного газу за </w:t>
      </w:r>
      <w:proofErr w:type="spellStart"/>
      <w:r>
        <w:t>умови</w:t>
      </w:r>
      <w:proofErr w:type="spellEnd"/>
      <w:r>
        <w:t xml:space="preserve">, </w:t>
      </w:r>
      <w:proofErr w:type="spellStart"/>
      <w:r>
        <w:t>створення</w:t>
      </w:r>
      <w:proofErr w:type="spellEnd"/>
      <w:r>
        <w:t xml:space="preserve"> митного складу (млн. грн.). </w:t>
      </w:r>
    </w:p>
    <w:tbl>
      <w:tblPr>
        <w:tblStyle w:val="a6"/>
        <w:tblW w:w="10075" w:type="dxa"/>
        <w:tblInd w:w="108" w:type="dxa"/>
        <w:tblLook w:val="04A0" w:firstRow="1" w:lastRow="0" w:firstColumn="1" w:lastColumn="0" w:noHBand="0" w:noVBand="1"/>
      </w:tblPr>
      <w:tblGrid>
        <w:gridCol w:w="2660"/>
        <w:gridCol w:w="1483"/>
        <w:gridCol w:w="1483"/>
        <w:gridCol w:w="1483"/>
        <w:gridCol w:w="1483"/>
        <w:gridCol w:w="1483"/>
      </w:tblGrid>
      <w:tr w:rsidR="00330F39" w:rsidTr="00461F01">
        <w:tc>
          <w:tcPr>
            <w:tcW w:w="2660" w:type="dxa"/>
          </w:tcPr>
          <w:p w:rsidR="00330F39" w:rsidRDefault="00330F39" w:rsidP="00461F01">
            <w:pPr>
              <w:jc w:val="both"/>
              <w:rPr>
                <w:rFonts w:ascii="Times New Roman" w:hAnsi="Times New Roman"/>
              </w:rPr>
            </w:pPr>
            <w:proofErr w:type="spellStart"/>
            <w:proofErr w:type="gramStart"/>
            <w:r>
              <w:rPr>
                <w:rFonts w:ascii="Times New Roman" w:hAnsi="Times New Roman"/>
              </w:rPr>
              <w:t>Р</w:t>
            </w:r>
            <w:proofErr w:type="gramEnd"/>
            <w:r>
              <w:rPr>
                <w:rFonts w:ascii="Times New Roman" w:hAnsi="Times New Roman"/>
              </w:rPr>
              <w:t>івень</w:t>
            </w:r>
            <w:proofErr w:type="spellEnd"/>
            <w:r>
              <w:rPr>
                <w:rFonts w:ascii="Times New Roman" w:hAnsi="Times New Roman"/>
              </w:rPr>
              <w:t xml:space="preserve"> </w:t>
            </w:r>
            <w:proofErr w:type="spellStart"/>
            <w:r>
              <w:rPr>
                <w:rFonts w:ascii="Times New Roman" w:hAnsi="Times New Roman"/>
              </w:rPr>
              <w:t>потужностей</w:t>
            </w:r>
            <w:proofErr w:type="spellEnd"/>
            <w:r>
              <w:rPr>
                <w:rFonts w:ascii="Times New Roman" w:hAnsi="Times New Roman"/>
              </w:rPr>
              <w:t xml:space="preserve"> ПСГ </w:t>
            </w:r>
            <w:proofErr w:type="spellStart"/>
            <w:r>
              <w:rPr>
                <w:rFonts w:ascii="Times New Roman" w:hAnsi="Times New Roman"/>
              </w:rPr>
              <w:t>наданий</w:t>
            </w:r>
            <w:proofErr w:type="spellEnd"/>
            <w:r>
              <w:rPr>
                <w:rFonts w:ascii="Times New Roman" w:hAnsi="Times New Roman"/>
              </w:rPr>
              <w:t xml:space="preserve"> для митного складу </w:t>
            </w:r>
          </w:p>
        </w:tc>
        <w:tc>
          <w:tcPr>
            <w:tcW w:w="1483" w:type="dxa"/>
            <w:vAlign w:val="center"/>
          </w:tcPr>
          <w:p w:rsidR="00330F39" w:rsidRDefault="00330F39" w:rsidP="00461F01">
            <w:pPr>
              <w:jc w:val="center"/>
              <w:rPr>
                <w:rFonts w:ascii="Times New Roman" w:hAnsi="Times New Roman"/>
              </w:rPr>
            </w:pPr>
            <w:r>
              <w:rPr>
                <w:rFonts w:ascii="Times New Roman" w:hAnsi="Times New Roman"/>
              </w:rPr>
              <w:t>5%</w:t>
            </w:r>
          </w:p>
          <w:p w:rsidR="00330F39" w:rsidRPr="001F16CA" w:rsidRDefault="00330F39" w:rsidP="00461F01">
            <w:pPr>
              <w:jc w:val="center"/>
              <w:rPr>
                <w:rFonts w:ascii="Times New Roman" w:hAnsi="Times New Roman"/>
                <w:sz w:val="16"/>
                <w:szCs w:val="16"/>
              </w:rPr>
            </w:pPr>
            <w:r w:rsidRPr="001F16CA">
              <w:rPr>
                <w:rFonts w:ascii="Times New Roman" w:hAnsi="Times New Roman"/>
                <w:sz w:val="16"/>
                <w:szCs w:val="16"/>
              </w:rPr>
              <w:t xml:space="preserve">(1,55 </w:t>
            </w:r>
            <w:proofErr w:type="spellStart"/>
            <w:r w:rsidRPr="001F16CA">
              <w:rPr>
                <w:rFonts w:ascii="Times New Roman" w:hAnsi="Times New Roman"/>
                <w:sz w:val="16"/>
                <w:szCs w:val="16"/>
              </w:rPr>
              <w:t>млрд</w:t>
            </w:r>
            <w:proofErr w:type="gramStart"/>
            <w:r w:rsidRPr="001F16CA">
              <w:rPr>
                <w:rFonts w:ascii="Times New Roman" w:hAnsi="Times New Roman"/>
                <w:sz w:val="16"/>
                <w:szCs w:val="16"/>
              </w:rPr>
              <w:t>.к</w:t>
            </w:r>
            <w:proofErr w:type="gramEnd"/>
            <w:r w:rsidRPr="001F16CA">
              <w:rPr>
                <w:rFonts w:ascii="Times New Roman" w:hAnsi="Times New Roman"/>
                <w:sz w:val="16"/>
                <w:szCs w:val="16"/>
              </w:rPr>
              <w:t>уб.м</w:t>
            </w:r>
            <w:proofErr w:type="spellEnd"/>
            <w:r w:rsidRPr="001F16CA">
              <w:rPr>
                <w:rFonts w:ascii="Times New Roman" w:hAnsi="Times New Roman"/>
                <w:sz w:val="16"/>
                <w:szCs w:val="16"/>
              </w:rPr>
              <w:t>.)</w:t>
            </w:r>
          </w:p>
        </w:tc>
        <w:tc>
          <w:tcPr>
            <w:tcW w:w="1483" w:type="dxa"/>
            <w:vAlign w:val="center"/>
          </w:tcPr>
          <w:p w:rsidR="00330F39" w:rsidRDefault="00330F39" w:rsidP="00461F01">
            <w:pPr>
              <w:jc w:val="center"/>
              <w:rPr>
                <w:rFonts w:ascii="Times New Roman" w:hAnsi="Times New Roman"/>
              </w:rPr>
            </w:pPr>
            <w:r>
              <w:rPr>
                <w:rFonts w:ascii="Times New Roman" w:hAnsi="Times New Roman"/>
              </w:rPr>
              <w:t>10%</w:t>
            </w:r>
          </w:p>
          <w:p w:rsidR="00330F39" w:rsidRDefault="00330F39" w:rsidP="00461F01">
            <w:pPr>
              <w:jc w:val="center"/>
              <w:rPr>
                <w:rFonts w:ascii="Times New Roman" w:hAnsi="Times New Roman"/>
              </w:rPr>
            </w:pPr>
            <w:r w:rsidRPr="001F16CA">
              <w:rPr>
                <w:rFonts w:ascii="Times New Roman" w:hAnsi="Times New Roman"/>
                <w:sz w:val="16"/>
                <w:szCs w:val="16"/>
              </w:rPr>
              <w:t>(</w:t>
            </w:r>
            <w:r>
              <w:rPr>
                <w:rFonts w:ascii="Times New Roman" w:hAnsi="Times New Roman"/>
                <w:sz w:val="16"/>
                <w:szCs w:val="16"/>
              </w:rPr>
              <w:t>3,1</w:t>
            </w:r>
            <w:r w:rsidRPr="001F16CA">
              <w:rPr>
                <w:rFonts w:ascii="Times New Roman" w:hAnsi="Times New Roman"/>
                <w:sz w:val="16"/>
                <w:szCs w:val="16"/>
              </w:rPr>
              <w:t xml:space="preserve"> </w:t>
            </w:r>
            <w:proofErr w:type="spellStart"/>
            <w:r w:rsidRPr="001F16CA">
              <w:rPr>
                <w:rFonts w:ascii="Times New Roman" w:hAnsi="Times New Roman"/>
                <w:sz w:val="16"/>
                <w:szCs w:val="16"/>
              </w:rPr>
              <w:t>млрд</w:t>
            </w:r>
            <w:proofErr w:type="gramStart"/>
            <w:r w:rsidRPr="001F16CA">
              <w:rPr>
                <w:rFonts w:ascii="Times New Roman" w:hAnsi="Times New Roman"/>
                <w:sz w:val="16"/>
                <w:szCs w:val="16"/>
              </w:rPr>
              <w:t>.к</w:t>
            </w:r>
            <w:proofErr w:type="gramEnd"/>
            <w:r w:rsidRPr="001F16CA">
              <w:rPr>
                <w:rFonts w:ascii="Times New Roman" w:hAnsi="Times New Roman"/>
                <w:sz w:val="16"/>
                <w:szCs w:val="16"/>
              </w:rPr>
              <w:t>уб.м</w:t>
            </w:r>
            <w:proofErr w:type="spellEnd"/>
            <w:r w:rsidRPr="001F16CA">
              <w:rPr>
                <w:rFonts w:ascii="Times New Roman" w:hAnsi="Times New Roman"/>
                <w:sz w:val="16"/>
                <w:szCs w:val="16"/>
              </w:rPr>
              <w:t>.)</w:t>
            </w:r>
          </w:p>
        </w:tc>
        <w:tc>
          <w:tcPr>
            <w:tcW w:w="1483" w:type="dxa"/>
            <w:vAlign w:val="center"/>
          </w:tcPr>
          <w:p w:rsidR="00330F39" w:rsidRDefault="00330F39" w:rsidP="00461F01">
            <w:pPr>
              <w:jc w:val="center"/>
              <w:rPr>
                <w:rFonts w:ascii="Times New Roman" w:hAnsi="Times New Roman"/>
              </w:rPr>
            </w:pPr>
            <w:r>
              <w:rPr>
                <w:rFonts w:ascii="Times New Roman" w:hAnsi="Times New Roman"/>
              </w:rPr>
              <w:t>20%</w:t>
            </w:r>
          </w:p>
          <w:p w:rsidR="00330F39" w:rsidRDefault="00330F39" w:rsidP="00461F01">
            <w:pPr>
              <w:jc w:val="center"/>
              <w:rPr>
                <w:rFonts w:ascii="Times New Roman" w:hAnsi="Times New Roman"/>
              </w:rPr>
            </w:pPr>
            <w:r w:rsidRPr="001F16CA">
              <w:rPr>
                <w:rFonts w:ascii="Times New Roman" w:hAnsi="Times New Roman"/>
                <w:sz w:val="16"/>
                <w:szCs w:val="16"/>
              </w:rPr>
              <w:t>(</w:t>
            </w:r>
            <w:r>
              <w:rPr>
                <w:rFonts w:ascii="Times New Roman" w:hAnsi="Times New Roman"/>
                <w:sz w:val="16"/>
                <w:szCs w:val="16"/>
              </w:rPr>
              <w:t>6</w:t>
            </w:r>
            <w:r w:rsidRPr="001F16CA">
              <w:rPr>
                <w:rFonts w:ascii="Times New Roman" w:hAnsi="Times New Roman"/>
                <w:sz w:val="16"/>
                <w:szCs w:val="16"/>
              </w:rPr>
              <w:t>,</w:t>
            </w:r>
            <w:r>
              <w:rPr>
                <w:rFonts w:ascii="Times New Roman" w:hAnsi="Times New Roman"/>
                <w:sz w:val="16"/>
                <w:szCs w:val="16"/>
              </w:rPr>
              <w:t>2</w:t>
            </w:r>
            <w:r w:rsidRPr="001F16CA">
              <w:rPr>
                <w:rFonts w:ascii="Times New Roman" w:hAnsi="Times New Roman"/>
                <w:sz w:val="16"/>
                <w:szCs w:val="16"/>
              </w:rPr>
              <w:t xml:space="preserve"> </w:t>
            </w:r>
            <w:proofErr w:type="spellStart"/>
            <w:r w:rsidRPr="001F16CA">
              <w:rPr>
                <w:rFonts w:ascii="Times New Roman" w:hAnsi="Times New Roman"/>
                <w:sz w:val="16"/>
                <w:szCs w:val="16"/>
              </w:rPr>
              <w:t>млрд</w:t>
            </w:r>
            <w:proofErr w:type="gramStart"/>
            <w:r w:rsidRPr="001F16CA">
              <w:rPr>
                <w:rFonts w:ascii="Times New Roman" w:hAnsi="Times New Roman"/>
                <w:sz w:val="16"/>
                <w:szCs w:val="16"/>
              </w:rPr>
              <w:t>.к</w:t>
            </w:r>
            <w:proofErr w:type="gramEnd"/>
            <w:r w:rsidRPr="001F16CA">
              <w:rPr>
                <w:rFonts w:ascii="Times New Roman" w:hAnsi="Times New Roman"/>
                <w:sz w:val="16"/>
                <w:szCs w:val="16"/>
              </w:rPr>
              <w:t>уб.м</w:t>
            </w:r>
            <w:proofErr w:type="spellEnd"/>
            <w:r w:rsidRPr="001F16CA">
              <w:rPr>
                <w:rFonts w:ascii="Times New Roman" w:hAnsi="Times New Roman"/>
                <w:sz w:val="16"/>
                <w:szCs w:val="16"/>
              </w:rPr>
              <w:t>.)</w:t>
            </w:r>
          </w:p>
        </w:tc>
        <w:tc>
          <w:tcPr>
            <w:tcW w:w="1483" w:type="dxa"/>
            <w:vAlign w:val="center"/>
          </w:tcPr>
          <w:p w:rsidR="00330F39" w:rsidRDefault="00330F39" w:rsidP="00461F01">
            <w:pPr>
              <w:jc w:val="center"/>
              <w:rPr>
                <w:rFonts w:ascii="Times New Roman" w:hAnsi="Times New Roman"/>
              </w:rPr>
            </w:pPr>
            <w:r>
              <w:rPr>
                <w:rFonts w:ascii="Times New Roman" w:hAnsi="Times New Roman"/>
              </w:rPr>
              <w:t>30%</w:t>
            </w:r>
          </w:p>
          <w:p w:rsidR="00330F39" w:rsidRDefault="00330F39" w:rsidP="00461F01">
            <w:pPr>
              <w:jc w:val="center"/>
              <w:rPr>
                <w:rFonts w:ascii="Times New Roman" w:hAnsi="Times New Roman"/>
              </w:rPr>
            </w:pPr>
            <w:r w:rsidRPr="001F16CA">
              <w:rPr>
                <w:rFonts w:ascii="Times New Roman" w:hAnsi="Times New Roman"/>
                <w:sz w:val="16"/>
                <w:szCs w:val="16"/>
              </w:rPr>
              <w:t>(</w:t>
            </w:r>
            <w:r>
              <w:rPr>
                <w:rFonts w:ascii="Times New Roman" w:hAnsi="Times New Roman"/>
                <w:sz w:val="16"/>
                <w:szCs w:val="16"/>
              </w:rPr>
              <w:t>9,3</w:t>
            </w:r>
            <w:r w:rsidRPr="001F16CA">
              <w:rPr>
                <w:rFonts w:ascii="Times New Roman" w:hAnsi="Times New Roman"/>
                <w:sz w:val="16"/>
                <w:szCs w:val="16"/>
              </w:rPr>
              <w:t xml:space="preserve"> </w:t>
            </w:r>
            <w:proofErr w:type="spellStart"/>
            <w:r w:rsidRPr="001F16CA">
              <w:rPr>
                <w:rFonts w:ascii="Times New Roman" w:hAnsi="Times New Roman"/>
                <w:sz w:val="16"/>
                <w:szCs w:val="16"/>
              </w:rPr>
              <w:t>млрд</w:t>
            </w:r>
            <w:proofErr w:type="gramStart"/>
            <w:r w:rsidRPr="001F16CA">
              <w:rPr>
                <w:rFonts w:ascii="Times New Roman" w:hAnsi="Times New Roman"/>
                <w:sz w:val="16"/>
                <w:szCs w:val="16"/>
              </w:rPr>
              <w:t>.к</w:t>
            </w:r>
            <w:proofErr w:type="gramEnd"/>
            <w:r w:rsidRPr="001F16CA">
              <w:rPr>
                <w:rFonts w:ascii="Times New Roman" w:hAnsi="Times New Roman"/>
                <w:sz w:val="16"/>
                <w:szCs w:val="16"/>
              </w:rPr>
              <w:t>уб.м</w:t>
            </w:r>
            <w:proofErr w:type="spellEnd"/>
            <w:r w:rsidRPr="001F16CA">
              <w:rPr>
                <w:rFonts w:ascii="Times New Roman" w:hAnsi="Times New Roman"/>
                <w:sz w:val="16"/>
                <w:szCs w:val="16"/>
              </w:rPr>
              <w:t>.)</w:t>
            </w:r>
          </w:p>
        </w:tc>
        <w:tc>
          <w:tcPr>
            <w:tcW w:w="1483" w:type="dxa"/>
            <w:vAlign w:val="center"/>
          </w:tcPr>
          <w:p w:rsidR="00330F39" w:rsidRDefault="00330F39" w:rsidP="00461F01">
            <w:pPr>
              <w:jc w:val="center"/>
              <w:rPr>
                <w:rFonts w:ascii="Times New Roman" w:hAnsi="Times New Roman"/>
              </w:rPr>
            </w:pPr>
            <w:r>
              <w:rPr>
                <w:rFonts w:ascii="Times New Roman" w:hAnsi="Times New Roman"/>
              </w:rPr>
              <w:t>40%</w:t>
            </w:r>
          </w:p>
          <w:p w:rsidR="00330F39" w:rsidRDefault="00330F39" w:rsidP="00461F01">
            <w:pPr>
              <w:jc w:val="center"/>
              <w:rPr>
                <w:rFonts w:ascii="Times New Roman" w:hAnsi="Times New Roman"/>
              </w:rPr>
            </w:pPr>
            <w:r w:rsidRPr="001F16CA">
              <w:rPr>
                <w:rFonts w:ascii="Times New Roman" w:hAnsi="Times New Roman"/>
                <w:sz w:val="16"/>
                <w:szCs w:val="16"/>
              </w:rPr>
              <w:t>(</w:t>
            </w:r>
            <w:r>
              <w:rPr>
                <w:rFonts w:ascii="Times New Roman" w:hAnsi="Times New Roman"/>
                <w:sz w:val="16"/>
                <w:szCs w:val="16"/>
              </w:rPr>
              <w:t>12</w:t>
            </w:r>
            <w:r w:rsidRPr="001F16CA">
              <w:rPr>
                <w:rFonts w:ascii="Times New Roman" w:hAnsi="Times New Roman"/>
                <w:sz w:val="16"/>
                <w:szCs w:val="16"/>
              </w:rPr>
              <w:t>,</w:t>
            </w:r>
            <w:r>
              <w:rPr>
                <w:rFonts w:ascii="Times New Roman" w:hAnsi="Times New Roman"/>
                <w:sz w:val="16"/>
                <w:szCs w:val="16"/>
              </w:rPr>
              <w:t>4</w:t>
            </w:r>
            <w:r w:rsidRPr="001F16CA">
              <w:rPr>
                <w:rFonts w:ascii="Times New Roman" w:hAnsi="Times New Roman"/>
                <w:sz w:val="16"/>
                <w:szCs w:val="16"/>
              </w:rPr>
              <w:t xml:space="preserve"> </w:t>
            </w:r>
            <w:proofErr w:type="spellStart"/>
            <w:r w:rsidRPr="001F16CA">
              <w:rPr>
                <w:rFonts w:ascii="Times New Roman" w:hAnsi="Times New Roman"/>
                <w:sz w:val="16"/>
                <w:szCs w:val="16"/>
              </w:rPr>
              <w:t>млрд</w:t>
            </w:r>
            <w:proofErr w:type="gramStart"/>
            <w:r w:rsidRPr="001F16CA">
              <w:rPr>
                <w:rFonts w:ascii="Times New Roman" w:hAnsi="Times New Roman"/>
                <w:sz w:val="16"/>
                <w:szCs w:val="16"/>
              </w:rPr>
              <w:t>.к</w:t>
            </w:r>
            <w:proofErr w:type="gramEnd"/>
            <w:r w:rsidRPr="001F16CA">
              <w:rPr>
                <w:rFonts w:ascii="Times New Roman" w:hAnsi="Times New Roman"/>
                <w:sz w:val="16"/>
                <w:szCs w:val="16"/>
              </w:rPr>
              <w:t>уб.м</w:t>
            </w:r>
            <w:proofErr w:type="spellEnd"/>
            <w:r w:rsidRPr="001F16CA">
              <w:rPr>
                <w:rFonts w:ascii="Times New Roman" w:hAnsi="Times New Roman"/>
                <w:sz w:val="16"/>
                <w:szCs w:val="16"/>
              </w:rPr>
              <w:t>.)</w:t>
            </w:r>
          </w:p>
        </w:tc>
      </w:tr>
      <w:tr w:rsidR="00330F39" w:rsidTr="00461F01">
        <w:tc>
          <w:tcPr>
            <w:tcW w:w="2660" w:type="dxa"/>
          </w:tcPr>
          <w:p w:rsidR="00330F39" w:rsidRDefault="00330F39" w:rsidP="00461F01">
            <w:pPr>
              <w:jc w:val="both"/>
              <w:rPr>
                <w:rFonts w:ascii="Times New Roman" w:hAnsi="Times New Roman"/>
              </w:rPr>
            </w:pPr>
            <w:proofErr w:type="spellStart"/>
            <w:r>
              <w:rPr>
                <w:rFonts w:ascii="Times New Roman" w:hAnsi="Times New Roman"/>
              </w:rPr>
              <w:t>Дохід</w:t>
            </w:r>
            <w:proofErr w:type="spellEnd"/>
            <w:r>
              <w:rPr>
                <w:rFonts w:ascii="Times New Roman" w:hAnsi="Times New Roman"/>
              </w:rPr>
              <w:t xml:space="preserve"> за </w:t>
            </w:r>
            <w:proofErr w:type="spellStart"/>
            <w:r>
              <w:rPr>
                <w:rFonts w:ascii="Times New Roman" w:hAnsi="Times New Roman"/>
              </w:rPr>
              <w:t>послуги</w:t>
            </w:r>
            <w:proofErr w:type="spellEnd"/>
            <w:r>
              <w:rPr>
                <w:rFonts w:ascii="Times New Roman" w:hAnsi="Times New Roman"/>
              </w:rPr>
              <w:t xml:space="preserve"> </w:t>
            </w:r>
            <w:proofErr w:type="spellStart"/>
            <w:r>
              <w:rPr>
                <w:rFonts w:ascii="Times New Roman" w:hAnsi="Times New Roman"/>
              </w:rPr>
              <w:t>зберігання</w:t>
            </w:r>
            <w:proofErr w:type="spellEnd"/>
            <w:r>
              <w:rPr>
                <w:rFonts w:ascii="Times New Roman" w:hAnsi="Times New Roman"/>
              </w:rPr>
              <w:t xml:space="preserve">  </w:t>
            </w:r>
            <w:r w:rsidRPr="00B830A4">
              <w:rPr>
                <w:rFonts w:ascii="Times New Roman" w:hAnsi="Times New Roman"/>
                <w:b/>
              </w:rPr>
              <w:t>без ПДВ</w:t>
            </w:r>
            <w:r>
              <w:rPr>
                <w:rFonts w:ascii="Times New Roman" w:hAnsi="Times New Roman"/>
              </w:rPr>
              <w:t xml:space="preserve"> (млн. грн.)</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173,3</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346,6</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693,3</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1 039,9</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1 386,6</w:t>
            </w:r>
          </w:p>
        </w:tc>
      </w:tr>
      <w:tr w:rsidR="00330F39" w:rsidTr="00461F01">
        <w:tc>
          <w:tcPr>
            <w:tcW w:w="2660" w:type="dxa"/>
          </w:tcPr>
          <w:p w:rsidR="00330F39" w:rsidRDefault="00330F39" w:rsidP="00461F01">
            <w:pPr>
              <w:jc w:val="both"/>
              <w:rPr>
                <w:rFonts w:ascii="Times New Roman" w:hAnsi="Times New Roman"/>
              </w:rPr>
            </w:pPr>
            <w:proofErr w:type="spellStart"/>
            <w:r>
              <w:rPr>
                <w:rFonts w:ascii="Times New Roman" w:hAnsi="Times New Roman"/>
              </w:rPr>
              <w:t>Дохід</w:t>
            </w:r>
            <w:proofErr w:type="spellEnd"/>
            <w:r>
              <w:rPr>
                <w:rFonts w:ascii="Times New Roman" w:hAnsi="Times New Roman"/>
              </w:rPr>
              <w:t xml:space="preserve"> за </w:t>
            </w:r>
            <w:proofErr w:type="spellStart"/>
            <w:r>
              <w:rPr>
                <w:rFonts w:ascii="Times New Roman" w:hAnsi="Times New Roman"/>
              </w:rPr>
              <w:t>послуги</w:t>
            </w:r>
            <w:proofErr w:type="spellEnd"/>
            <w:r>
              <w:rPr>
                <w:rFonts w:ascii="Times New Roman" w:hAnsi="Times New Roman"/>
              </w:rPr>
              <w:t xml:space="preserve"> </w:t>
            </w:r>
            <w:proofErr w:type="spellStart"/>
            <w:r>
              <w:rPr>
                <w:rFonts w:ascii="Times New Roman" w:hAnsi="Times New Roman"/>
              </w:rPr>
              <w:t>транспортування</w:t>
            </w:r>
            <w:proofErr w:type="spellEnd"/>
          </w:p>
          <w:p w:rsidR="00330F39" w:rsidRDefault="00330F39" w:rsidP="00461F01">
            <w:pPr>
              <w:jc w:val="both"/>
              <w:rPr>
                <w:rFonts w:ascii="Times New Roman" w:hAnsi="Times New Roman"/>
              </w:rPr>
            </w:pPr>
            <w:r>
              <w:rPr>
                <w:rFonts w:ascii="Times New Roman" w:hAnsi="Times New Roman"/>
              </w:rPr>
              <w:t xml:space="preserve"> </w:t>
            </w:r>
            <w:r w:rsidRPr="00B830A4">
              <w:rPr>
                <w:rFonts w:ascii="Times New Roman" w:hAnsi="Times New Roman"/>
                <w:b/>
              </w:rPr>
              <w:t>без ПДВ</w:t>
            </w:r>
            <w:r>
              <w:rPr>
                <w:rFonts w:ascii="Times New Roman" w:hAnsi="Times New Roman"/>
              </w:rPr>
              <w:t xml:space="preserve"> (млн. грн.)</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1 947,5</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3 895,1</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7 790,2</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11 685,2</w:t>
            </w:r>
          </w:p>
        </w:tc>
        <w:tc>
          <w:tcPr>
            <w:tcW w:w="1483" w:type="dxa"/>
            <w:vAlign w:val="center"/>
          </w:tcPr>
          <w:p w:rsidR="00330F39" w:rsidRPr="00DA4F1A" w:rsidRDefault="00330F39" w:rsidP="00461F01">
            <w:pPr>
              <w:jc w:val="center"/>
              <w:rPr>
                <w:rFonts w:ascii="Times New Roman" w:hAnsi="Times New Roman"/>
              </w:rPr>
            </w:pPr>
            <w:r w:rsidRPr="00DA4F1A">
              <w:rPr>
                <w:rFonts w:ascii="Times New Roman" w:hAnsi="Times New Roman"/>
              </w:rPr>
              <w:t>15 580,3</w:t>
            </w:r>
          </w:p>
        </w:tc>
      </w:tr>
      <w:tr w:rsidR="00330F39" w:rsidTr="00461F01">
        <w:tc>
          <w:tcPr>
            <w:tcW w:w="2660" w:type="dxa"/>
          </w:tcPr>
          <w:p w:rsidR="00330F39" w:rsidRDefault="00330F39" w:rsidP="00461F01">
            <w:pPr>
              <w:jc w:val="both"/>
              <w:rPr>
                <w:rFonts w:ascii="Times New Roman" w:hAnsi="Times New Roman"/>
                <w:b/>
              </w:rPr>
            </w:pPr>
            <w:r w:rsidRPr="000A6609">
              <w:rPr>
                <w:rFonts w:ascii="Times New Roman" w:hAnsi="Times New Roman"/>
                <w:b/>
              </w:rPr>
              <w:t>Разом без ПДВ</w:t>
            </w:r>
            <w:r>
              <w:rPr>
                <w:rFonts w:ascii="Times New Roman" w:hAnsi="Times New Roman"/>
                <w:b/>
              </w:rPr>
              <w:t xml:space="preserve"> </w:t>
            </w:r>
          </w:p>
          <w:p w:rsidR="00330F39" w:rsidRPr="000A6609" w:rsidRDefault="00330F39" w:rsidP="00461F01">
            <w:pPr>
              <w:jc w:val="both"/>
              <w:rPr>
                <w:rFonts w:ascii="Times New Roman" w:hAnsi="Times New Roman"/>
                <w:b/>
              </w:rPr>
            </w:pPr>
            <w:r>
              <w:rPr>
                <w:rFonts w:ascii="Times New Roman" w:hAnsi="Times New Roman"/>
                <w:b/>
              </w:rPr>
              <w:t>(млн. грн.)</w:t>
            </w:r>
          </w:p>
        </w:tc>
        <w:tc>
          <w:tcPr>
            <w:tcW w:w="1483" w:type="dxa"/>
            <w:vAlign w:val="center"/>
          </w:tcPr>
          <w:p w:rsidR="00330F39" w:rsidRPr="00DA4F1A" w:rsidRDefault="00330F39" w:rsidP="00461F01">
            <w:pPr>
              <w:jc w:val="center"/>
              <w:rPr>
                <w:rFonts w:ascii="Times New Roman" w:hAnsi="Times New Roman"/>
                <w:b/>
              </w:rPr>
            </w:pPr>
            <w:r w:rsidRPr="00DA4F1A">
              <w:rPr>
                <w:rFonts w:ascii="Times New Roman" w:hAnsi="Times New Roman"/>
                <w:b/>
              </w:rPr>
              <w:t>2 120,9</w:t>
            </w:r>
          </w:p>
        </w:tc>
        <w:tc>
          <w:tcPr>
            <w:tcW w:w="1483" w:type="dxa"/>
            <w:vAlign w:val="center"/>
          </w:tcPr>
          <w:p w:rsidR="00330F39" w:rsidRPr="00DA4F1A" w:rsidRDefault="00330F39" w:rsidP="00461F01">
            <w:pPr>
              <w:jc w:val="center"/>
              <w:rPr>
                <w:rFonts w:ascii="Times New Roman" w:hAnsi="Times New Roman"/>
                <w:b/>
              </w:rPr>
            </w:pPr>
            <w:r w:rsidRPr="00DA4F1A">
              <w:rPr>
                <w:rFonts w:ascii="Times New Roman" w:hAnsi="Times New Roman"/>
                <w:b/>
              </w:rPr>
              <w:t>4 241,7</w:t>
            </w:r>
          </w:p>
        </w:tc>
        <w:tc>
          <w:tcPr>
            <w:tcW w:w="1483" w:type="dxa"/>
            <w:vAlign w:val="center"/>
          </w:tcPr>
          <w:p w:rsidR="00330F39" w:rsidRPr="00DA4F1A" w:rsidRDefault="00330F39" w:rsidP="00461F01">
            <w:pPr>
              <w:jc w:val="center"/>
              <w:rPr>
                <w:rFonts w:ascii="Times New Roman" w:hAnsi="Times New Roman"/>
                <w:b/>
              </w:rPr>
            </w:pPr>
            <w:r w:rsidRPr="00DA4F1A">
              <w:rPr>
                <w:rFonts w:ascii="Times New Roman" w:hAnsi="Times New Roman"/>
                <w:b/>
              </w:rPr>
              <w:t>8 483,4</w:t>
            </w:r>
          </w:p>
        </w:tc>
        <w:tc>
          <w:tcPr>
            <w:tcW w:w="1483" w:type="dxa"/>
            <w:vAlign w:val="center"/>
          </w:tcPr>
          <w:p w:rsidR="00330F39" w:rsidRPr="00DA4F1A" w:rsidRDefault="00330F39" w:rsidP="00461F01">
            <w:pPr>
              <w:jc w:val="center"/>
              <w:rPr>
                <w:rFonts w:ascii="Times New Roman" w:hAnsi="Times New Roman"/>
                <w:b/>
              </w:rPr>
            </w:pPr>
            <w:r w:rsidRPr="00DA4F1A">
              <w:rPr>
                <w:rFonts w:ascii="Times New Roman" w:hAnsi="Times New Roman"/>
                <w:b/>
              </w:rPr>
              <w:t>12 725,1</w:t>
            </w:r>
          </w:p>
        </w:tc>
        <w:tc>
          <w:tcPr>
            <w:tcW w:w="1483" w:type="dxa"/>
            <w:vAlign w:val="center"/>
          </w:tcPr>
          <w:p w:rsidR="00330F39" w:rsidRPr="00DA4F1A" w:rsidRDefault="00330F39" w:rsidP="00461F01">
            <w:pPr>
              <w:jc w:val="center"/>
              <w:rPr>
                <w:rFonts w:ascii="Times New Roman" w:hAnsi="Times New Roman"/>
                <w:b/>
              </w:rPr>
            </w:pPr>
            <w:r w:rsidRPr="00DA4F1A">
              <w:rPr>
                <w:rFonts w:ascii="Times New Roman" w:hAnsi="Times New Roman"/>
                <w:b/>
              </w:rPr>
              <w:t>16 966,9</w:t>
            </w:r>
          </w:p>
        </w:tc>
      </w:tr>
    </w:tbl>
    <w:p w:rsidR="00330F39" w:rsidRDefault="00330F39" w:rsidP="00330F39">
      <w:pPr>
        <w:ind w:firstLine="567"/>
        <w:jc w:val="both"/>
      </w:pPr>
      <w:r>
        <w:t xml:space="preserve">  </w:t>
      </w:r>
    </w:p>
    <w:p w:rsidR="00330F39" w:rsidRPr="0082218E" w:rsidRDefault="00330F39" w:rsidP="001C6D28">
      <w:pPr>
        <w:widowControl w:val="0"/>
        <w:autoSpaceDE w:val="0"/>
        <w:autoSpaceDN w:val="0"/>
        <w:jc w:val="both"/>
        <w:rPr>
          <w:bCs/>
          <w:sz w:val="20"/>
          <w:szCs w:val="20"/>
          <w:lang w:val="uk-UA"/>
        </w:rPr>
      </w:pPr>
    </w:p>
    <w:p w:rsidR="00877668" w:rsidRPr="0082218E" w:rsidRDefault="00877668" w:rsidP="001C6D28">
      <w:pPr>
        <w:widowControl w:val="0"/>
        <w:autoSpaceDE w:val="0"/>
        <w:autoSpaceDN w:val="0"/>
        <w:jc w:val="both"/>
        <w:rPr>
          <w:bCs/>
          <w:sz w:val="20"/>
          <w:szCs w:val="20"/>
          <w:lang w:val="uk-UA"/>
        </w:rPr>
      </w:pPr>
    </w:p>
    <w:p w:rsidR="00877668" w:rsidRPr="0082218E" w:rsidRDefault="00877668" w:rsidP="001C6D28">
      <w:pPr>
        <w:widowControl w:val="0"/>
        <w:autoSpaceDE w:val="0"/>
        <w:autoSpaceDN w:val="0"/>
        <w:jc w:val="both"/>
        <w:rPr>
          <w:bCs/>
          <w:sz w:val="20"/>
          <w:szCs w:val="20"/>
          <w:lang w:val="uk-UA"/>
        </w:rPr>
      </w:pPr>
    </w:p>
    <w:sectPr w:rsidR="00877668" w:rsidRPr="008221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727E"/>
    <w:multiLevelType w:val="hybridMultilevel"/>
    <w:tmpl w:val="FD28AEBA"/>
    <w:lvl w:ilvl="0" w:tplc="B22261CC">
      <w:start w:val="1"/>
      <w:numFmt w:val="bullet"/>
      <w:lvlText w:val=""/>
      <w:lvlJc w:val="left"/>
      <w:pPr>
        <w:ind w:left="768" w:hanging="360"/>
      </w:pPr>
      <w:rPr>
        <w:rFonts w:ascii="Symbol" w:hAnsi="Symbol" w:hint="default"/>
        <w:color w:val="00B050"/>
      </w:rPr>
    </w:lvl>
    <w:lvl w:ilvl="1" w:tplc="04220003">
      <w:start w:val="1"/>
      <w:numFmt w:val="bullet"/>
      <w:lvlText w:val="o"/>
      <w:lvlJc w:val="left"/>
      <w:pPr>
        <w:ind w:left="1488" w:hanging="360"/>
      </w:pPr>
      <w:rPr>
        <w:rFonts w:ascii="Courier New" w:hAnsi="Courier New" w:cs="Courier New" w:hint="default"/>
      </w:rPr>
    </w:lvl>
    <w:lvl w:ilvl="2" w:tplc="04220005">
      <w:start w:val="1"/>
      <w:numFmt w:val="bullet"/>
      <w:lvlText w:val=""/>
      <w:lvlJc w:val="left"/>
      <w:pPr>
        <w:ind w:left="2208" w:hanging="360"/>
      </w:pPr>
      <w:rPr>
        <w:rFonts w:ascii="Wingdings" w:hAnsi="Wingdings" w:hint="default"/>
      </w:rPr>
    </w:lvl>
    <w:lvl w:ilvl="3" w:tplc="04220001">
      <w:start w:val="1"/>
      <w:numFmt w:val="bullet"/>
      <w:lvlText w:val=""/>
      <w:lvlJc w:val="left"/>
      <w:pPr>
        <w:ind w:left="2928" w:hanging="360"/>
      </w:pPr>
      <w:rPr>
        <w:rFonts w:ascii="Symbol" w:hAnsi="Symbol" w:hint="default"/>
      </w:rPr>
    </w:lvl>
    <w:lvl w:ilvl="4" w:tplc="04220003">
      <w:start w:val="1"/>
      <w:numFmt w:val="bullet"/>
      <w:lvlText w:val="o"/>
      <w:lvlJc w:val="left"/>
      <w:pPr>
        <w:ind w:left="3648" w:hanging="360"/>
      </w:pPr>
      <w:rPr>
        <w:rFonts w:ascii="Courier New" w:hAnsi="Courier New" w:cs="Courier New" w:hint="default"/>
      </w:rPr>
    </w:lvl>
    <w:lvl w:ilvl="5" w:tplc="04220005">
      <w:start w:val="1"/>
      <w:numFmt w:val="bullet"/>
      <w:lvlText w:val=""/>
      <w:lvlJc w:val="left"/>
      <w:pPr>
        <w:ind w:left="4368" w:hanging="360"/>
      </w:pPr>
      <w:rPr>
        <w:rFonts w:ascii="Wingdings" w:hAnsi="Wingdings" w:hint="default"/>
      </w:rPr>
    </w:lvl>
    <w:lvl w:ilvl="6" w:tplc="04220001">
      <w:start w:val="1"/>
      <w:numFmt w:val="bullet"/>
      <w:lvlText w:val=""/>
      <w:lvlJc w:val="left"/>
      <w:pPr>
        <w:ind w:left="5088" w:hanging="360"/>
      </w:pPr>
      <w:rPr>
        <w:rFonts w:ascii="Symbol" w:hAnsi="Symbol" w:hint="default"/>
      </w:rPr>
    </w:lvl>
    <w:lvl w:ilvl="7" w:tplc="04220003">
      <w:start w:val="1"/>
      <w:numFmt w:val="bullet"/>
      <w:lvlText w:val="o"/>
      <w:lvlJc w:val="left"/>
      <w:pPr>
        <w:ind w:left="5808" w:hanging="360"/>
      </w:pPr>
      <w:rPr>
        <w:rFonts w:ascii="Courier New" w:hAnsi="Courier New" w:cs="Courier New" w:hint="default"/>
      </w:rPr>
    </w:lvl>
    <w:lvl w:ilvl="8" w:tplc="04220005">
      <w:start w:val="1"/>
      <w:numFmt w:val="bullet"/>
      <w:lvlText w:val=""/>
      <w:lvlJc w:val="left"/>
      <w:pPr>
        <w:ind w:left="6528" w:hanging="360"/>
      </w:pPr>
      <w:rPr>
        <w:rFonts w:ascii="Wingdings" w:hAnsi="Wingdings" w:hint="default"/>
      </w:rPr>
    </w:lvl>
  </w:abstractNum>
  <w:abstractNum w:abstractNumId="1">
    <w:nsid w:val="55D63487"/>
    <w:multiLevelType w:val="multilevel"/>
    <w:tmpl w:val="C400EE42"/>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28"/>
    <w:rsid w:val="00074334"/>
    <w:rsid w:val="001C6D28"/>
    <w:rsid w:val="00270D33"/>
    <w:rsid w:val="002905BA"/>
    <w:rsid w:val="00330F39"/>
    <w:rsid w:val="00344E48"/>
    <w:rsid w:val="004410CD"/>
    <w:rsid w:val="00553E6A"/>
    <w:rsid w:val="00625B10"/>
    <w:rsid w:val="0066577E"/>
    <w:rsid w:val="0082218E"/>
    <w:rsid w:val="00877668"/>
    <w:rsid w:val="009338C1"/>
    <w:rsid w:val="00A51688"/>
    <w:rsid w:val="00AF73BA"/>
    <w:rsid w:val="00B74EA9"/>
    <w:rsid w:val="00C22DCB"/>
    <w:rsid w:val="00C3078A"/>
    <w:rsid w:val="00C744E8"/>
    <w:rsid w:val="00D61DE3"/>
    <w:rsid w:val="00E532A0"/>
    <w:rsid w:val="00EB17B0"/>
    <w:rsid w:val="00F73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D28"/>
    <w:rPr>
      <w:rFonts w:eastAsia="Times New Roman" w:cs="Times New Roman"/>
      <w:sz w:val="24"/>
      <w:szCs w:val="24"/>
      <w:lang w:val="ru-RU" w:eastAsia="ru-RU"/>
    </w:rPr>
  </w:style>
  <w:style w:type="paragraph" w:styleId="3">
    <w:name w:val="heading 3"/>
    <w:basedOn w:val="a"/>
    <w:link w:val="30"/>
    <w:uiPriority w:val="9"/>
    <w:unhideWhenUsed/>
    <w:qFormat/>
    <w:rsid w:val="001C6D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6D28"/>
    <w:rPr>
      <w:rFonts w:eastAsia="Times New Roman" w:cs="Times New Roman"/>
      <w:b/>
      <w:bCs/>
      <w:sz w:val="27"/>
      <w:szCs w:val="27"/>
      <w:lang w:val="ru-RU" w:eastAsia="ru-RU"/>
    </w:rPr>
  </w:style>
  <w:style w:type="character" w:customStyle="1" w:styleId="a3">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4"/>
    <w:locked/>
    <w:rsid w:val="001C6D28"/>
    <w:rPr>
      <w:sz w:val="24"/>
      <w:lang w:val="ru-RU" w:eastAsia="ru-RU"/>
    </w:rPr>
  </w:style>
  <w:style w:type="paragraph" w:styleId="a4">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3"/>
    <w:unhideWhenUsed/>
    <w:qFormat/>
    <w:rsid w:val="001C6D28"/>
    <w:pPr>
      <w:ind w:left="720"/>
      <w:contextualSpacing/>
    </w:pPr>
    <w:rPr>
      <w:rFonts w:eastAsiaTheme="minorHAnsi" w:cstheme="minorHAnsi"/>
      <w:szCs w:val="22"/>
    </w:rPr>
  </w:style>
  <w:style w:type="character" w:customStyle="1" w:styleId="StyleZakonu">
    <w:name w:val="StyleZakonu Знак"/>
    <w:link w:val="StyleZakonu0"/>
    <w:locked/>
    <w:rsid w:val="001C6D28"/>
    <w:rPr>
      <w:lang w:eastAsia="ru-RU"/>
    </w:rPr>
  </w:style>
  <w:style w:type="paragraph" w:customStyle="1" w:styleId="StyleZakonu0">
    <w:name w:val="StyleZakonu"/>
    <w:basedOn w:val="a"/>
    <w:link w:val="StyleZakonu"/>
    <w:rsid w:val="001C6D28"/>
    <w:pPr>
      <w:spacing w:after="60" w:line="220" w:lineRule="exact"/>
      <w:ind w:firstLine="284"/>
      <w:jc w:val="both"/>
    </w:pPr>
    <w:rPr>
      <w:rFonts w:eastAsiaTheme="minorHAnsi" w:cstheme="minorHAnsi"/>
      <w:sz w:val="28"/>
      <w:szCs w:val="22"/>
      <w:lang w:val="uk-UA"/>
    </w:rPr>
  </w:style>
  <w:style w:type="paragraph" w:customStyle="1" w:styleId="rvps2">
    <w:name w:val="rvps2"/>
    <w:basedOn w:val="a"/>
    <w:rsid w:val="001C6D28"/>
    <w:pPr>
      <w:spacing w:before="100" w:beforeAutospacing="1" w:after="100" w:afterAutospacing="1"/>
    </w:pPr>
    <w:rPr>
      <w:lang w:val="uk-UA" w:eastAsia="uk-UA"/>
    </w:rPr>
  </w:style>
  <w:style w:type="paragraph" w:customStyle="1" w:styleId="rvps12">
    <w:name w:val="rvps12"/>
    <w:basedOn w:val="a"/>
    <w:rsid w:val="001C6D28"/>
    <w:pPr>
      <w:spacing w:before="100" w:beforeAutospacing="1" w:after="100" w:afterAutospacing="1"/>
    </w:pPr>
    <w:rPr>
      <w:lang w:val="uk-UA" w:eastAsia="uk-UA"/>
    </w:rPr>
  </w:style>
  <w:style w:type="paragraph" w:customStyle="1" w:styleId="rvps14">
    <w:name w:val="rvps14"/>
    <w:basedOn w:val="a"/>
    <w:rsid w:val="001C6D28"/>
    <w:pPr>
      <w:spacing w:before="100" w:beforeAutospacing="1" w:after="100" w:afterAutospacing="1"/>
    </w:pPr>
    <w:rPr>
      <w:lang w:val="uk-UA" w:eastAsia="uk-UA"/>
    </w:rPr>
  </w:style>
  <w:style w:type="character" w:customStyle="1" w:styleId="a5">
    <w:name w:val="Основной текст_"/>
    <w:basedOn w:val="a0"/>
    <w:link w:val="1"/>
    <w:locked/>
    <w:rsid w:val="001C6D28"/>
    <w:rPr>
      <w:i/>
      <w:iCs/>
      <w:sz w:val="27"/>
      <w:szCs w:val="27"/>
      <w:shd w:val="clear" w:color="auto" w:fill="FFFFFF"/>
    </w:rPr>
  </w:style>
  <w:style w:type="paragraph" w:customStyle="1" w:styleId="1">
    <w:name w:val="Основной текст1"/>
    <w:basedOn w:val="a"/>
    <w:link w:val="a5"/>
    <w:rsid w:val="001C6D28"/>
    <w:pPr>
      <w:widowControl w:val="0"/>
      <w:shd w:val="clear" w:color="auto" w:fill="FFFFFF"/>
      <w:spacing w:line="322" w:lineRule="exact"/>
      <w:ind w:firstLine="740"/>
      <w:jc w:val="both"/>
    </w:pPr>
    <w:rPr>
      <w:rFonts w:eastAsiaTheme="minorHAnsi" w:cstheme="minorHAnsi"/>
      <w:i/>
      <w:iCs/>
      <w:sz w:val="27"/>
      <w:szCs w:val="27"/>
      <w:lang w:val="uk-UA" w:eastAsia="en-US"/>
    </w:rPr>
  </w:style>
  <w:style w:type="character" w:customStyle="1" w:styleId="rvts15">
    <w:name w:val="rvts15"/>
    <w:basedOn w:val="a0"/>
    <w:rsid w:val="001C6D28"/>
  </w:style>
  <w:style w:type="character" w:customStyle="1" w:styleId="apple-converted-space">
    <w:name w:val="apple-converted-space"/>
    <w:basedOn w:val="a0"/>
    <w:rsid w:val="001C6D28"/>
  </w:style>
  <w:style w:type="table" w:styleId="a6">
    <w:name w:val="Table Grid"/>
    <w:basedOn w:val="a1"/>
    <w:uiPriority w:val="59"/>
    <w:rsid w:val="004410CD"/>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30F39"/>
    <w:rPr>
      <w:rFonts w:ascii="Tahoma" w:hAnsi="Tahoma" w:cs="Tahoma"/>
      <w:sz w:val="16"/>
      <w:szCs w:val="16"/>
    </w:rPr>
  </w:style>
  <w:style w:type="character" w:customStyle="1" w:styleId="a8">
    <w:name w:val="Текст у виносці Знак"/>
    <w:basedOn w:val="a0"/>
    <w:link w:val="a7"/>
    <w:uiPriority w:val="99"/>
    <w:semiHidden/>
    <w:rsid w:val="00330F39"/>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D28"/>
    <w:rPr>
      <w:rFonts w:eastAsia="Times New Roman" w:cs="Times New Roman"/>
      <w:sz w:val="24"/>
      <w:szCs w:val="24"/>
      <w:lang w:val="ru-RU" w:eastAsia="ru-RU"/>
    </w:rPr>
  </w:style>
  <w:style w:type="paragraph" w:styleId="3">
    <w:name w:val="heading 3"/>
    <w:basedOn w:val="a"/>
    <w:link w:val="30"/>
    <w:uiPriority w:val="9"/>
    <w:unhideWhenUsed/>
    <w:qFormat/>
    <w:rsid w:val="001C6D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6D28"/>
    <w:rPr>
      <w:rFonts w:eastAsia="Times New Roman" w:cs="Times New Roman"/>
      <w:b/>
      <w:bCs/>
      <w:sz w:val="27"/>
      <w:szCs w:val="27"/>
      <w:lang w:val="ru-RU" w:eastAsia="ru-RU"/>
    </w:rPr>
  </w:style>
  <w:style w:type="character" w:customStyle="1" w:styleId="a3">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4"/>
    <w:locked/>
    <w:rsid w:val="001C6D28"/>
    <w:rPr>
      <w:sz w:val="24"/>
      <w:lang w:val="ru-RU" w:eastAsia="ru-RU"/>
    </w:rPr>
  </w:style>
  <w:style w:type="paragraph" w:styleId="a4">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3"/>
    <w:unhideWhenUsed/>
    <w:qFormat/>
    <w:rsid w:val="001C6D28"/>
    <w:pPr>
      <w:ind w:left="720"/>
      <w:contextualSpacing/>
    </w:pPr>
    <w:rPr>
      <w:rFonts w:eastAsiaTheme="minorHAnsi" w:cstheme="minorHAnsi"/>
      <w:szCs w:val="22"/>
    </w:rPr>
  </w:style>
  <w:style w:type="character" w:customStyle="1" w:styleId="StyleZakonu">
    <w:name w:val="StyleZakonu Знак"/>
    <w:link w:val="StyleZakonu0"/>
    <w:locked/>
    <w:rsid w:val="001C6D28"/>
    <w:rPr>
      <w:lang w:eastAsia="ru-RU"/>
    </w:rPr>
  </w:style>
  <w:style w:type="paragraph" w:customStyle="1" w:styleId="StyleZakonu0">
    <w:name w:val="StyleZakonu"/>
    <w:basedOn w:val="a"/>
    <w:link w:val="StyleZakonu"/>
    <w:rsid w:val="001C6D28"/>
    <w:pPr>
      <w:spacing w:after="60" w:line="220" w:lineRule="exact"/>
      <w:ind w:firstLine="284"/>
      <w:jc w:val="both"/>
    </w:pPr>
    <w:rPr>
      <w:rFonts w:eastAsiaTheme="minorHAnsi" w:cstheme="minorHAnsi"/>
      <w:sz w:val="28"/>
      <w:szCs w:val="22"/>
      <w:lang w:val="uk-UA"/>
    </w:rPr>
  </w:style>
  <w:style w:type="paragraph" w:customStyle="1" w:styleId="rvps2">
    <w:name w:val="rvps2"/>
    <w:basedOn w:val="a"/>
    <w:rsid w:val="001C6D28"/>
    <w:pPr>
      <w:spacing w:before="100" w:beforeAutospacing="1" w:after="100" w:afterAutospacing="1"/>
    </w:pPr>
    <w:rPr>
      <w:lang w:val="uk-UA" w:eastAsia="uk-UA"/>
    </w:rPr>
  </w:style>
  <w:style w:type="paragraph" w:customStyle="1" w:styleId="rvps12">
    <w:name w:val="rvps12"/>
    <w:basedOn w:val="a"/>
    <w:rsid w:val="001C6D28"/>
    <w:pPr>
      <w:spacing w:before="100" w:beforeAutospacing="1" w:after="100" w:afterAutospacing="1"/>
    </w:pPr>
    <w:rPr>
      <w:lang w:val="uk-UA" w:eastAsia="uk-UA"/>
    </w:rPr>
  </w:style>
  <w:style w:type="paragraph" w:customStyle="1" w:styleId="rvps14">
    <w:name w:val="rvps14"/>
    <w:basedOn w:val="a"/>
    <w:rsid w:val="001C6D28"/>
    <w:pPr>
      <w:spacing w:before="100" w:beforeAutospacing="1" w:after="100" w:afterAutospacing="1"/>
    </w:pPr>
    <w:rPr>
      <w:lang w:val="uk-UA" w:eastAsia="uk-UA"/>
    </w:rPr>
  </w:style>
  <w:style w:type="character" w:customStyle="1" w:styleId="a5">
    <w:name w:val="Основной текст_"/>
    <w:basedOn w:val="a0"/>
    <w:link w:val="1"/>
    <w:locked/>
    <w:rsid w:val="001C6D28"/>
    <w:rPr>
      <w:i/>
      <w:iCs/>
      <w:sz w:val="27"/>
      <w:szCs w:val="27"/>
      <w:shd w:val="clear" w:color="auto" w:fill="FFFFFF"/>
    </w:rPr>
  </w:style>
  <w:style w:type="paragraph" w:customStyle="1" w:styleId="1">
    <w:name w:val="Основной текст1"/>
    <w:basedOn w:val="a"/>
    <w:link w:val="a5"/>
    <w:rsid w:val="001C6D28"/>
    <w:pPr>
      <w:widowControl w:val="0"/>
      <w:shd w:val="clear" w:color="auto" w:fill="FFFFFF"/>
      <w:spacing w:line="322" w:lineRule="exact"/>
      <w:ind w:firstLine="740"/>
      <w:jc w:val="both"/>
    </w:pPr>
    <w:rPr>
      <w:rFonts w:eastAsiaTheme="minorHAnsi" w:cstheme="minorHAnsi"/>
      <w:i/>
      <w:iCs/>
      <w:sz w:val="27"/>
      <w:szCs w:val="27"/>
      <w:lang w:val="uk-UA" w:eastAsia="en-US"/>
    </w:rPr>
  </w:style>
  <w:style w:type="character" w:customStyle="1" w:styleId="rvts15">
    <w:name w:val="rvts15"/>
    <w:basedOn w:val="a0"/>
    <w:rsid w:val="001C6D28"/>
  </w:style>
  <w:style w:type="character" w:customStyle="1" w:styleId="apple-converted-space">
    <w:name w:val="apple-converted-space"/>
    <w:basedOn w:val="a0"/>
    <w:rsid w:val="001C6D28"/>
  </w:style>
  <w:style w:type="table" w:styleId="a6">
    <w:name w:val="Table Grid"/>
    <w:basedOn w:val="a1"/>
    <w:uiPriority w:val="59"/>
    <w:rsid w:val="004410CD"/>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30F39"/>
    <w:rPr>
      <w:rFonts w:ascii="Tahoma" w:hAnsi="Tahoma" w:cs="Tahoma"/>
      <w:sz w:val="16"/>
      <w:szCs w:val="16"/>
    </w:rPr>
  </w:style>
  <w:style w:type="character" w:customStyle="1" w:styleId="a8">
    <w:name w:val="Текст у виносці Знак"/>
    <w:basedOn w:val="a0"/>
    <w:link w:val="a7"/>
    <w:uiPriority w:val="99"/>
    <w:semiHidden/>
    <w:rsid w:val="00330F39"/>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53186">
      <w:bodyDiv w:val="1"/>
      <w:marLeft w:val="0"/>
      <w:marRight w:val="0"/>
      <w:marTop w:val="0"/>
      <w:marBottom w:val="0"/>
      <w:divBdr>
        <w:top w:val="none" w:sz="0" w:space="0" w:color="auto"/>
        <w:left w:val="none" w:sz="0" w:space="0" w:color="auto"/>
        <w:bottom w:val="none" w:sz="0" w:space="0" w:color="auto"/>
        <w:right w:val="none" w:sz="0" w:space="0" w:color="auto"/>
      </w:divBdr>
    </w:div>
    <w:div w:id="17745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2"/>
          <c:order val="2"/>
          <c:tx>
            <c:strRef>
              <c:f>Лист1!$D$1</c:f>
              <c:strCache>
                <c:ptCount val="1"/>
                <c:pt idx="0">
                  <c:v>Обєм газу в ПСГ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Лист1!$D$2:$D$12</c:f>
              <c:numCache>
                <c:formatCode>_-* #,##0.0_р_._-;\-* #,##0.0_р_._-;_-* "-"??_р_._-;_-@_-</c:formatCode>
                <c:ptCount val="11"/>
                <c:pt idx="0">
                  <c:v>20.026979999999998</c:v>
                </c:pt>
                <c:pt idx="1">
                  <c:v>25.747387</c:v>
                </c:pt>
                <c:pt idx="2">
                  <c:v>29.318808000000001</c:v>
                </c:pt>
                <c:pt idx="3">
                  <c:v>25.548663000000001</c:v>
                </c:pt>
                <c:pt idx="4">
                  <c:v>24.163734000000002</c:v>
                </c:pt>
                <c:pt idx="5">
                  <c:v>20.587696999999999</c:v>
                </c:pt>
                <c:pt idx="6">
                  <c:v>19.981694999999998</c:v>
                </c:pt>
                <c:pt idx="7">
                  <c:v>17.094002</c:v>
                </c:pt>
                <c:pt idx="8">
                  <c:v>16.759058</c:v>
                </c:pt>
                <c:pt idx="9">
                  <c:v>17.064216999999999</c:v>
                </c:pt>
                <c:pt idx="10">
                  <c:v>14.732136000000001</c:v>
                </c:pt>
              </c:numCache>
            </c:numRef>
          </c:val>
        </c:ser>
        <c:dLbls>
          <c:showLegendKey val="0"/>
          <c:showVal val="0"/>
          <c:showCatName val="0"/>
          <c:showSerName val="0"/>
          <c:showPercent val="0"/>
          <c:showBubbleSize val="0"/>
        </c:dLbls>
        <c:gapWidth val="150"/>
        <c:axId val="98940416"/>
        <c:axId val="120838784"/>
      </c:barChart>
      <c:lineChart>
        <c:grouping val="standard"/>
        <c:varyColors val="0"/>
        <c:ser>
          <c:idx val="0"/>
          <c:order val="0"/>
          <c:tx>
            <c:strRef>
              <c:f>Лист1!$B$1</c:f>
              <c:strCache>
                <c:ptCount val="1"/>
                <c:pt idx="0">
                  <c:v>Закачування</c:v>
                </c:pt>
              </c:strCache>
            </c:strRef>
          </c:tx>
          <c:marker>
            <c:symbol val="none"/>
          </c:marker>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Лист1!$B$2:$B$12</c:f>
              <c:numCache>
                <c:formatCode>_-* #,##0.0_р_._-;\-* #,##0.0_р_._-;_-* "-"??_р_._-;_-@_-</c:formatCode>
                <c:ptCount val="11"/>
                <c:pt idx="0">
                  <c:v>17.697077</c:v>
                </c:pt>
                <c:pt idx="1">
                  <c:v>17.786342999999999</c:v>
                </c:pt>
                <c:pt idx="2">
                  <c:v>15.62918</c:v>
                </c:pt>
                <c:pt idx="3">
                  <c:v>10.135930999999999</c:v>
                </c:pt>
                <c:pt idx="4">
                  <c:v>13.088557</c:v>
                </c:pt>
                <c:pt idx="5">
                  <c:v>10.589409</c:v>
                </c:pt>
                <c:pt idx="6">
                  <c:v>13.275456</c:v>
                </c:pt>
                <c:pt idx="7">
                  <c:v>11.226343</c:v>
                </c:pt>
                <c:pt idx="8">
                  <c:v>9.7768770000000007</c:v>
                </c:pt>
                <c:pt idx="9">
                  <c:v>9.5038990000000005</c:v>
                </c:pt>
                <c:pt idx="10">
                  <c:v>8.3911669999999994</c:v>
                </c:pt>
              </c:numCache>
            </c:numRef>
          </c:val>
          <c:smooth val="0"/>
        </c:ser>
        <c:ser>
          <c:idx val="1"/>
          <c:order val="1"/>
          <c:tx>
            <c:strRef>
              <c:f>Лист1!$C$1</c:f>
              <c:strCache>
                <c:ptCount val="1"/>
                <c:pt idx="0">
                  <c:v>Відбір</c:v>
                </c:pt>
              </c:strCache>
            </c:strRef>
          </c:tx>
          <c:marker>
            <c:symbol val="none"/>
          </c:marker>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Лист1!$C$2:$C$12</c:f>
              <c:numCache>
                <c:formatCode>_-* #,##0.0_р_._-;\-* #,##0.0_р_._-;_-* "-"??_р_._-;_-@_-</c:formatCode>
                <c:ptCount val="11"/>
                <c:pt idx="0">
                  <c:v>15.026529</c:v>
                </c:pt>
                <c:pt idx="1">
                  <c:v>13.131244000000001</c:v>
                </c:pt>
                <c:pt idx="2">
                  <c:v>11.971026999999999</c:v>
                </c:pt>
                <c:pt idx="3">
                  <c:v>14.273953000000001</c:v>
                </c:pt>
                <c:pt idx="4">
                  <c:v>14.443222</c:v>
                </c:pt>
                <c:pt idx="5">
                  <c:v>15.830171</c:v>
                </c:pt>
                <c:pt idx="6">
                  <c:v>14.728158000000001</c:v>
                </c:pt>
                <c:pt idx="7">
                  <c:v>12.328087</c:v>
                </c:pt>
                <c:pt idx="8">
                  <c:v>12.269644</c:v>
                </c:pt>
                <c:pt idx="9">
                  <c:v>6.9690669999999999</c:v>
                </c:pt>
                <c:pt idx="10">
                  <c:v>6.38863</c:v>
                </c:pt>
              </c:numCache>
            </c:numRef>
          </c:val>
          <c:smooth val="0"/>
        </c:ser>
        <c:dLbls>
          <c:showLegendKey val="0"/>
          <c:showVal val="0"/>
          <c:showCatName val="0"/>
          <c:showSerName val="0"/>
          <c:showPercent val="0"/>
          <c:showBubbleSize val="0"/>
        </c:dLbls>
        <c:marker val="1"/>
        <c:smooth val="0"/>
        <c:axId val="98940416"/>
        <c:axId val="120838784"/>
      </c:lineChart>
      <c:catAx>
        <c:axId val="98940416"/>
        <c:scaling>
          <c:orientation val="minMax"/>
        </c:scaling>
        <c:delete val="0"/>
        <c:axPos val="b"/>
        <c:numFmt formatCode="General" sourceLinked="1"/>
        <c:majorTickMark val="out"/>
        <c:minorTickMark val="none"/>
        <c:tickLblPos val="nextTo"/>
        <c:crossAx val="120838784"/>
        <c:crosses val="autoZero"/>
        <c:auto val="1"/>
        <c:lblAlgn val="ctr"/>
        <c:lblOffset val="100"/>
        <c:noMultiLvlLbl val="0"/>
      </c:catAx>
      <c:valAx>
        <c:axId val="120838784"/>
        <c:scaling>
          <c:orientation val="minMax"/>
        </c:scaling>
        <c:delete val="0"/>
        <c:axPos val="l"/>
        <c:majorGridlines/>
        <c:numFmt formatCode="_-* #,##0.0_р_._-;\-* #,##0.0_р_._-;_-* &quot;-&quot;??_р_._-;_-@_-" sourceLinked="1"/>
        <c:majorTickMark val="out"/>
        <c:minorTickMark val="none"/>
        <c:tickLblPos val="nextTo"/>
        <c:crossAx val="9894041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Прогнозований максимальний рівень завантаженості ПСГ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3"/>
                <c:pt idx="0">
                  <c:v>2016</c:v>
                </c:pt>
                <c:pt idx="1">
                  <c:v>2020</c:v>
                </c:pt>
                <c:pt idx="2">
                  <c:v>2025</c:v>
                </c:pt>
              </c:numCache>
            </c:numRef>
          </c:cat>
          <c:val>
            <c:numRef>
              <c:f>Лист1!$B$2:$B$12</c:f>
              <c:numCache>
                <c:formatCode>_-* #,##0.0_р_._-;\-* #,##0.0_р_._-;_-* "-"??_р_._-;_-@_-</c:formatCode>
                <c:ptCount val="3"/>
                <c:pt idx="0">
                  <c:v>14.7</c:v>
                </c:pt>
                <c:pt idx="1">
                  <c:v>17.3</c:v>
                </c:pt>
                <c:pt idx="2">
                  <c:v>17.399999999999999</c:v>
                </c:pt>
              </c:numCache>
            </c:numRef>
          </c:val>
        </c:ser>
        <c:dLbls>
          <c:showLegendKey val="0"/>
          <c:showVal val="0"/>
          <c:showCatName val="0"/>
          <c:showSerName val="0"/>
          <c:showPercent val="0"/>
          <c:showBubbleSize val="0"/>
        </c:dLbls>
        <c:gapWidth val="150"/>
        <c:overlap val="100"/>
        <c:axId val="72252032"/>
        <c:axId val="93143424"/>
      </c:barChart>
      <c:catAx>
        <c:axId val="72252032"/>
        <c:scaling>
          <c:orientation val="minMax"/>
        </c:scaling>
        <c:delete val="0"/>
        <c:axPos val="b"/>
        <c:numFmt formatCode="General" sourceLinked="1"/>
        <c:majorTickMark val="none"/>
        <c:minorTickMark val="none"/>
        <c:tickLblPos val="nextTo"/>
        <c:crossAx val="93143424"/>
        <c:crosses val="autoZero"/>
        <c:auto val="1"/>
        <c:lblAlgn val="ctr"/>
        <c:lblOffset val="100"/>
        <c:noMultiLvlLbl val="0"/>
      </c:catAx>
      <c:valAx>
        <c:axId val="93143424"/>
        <c:scaling>
          <c:orientation val="minMax"/>
          <c:max val="18"/>
          <c:min val="0"/>
        </c:scaling>
        <c:delete val="0"/>
        <c:axPos val="l"/>
        <c:majorGridlines/>
        <c:numFmt formatCode="_-* #,##0.0_р_._-;\-* #,##0.0_р_._-;_-* &quot;-&quot;??_р_._-;_-@_-" sourceLinked="1"/>
        <c:majorTickMark val="none"/>
        <c:minorTickMark val="none"/>
        <c:tickLblPos val="nextTo"/>
        <c:spPr>
          <a:ln w="9525">
            <a:noFill/>
          </a:ln>
        </c:spPr>
        <c:crossAx val="72252032"/>
        <c:crosses val="autoZero"/>
        <c:crossBetween val="between"/>
        <c:majorUnit val="6"/>
      </c:valAx>
    </c:plotArea>
    <c:legend>
      <c:legendPos val="b"/>
      <c:overlay val="0"/>
    </c:legend>
    <c:plotVisOnly val="1"/>
    <c:dispBlanksAs val="gap"/>
    <c:showDLblsOverMax val="0"/>
  </c:chart>
  <c:txPr>
    <a:bodyPr/>
    <a:lstStyle/>
    <a:p>
      <a:pPr>
        <a:defRPr sz="1050">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A4C4-5C5A-4A8C-9FC5-D7EB61C4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16935</Words>
  <Characters>9654</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cp:revision>
  <cp:lastPrinted>2017-01-31T15:34:00Z</cp:lastPrinted>
  <dcterms:created xsi:type="dcterms:W3CDTF">2017-01-31T13:39:00Z</dcterms:created>
  <dcterms:modified xsi:type="dcterms:W3CDTF">2017-01-31T16:13:00Z</dcterms:modified>
</cp:coreProperties>
</file>