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73" w:rsidRPr="00660F9E" w:rsidRDefault="00224673" w:rsidP="00224673">
      <w:pPr>
        <w:pStyle w:val="a3"/>
        <w:spacing w:before="0" w:beforeAutospacing="0" w:after="0" w:afterAutospacing="0"/>
        <w:jc w:val="center"/>
        <w:rPr>
          <w:b/>
          <w:bCs/>
          <w:noProof/>
          <w:color w:val="auto"/>
          <w:sz w:val="28"/>
          <w:szCs w:val="28"/>
          <w:lang w:val="uk-UA"/>
        </w:rPr>
      </w:pPr>
      <w:r w:rsidRPr="00660F9E">
        <w:rPr>
          <w:b/>
          <w:bCs/>
          <w:noProof/>
          <w:color w:val="auto"/>
          <w:sz w:val="28"/>
          <w:szCs w:val="28"/>
          <w:lang w:val="uk-UA"/>
        </w:rPr>
        <w:t>АНАЛІЗ РЕГУЛЯТОРНОГО ВПЛИВУ</w:t>
      </w:r>
    </w:p>
    <w:p w:rsidR="00224673" w:rsidRPr="00660F9E" w:rsidRDefault="00224673" w:rsidP="00224673">
      <w:pPr>
        <w:pStyle w:val="a3"/>
        <w:spacing w:before="0" w:beforeAutospacing="0" w:after="0" w:afterAutospacing="0"/>
        <w:jc w:val="center"/>
        <w:rPr>
          <w:b/>
          <w:bCs/>
          <w:noProof/>
          <w:color w:val="auto"/>
          <w:sz w:val="10"/>
          <w:szCs w:val="10"/>
          <w:lang w:val="uk-UA"/>
        </w:rPr>
      </w:pPr>
    </w:p>
    <w:p w:rsidR="00224673" w:rsidRPr="00660F9E" w:rsidRDefault="00224673" w:rsidP="00224673">
      <w:pPr>
        <w:jc w:val="center"/>
        <w:rPr>
          <w:b/>
          <w:sz w:val="28"/>
          <w:szCs w:val="28"/>
        </w:rPr>
      </w:pPr>
      <w:r w:rsidRPr="00660F9E">
        <w:rPr>
          <w:b/>
          <w:sz w:val="28"/>
          <w:szCs w:val="28"/>
        </w:rPr>
        <w:t>до проекту наказу Міністерства фінансів України</w:t>
      </w:r>
    </w:p>
    <w:p w:rsidR="00224673" w:rsidRPr="00660F9E" w:rsidRDefault="00224673" w:rsidP="00224673">
      <w:pPr>
        <w:jc w:val="center"/>
        <w:rPr>
          <w:b/>
          <w:sz w:val="28"/>
          <w:szCs w:val="28"/>
        </w:rPr>
      </w:pPr>
      <w:r w:rsidRPr="00660F9E">
        <w:rPr>
          <w:b/>
          <w:sz w:val="28"/>
          <w:szCs w:val="28"/>
        </w:rPr>
        <w:t>«Про затвердження Порядку інформаційної взаємодії органів Державної фіскальної служби України та банків у процесі передачі інкасових доручень (розпоряджень) в електронній формі»</w:t>
      </w:r>
    </w:p>
    <w:p w:rsidR="00224673" w:rsidRPr="00660F9E" w:rsidRDefault="00224673" w:rsidP="00224673">
      <w:pPr>
        <w:widowControl w:val="0"/>
        <w:autoSpaceDE w:val="0"/>
        <w:autoSpaceDN w:val="0"/>
        <w:adjustRightInd w:val="0"/>
        <w:jc w:val="both"/>
        <w:rPr>
          <w:sz w:val="28"/>
          <w:szCs w:val="28"/>
        </w:rPr>
      </w:pPr>
    </w:p>
    <w:p w:rsidR="00224673" w:rsidRPr="00660F9E" w:rsidRDefault="00224673" w:rsidP="00224673">
      <w:pPr>
        <w:jc w:val="center"/>
        <w:rPr>
          <w:b/>
          <w:bCs/>
          <w:sz w:val="28"/>
          <w:szCs w:val="28"/>
        </w:rPr>
      </w:pPr>
      <w:r w:rsidRPr="00660F9E">
        <w:rPr>
          <w:b/>
          <w:bCs/>
          <w:sz w:val="28"/>
          <w:szCs w:val="28"/>
        </w:rPr>
        <w:t>I. Визначення проблеми</w:t>
      </w:r>
    </w:p>
    <w:p w:rsidR="00224673" w:rsidRPr="00660F9E" w:rsidRDefault="00224673" w:rsidP="00224673">
      <w:pPr>
        <w:ind w:firstLine="720"/>
        <w:jc w:val="both"/>
        <w:rPr>
          <w:sz w:val="20"/>
          <w:szCs w:val="20"/>
        </w:rPr>
      </w:pPr>
    </w:p>
    <w:p w:rsidR="00224673" w:rsidRPr="00660F9E" w:rsidRDefault="00224673" w:rsidP="00224673">
      <w:pPr>
        <w:ind w:firstLine="567"/>
        <w:jc w:val="both"/>
        <w:rPr>
          <w:bCs/>
          <w:sz w:val="28"/>
          <w:szCs w:val="28"/>
          <w:lang w:eastAsia="en-US"/>
        </w:rPr>
      </w:pPr>
      <w:r w:rsidRPr="00660F9E">
        <w:rPr>
          <w:bCs/>
          <w:sz w:val="28"/>
          <w:szCs w:val="28"/>
          <w:lang w:eastAsia="en-US"/>
        </w:rPr>
        <w:t xml:space="preserve">Проект </w:t>
      </w:r>
      <w:r w:rsidRPr="00660F9E">
        <w:rPr>
          <w:sz w:val="28"/>
          <w:szCs w:val="28"/>
        </w:rPr>
        <w:t>наказу Міністерства фінансів України «Про затвердження Порядку інформаційної взаємодії органів Державної фіскальної служби України та банків у процесі передачі інкасових доручень (розпоряджень) в електронній формі»</w:t>
      </w:r>
      <w:r w:rsidRPr="00660F9E">
        <w:rPr>
          <w:bCs/>
          <w:sz w:val="28"/>
          <w:szCs w:val="28"/>
          <w:lang w:eastAsia="en-US"/>
        </w:rPr>
        <w:t xml:space="preserve"> (далі – проект наказу) розроблено на підставі підпункту 19</w:t>
      </w:r>
      <w:r w:rsidRPr="00660F9E">
        <w:rPr>
          <w:bCs/>
          <w:sz w:val="28"/>
          <w:szCs w:val="28"/>
          <w:vertAlign w:val="superscript"/>
          <w:lang w:eastAsia="en-US"/>
        </w:rPr>
        <w:t>1</w:t>
      </w:r>
      <w:r w:rsidRPr="00660F9E">
        <w:rPr>
          <w:bCs/>
          <w:sz w:val="28"/>
          <w:szCs w:val="28"/>
          <w:lang w:eastAsia="en-US"/>
        </w:rPr>
        <w:t>.1.22 пункту 19</w:t>
      </w:r>
      <w:r w:rsidRPr="00660F9E">
        <w:rPr>
          <w:bCs/>
          <w:sz w:val="28"/>
          <w:szCs w:val="28"/>
          <w:vertAlign w:val="superscript"/>
          <w:lang w:eastAsia="en-US"/>
        </w:rPr>
        <w:t>1</w:t>
      </w:r>
      <w:r w:rsidRPr="00660F9E">
        <w:rPr>
          <w:bCs/>
          <w:sz w:val="28"/>
          <w:szCs w:val="28"/>
          <w:lang w:eastAsia="en-US"/>
        </w:rPr>
        <w:t>.1 статті 19</w:t>
      </w:r>
      <w:r w:rsidRPr="00660F9E">
        <w:rPr>
          <w:bCs/>
          <w:sz w:val="28"/>
          <w:szCs w:val="28"/>
          <w:vertAlign w:val="superscript"/>
          <w:lang w:eastAsia="en-US"/>
        </w:rPr>
        <w:t>1</w:t>
      </w:r>
      <w:r w:rsidRPr="00660F9E">
        <w:rPr>
          <w:bCs/>
          <w:sz w:val="28"/>
          <w:szCs w:val="28"/>
          <w:lang w:eastAsia="en-US"/>
        </w:rPr>
        <w:t>, підпункту 20.1.34 пункту 20.1 статті 20 розділу І, пунктів 95.1, 95.3, 95.5 статті 95 глави 9 розділу ІІ Податкового кодексу України (далі – Кодекс), відповідно до протоколу робочої зустрічі представників ДФС, Казначейств</w:t>
      </w:r>
      <w:r w:rsidR="00FB226E" w:rsidRPr="00660F9E">
        <w:rPr>
          <w:bCs/>
          <w:sz w:val="28"/>
          <w:szCs w:val="28"/>
          <w:lang w:eastAsia="en-US"/>
        </w:rPr>
        <w:t>а</w:t>
      </w:r>
      <w:r w:rsidRPr="00660F9E">
        <w:rPr>
          <w:bCs/>
          <w:sz w:val="28"/>
          <w:szCs w:val="28"/>
          <w:lang w:eastAsia="en-US"/>
        </w:rPr>
        <w:t xml:space="preserve"> та Національного банку України, проведеної 07 вересня 2018 року, а також згідно із Стратегічними ініціативами розвитку ДФС до 2020 року, затвердженими наказом ДФС від 27.12.2017 № 877 (у редакції наказу ДФС від 12.10.2018 № 660).</w:t>
      </w:r>
    </w:p>
    <w:p w:rsidR="00224673" w:rsidRPr="00660F9E" w:rsidRDefault="00224673" w:rsidP="00224673">
      <w:pPr>
        <w:ind w:firstLine="567"/>
        <w:jc w:val="both"/>
        <w:rPr>
          <w:sz w:val="28"/>
          <w:szCs w:val="28"/>
        </w:rPr>
      </w:pPr>
      <w:r w:rsidRPr="00660F9E">
        <w:rPr>
          <w:sz w:val="28"/>
          <w:szCs w:val="28"/>
          <w:bdr w:val="none" w:sz="0" w:space="0" w:color="auto" w:frame="1"/>
          <w:lang w:eastAsia="uk-UA"/>
        </w:rPr>
        <w:t xml:space="preserve">Одним із заходів, спрямованих на погашення податкового боргу платника податків – юридичної особи, передбачених пунктом 95.1 статті 95 </w:t>
      </w:r>
      <w:r w:rsidRPr="00660F9E">
        <w:rPr>
          <w:bCs/>
          <w:sz w:val="28"/>
          <w:szCs w:val="28"/>
          <w:lang w:eastAsia="en-US"/>
        </w:rPr>
        <w:t xml:space="preserve">глави 9 </w:t>
      </w:r>
      <w:r w:rsidR="00FB226E" w:rsidRPr="00660F9E">
        <w:rPr>
          <w:bCs/>
          <w:sz w:val="28"/>
          <w:szCs w:val="28"/>
          <w:lang w:eastAsia="en-US"/>
        </w:rPr>
        <w:br/>
      </w:r>
      <w:r w:rsidRPr="00660F9E">
        <w:rPr>
          <w:bCs/>
          <w:sz w:val="28"/>
          <w:szCs w:val="28"/>
          <w:lang w:eastAsia="en-US"/>
        </w:rPr>
        <w:t>розділу ІІ</w:t>
      </w:r>
      <w:r w:rsidRPr="00660F9E">
        <w:rPr>
          <w:sz w:val="28"/>
          <w:szCs w:val="28"/>
          <w:bdr w:val="none" w:sz="0" w:space="0" w:color="auto" w:frame="1"/>
          <w:lang w:eastAsia="uk-UA"/>
        </w:rPr>
        <w:t xml:space="preserve"> Кодексу, </w:t>
      </w:r>
      <w:r w:rsidRPr="00660F9E">
        <w:rPr>
          <w:bCs/>
          <w:sz w:val="28"/>
          <w:szCs w:val="28"/>
          <w:lang w:eastAsia="en-US"/>
        </w:rPr>
        <w:t xml:space="preserve">що </w:t>
      </w:r>
      <w:r w:rsidRPr="00660F9E">
        <w:rPr>
          <w:sz w:val="28"/>
          <w:szCs w:val="28"/>
        </w:rPr>
        <w:t xml:space="preserve">здійснюється контролюючим органом за такого платника податків на користь держави, </w:t>
      </w:r>
      <w:r w:rsidRPr="00660F9E">
        <w:rPr>
          <w:sz w:val="28"/>
          <w:szCs w:val="28"/>
          <w:bdr w:val="none" w:sz="0" w:space="0" w:color="auto" w:frame="1"/>
          <w:lang w:eastAsia="uk-UA"/>
        </w:rPr>
        <w:t>є стягнення коштів платника податків, які перебувають у його власності</w:t>
      </w:r>
      <w:r w:rsidRPr="00660F9E">
        <w:rPr>
          <w:sz w:val="28"/>
          <w:szCs w:val="28"/>
        </w:rPr>
        <w:t>.</w:t>
      </w:r>
    </w:p>
    <w:p w:rsidR="00224673" w:rsidRPr="00660F9E" w:rsidRDefault="00224673" w:rsidP="00224673">
      <w:pPr>
        <w:ind w:firstLine="567"/>
        <w:jc w:val="both"/>
        <w:rPr>
          <w:sz w:val="28"/>
          <w:szCs w:val="28"/>
          <w:bdr w:val="none" w:sz="0" w:space="0" w:color="auto" w:frame="1"/>
          <w:lang w:eastAsia="uk-UA"/>
        </w:rPr>
      </w:pPr>
      <w:r w:rsidRPr="00660F9E">
        <w:rPr>
          <w:sz w:val="28"/>
          <w:szCs w:val="28"/>
          <w:bdr w:val="none" w:sz="0" w:space="0" w:color="auto" w:frame="1"/>
          <w:lang w:eastAsia="uk-UA"/>
        </w:rPr>
        <w:t>Пунктами 95.3</w:t>
      </w:r>
      <w:r w:rsidR="00FB226E" w:rsidRPr="00660F9E">
        <w:rPr>
          <w:sz w:val="28"/>
          <w:szCs w:val="28"/>
          <w:bdr w:val="none" w:sz="0" w:space="0" w:color="auto" w:frame="1"/>
          <w:lang w:eastAsia="uk-UA"/>
        </w:rPr>
        <w:t>,</w:t>
      </w:r>
      <w:r w:rsidRPr="00660F9E">
        <w:rPr>
          <w:sz w:val="28"/>
          <w:szCs w:val="28"/>
          <w:bdr w:val="none" w:sz="0" w:space="0" w:color="auto" w:frame="1"/>
          <w:lang w:eastAsia="uk-UA"/>
        </w:rPr>
        <w:t xml:space="preserve"> 95.5 статті 95 </w:t>
      </w:r>
      <w:r w:rsidRPr="00660F9E">
        <w:rPr>
          <w:bCs/>
          <w:sz w:val="28"/>
          <w:szCs w:val="28"/>
          <w:lang w:eastAsia="en-US"/>
        </w:rPr>
        <w:t>глави 9 розділу ІІ</w:t>
      </w:r>
      <w:r w:rsidRPr="00660F9E">
        <w:rPr>
          <w:sz w:val="28"/>
          <w:szCs w:val="28"/>
          <w:bdr w:val="none" w:sz="0" w:space="0" w:color="auto" w:frame="1"/>
          <w:lang w:eastAsia="uk-UA"/>
        </w:rPr>
        <w:t xml:space="preserve"> Кодексу визначено, що стягнення коштів з рахунків платника податків – юридичної особи у банках, що обслуговують такого платника податків, здійснюється за рішенням суду, яке направляється до виконання контролюючим органам, або за рішенням керівника (його заступника або уповноваженої особи) контролюючого органу, у розмірі суми податкового боргу або його частини.</w:t>
      </w:r>
    </w:p>
    <w:p w:rsidR="00224673" w:rsidRPr="00660F9E" w:rsidRDefault="00224673" w:rsidP="00224673">
      <w:pPr>
        <w:ind w:firstLine="567"/>
        <w:jc w:val="both"/>
        <w:rPr>
          <w:sz w:val="28"/>
          <w:szCs w:val="28"/>
          <w:bdr w:val="none" w:sz="0" w:space="0" w:color="auto" w:frame="1"/>
          <w:lang w:eastAsia="uk-UA"/>
        </w:rPr>
      </w:pPr>
      <w:r w:rsidRPr="00660F9E">
        <w:rPr>
          <w:sz w:val="28"/>
          <w:szCs w:val="28"/>
          <w:bdr w:val="none" w:sz="0" w:space="0" w:color="auto" w:frame="1"/>
          <w:lang w:eastAsia="uk-UA"/>
        </w:rPr>
        <w:t>Відповідно до пункту 41.2 статті 41 розділу І Кодексу контролюючі органи, уповноважені здійснювати заходи щодо забезпечення погашення податкового боргу, є органами стягнення.</w:t>
      </w:r>
    </w:p>
    <w:p w:rsidR="00224673" w:rsidRPr="00660F9E" w:rsidRDefault="00224673" w:rsidP="00224673">
      <w:pPr>
        <w:ind w:firstLine="567"/>
        <w:jc w:val="both"/>
        <w:rPr>
          <w:sz w:val="28"/>
          <w:szCs w:val="28"/>
          <w:bdr w:val="none" w:sz="0" w:space="0" w:color="auto" w:frame="1"/>
          <w:lang w:eastAsia="uk-UA"/>
        </w:rPr>
      </w:pPr>
      <w:r w:rsidRPr="00660F9E">
        <w:rPr>
          <w:sz w:val="28"/>
          <w:szCs w:val="28"/>
          <w:bdr w:val="none" w:sz="0" w:space="0" w:color="auto" w:frame="1"/>
          <w:lang w:eastAsia="uk-UA"/>
        </w:rPr>
        <w:t xml:space="preserve">Згідно з пунктом 87.11 статті 87 </w:t>
      </w:r>
      <w:r w:rsidRPr="00660F9E">
        <w:rPr>
          <w:bCs/>
          <w:sz w:val="28"/>
          <w:szCs w:val="28"/>
          <w:lang w:eastAsia="en-US"/>
        </w:rPr>
        <w:t>розділу ІІ</w:t>
      </w:r>
      <w:r w:rsidRPr="00660F9E">
        <w:rPr>
          <w:sz w:val="28"/>
          <w:szCs w:val="28"/>
          <w:bdr w:val="none" w:sz="0" w:space="0" w:color="auto" w:frame="1"/>
          <w:lang w:eastAsia="uk-UA"/>
        </w:rPr>
        <w:t xml:space="preserve"> Кодексу стягнення податкового боргу платника податку </w:t>
      </w:r>
      <w:r w:rsidR="00FB226E" w:rsidRPr="00660F9E">
        <w:rPr>
          <w:sz w:val="28"/>
          <w:szCs w:val="28"/>
          <w:bdr w:val="none" w:sz="0" w:space="0" w:color="auto" w:frame="1"/>
          <w:lang w:eastAsia="uk-UA"/>
        </w:rPr>
        <w:t>–</w:t>
      </w:r>
      <w:r w:rsidRPr="00660F9E">
        <w:rPr>
          <w:sz w:val="28"/>
          <w:szCs w:val="28"/>
          <w:bdr w:val="none" w:sz="0" w:space="0" w:color="auto" w:frame="1"/>
          <w:lang w:eastAsia="uk-UA"/>
        </w:rPr>
        <w:t xml:space="preserve"> фізичної особи за рішенням суду здійснюється державною виконавчою службою відповідно до закону про виконавче провадження.</w:t>
      </w:r>
    </w:p>
    <w:p w:rsidR="00224673" w:rsidRPr="00660F9E" w:rsidRDefault="00224673" w:rsidP="00224673">
      <w:pPr>
        <w:ind w:firstLine="567"/>
        <w:jc w:val="both"/>
        <w:rPr>
          <w:sz w:val="28"/>
          <w:szCs w:val="28"/>
          <w:bdr w:val="none" w:sz="0" w:space="0" w:color="auto" w:frame="1"/>
          <w:lang w:eastAsia="uk-UA"/>
        </w:rPr>
      </w:pPr>
      <w:r w:rsidRPr="00660F9E">
        <w:rPr>
          <w:sz w:val="28"/>
          <w:szCs w:val="28"/>
          <w:bdr w:val="none" w:sz="0" w:space="0" w:color="auto" w:frame="1"/>
          <w:lang w:eastAsia="uk-UA"/>
        </w:rPr>
        <w:t xml:space="preserve">Списання коштів з рахунків платників податків, що мають податковий борг, здійснюється у порядку, встановленому главою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зареєстрованою в Міністерстві юстиції України 29 березня 2004 року за № 377/8976, зі змінами (далі – Інструкція № 22), за формою, встановленою додатком 22 до цієї Інструкції, та з дотриманням </w:t>
      </w:r>
      <w:r w:rsidR="00FB226E" w:rsidRPr="00ED51E4">
        <w:rPr>
          <w:sz w:val="28"/>
          <w:szCs w:val="28"/>
          <w:bdr w:val="none" w:sz="0" w:space="0" w:color="auto" w:frame="1"/>
          <w:lang w:eastAsia="uk-UA"/>
        </w:rPr>
        <w:t>указівок</w:t>
      </w:r>
      <w:r w:rsidRPr="00660F9E">
        <w:rPr>
          <w:sz w:val="28"/>
          <w:szCs w:val="28"/>
          <w:bdr w:val="none" w:sz="0" w:space="0" w:color="auto" w:frame="1"/>
          <w:lang w:eastAsia="uk-UA"/>
        </w:rPr>
        <w:t xml:space="preserve"> щодо заповнення реквізитів розрахункових документів, викладених у додатку 7 до цієї Інструкції.</w:t>
      </w:r>
    </w:p>
    <w:p w:rsidR="00224673" w:rsidRPr="00660F9E" w:rsidRDefault="00224673" w:rsidP="00224673">
      <w:pPr>
        <w:ind w:firstLine="567"/>
        <w:jc w:val="both"/>
        <w:rPr>
          <w:sz w:val="28"/>
          <w:szCs w:val="28"/>
          <w:bdr w:val="none" w:sz="0" w:space="0" w:color="auto" w:frame="1"/>
          <w:lang w:eastAsia="uk-UA"/>
        </w:rPr>
      </w:pPr>
      <w:r w:rsidRPr="00660F9E">
        <w:rPr>
          <w:sz w:val="28"/>
          <w:szCs w:val="28"/>
          <w:bdr w:val="none" w:sz="0" w:space="0" w:color="auto" w:frame="1"/>
          <w:lang w:eastAsia="uk-UA"/>
        </w:rPr>
        <w:lastRenderedPageBreak/>
        <w:t xml:space="preserve">На </w:t>
      </w:r>
      <w:r w:rsidR="00FB226E" w:rsidRPr="00660F9E">
        <w:rPr>
          <w:sz w:val="28"/>
          <w:szCs w:val="28"/>
          <w:bdr w:val="none" w:sz="0" w:space="0" w:color="auto" w:frame="1"/>
          <w:lang w:eastAsia="uk-UA"/>
        </w:rPr>
        <w:t>це</w:t>
      </w:r>
      <w:r w:rsidRPr="00660F9E">
        <w:rPr>
          <w:sz w:val="28"/>
          <w:szCs w:val="28"/>
          <w:bdr w:val="none" w:sz="0" w:space="0" w:color="auto" w:frame="1"/>
          <w:lang w:eastAsia="uk-UA"/>
        </w:rPr>
        <w:t xml:space="preserve">й час інкасові доручення (розпорядження) оформлюються у паперовому вигляді та доставляються в органи Державної казначейської служби України (далі – органи Казначейства) та в банки з використанням послуг поштового зв’язку або доставляються </w:t>
      </w:r>
      <w:proofErr w:type="spellStart"/>
      <w:r w:rsidRPr="00660F9E">
        <w:rPr>
          <w:sz w:val="28"/>
          <w:szCs w:val="28"/>
          <w:bdr w:val="none" w:sz="0" w:space="0" w:color="auto" w:frame="1"/>
          <w:lang w:eastAsia="uk-UA"/>
        </w:rPr>
        <w:t>бепосередньо</w:t>
      </w:r>
      <w:proofErr w:type="spellEnd"/>
      <w:r w:rsidRPr="00660F9E">
        <w:rPr>
          <w:sz w:val="28"/>
          <w:szCs w:val="28"/>
          <w:bdr w:val="none" w:sz="0" w:space="0" w:color="auto" w:frame="1"/>
          <w:lang w:eastAsia="uk-UA"/>
        </w:rPr>
        <w:t xml:space="preserve"> працівниками контролюючих органів. Одна</w:t>
      </w:r>
      <w:r w:rsidR="00100C55" w:rsidRPr="00660F9E">
        <w:rPr>
          <w:sz w:val="28"/>
          <w:szCs w:val="28"/>
          <w:bdr w:val="none" w:sz="0" w:space="0" w:color="auto" w:frame="1"/>
          <w:lang w:eastAsia="uk-UA"/>
        </w:rPr>
        <w:t>к</w:t>
      </w:r>
      <w:r w:rsidRPr="00660F9E">
        <w:rPr>
          <w:sz w:val="28"/>
          <w:szCs w:val="28"/>
          <w:bdr w:val="none" w:sz="0" w:space="0" w:color="auto" w:frame="1"/>
          <w:lang w:eastAsia="uk-UA"/>
        </w:rPr>
        <w:t xml:space="preserve"> вказані форма та спосіб є неоптимальними, нераціональними та недоцільними, оскільки призводять до неефективного витрачання </w:t>
      </w:r>
      <w:r w:rsidRPr="00660F9E">
        <w:rPr>
          <w:bCs/>
          <w:sz w:val="28"/>
          <w:szCs w:val="28"/>
          <w:bdr w:val="none" w:sz="0" w:space="0" w:color="auto" w:frame="1"/>
          <w:lang w:eastAsia="uk-UA"/>
        </w:rPr>
        <w:t>робочого часу державних службовців, пов</w:t>
      </w:r>
      <w:r w:rsidRPr="00660F9E">
        <w:rPr>
          <w:sz w:val="28"/>
          <w:szCs w:val="28"/>
          <w:bdr w:val="none" w:sz="0" w:space="0" w:color="auto" w:frame="1"/>
          <w:lang w:eastAsia="uk-UA"/>
        </w:rPr>
        <w:t>’</w:t>
      </w:r>
      <w:r w:rsidRPr="00660F9E">
        <w:rPr>
          <w:bCs/>
          <w:sz w:val="28"/>
          <w:szCs w:val="28"/>
          <w:bdr w:val="none" w:sz="0" w:space="0" w:color="auto" w:frame="1"/>
          <w:lang w:eastAsia="uk-UA"/>
        </w:rPr>
        <w:t xml:space="preserve">язаних із рукописним оформленням та доставкою інкасових доручень (розпоряджень) </w:t>
      </w:r>
      <w:proofErr w:type="spellStart"/>
      <w:r w:rsidRPr="00660F9E">
        <w:rPr>
          <w:bCs/>
          <w:sz w:val="28"/>
          <w:szCs w:val="28"/>
        </w:rPr>
        <w:t>нарочно</w:t>
      </w:r>
      <w:proofErr w:type="spellEnd"/>
      <w:r w:rsidRPr="00660F9E">
        <w:rPr>
          <w:bCs/>
          <w:sz w:val="28"/>
          <w:szCs w:val="28"/>
        </w:rPr>
        <w:t xml:space="preserve">, </w:t>
      </w:r>
      <w:r w:rsidRPr="00660F9E">
        <w:rPr>
          <w:bCs/>
          <w:sz w:val="28"/>
          <w:szCs w:val="28"/>
          <w:bdr w:val="none" w:sz="0" w:space="0" w:color="auto" w:frame="1"/>
          <w:lang w:eastAsia="uk-UA"/>
        </w:rPr>
        <w:t>бюджетних коштів (вартість паперу, картриджу, конверту, вартість послуг оператора поштового зв</w:t>
      </w:r>
      <w:r w:rsidRPr="00660F9E">
        <w:rPr>
          <w:sz w:val="28"/>
          <w:szCs w:val="28"/>
          <w:bdr w:val="none" w:sz="0" w:space="0" w:color="auto" w:frame="1"/>
          <w:lang w:eastAsia="uk-UA"/>
        </w:rPr>
        <w:t>’</w:t>
      </w:r>
      <w:r w:rsidRPr="00660F9E">
        <w:rPr>
          <w:bCs/>
          <w:sz w:val="28"/>
          <w:szCs w:val="28"/>
          <w:bdr w:val="none" w:sz="0" w:space="0" w:color="auto" w:frame="1"/>
          <w:lang w:eastAsia="uk-UA"/>
        </w:rPr>
        <w:t xml:space="preserve">язку за пересилання рекомендованим або цінним листом </w:t>
      </w:r>
      <w:r w:rsidRPr="00660F9E">
        <w:rPr>
          <w:bCs/>
          <w:sz w:val="28"/>
          <w:szCs w:val="28"/>
        </w:rPr>
        <w:t>або за кур’єрську доставку</w:t>
      </w:r>
      <w:r w:rsidRPr="00660F9E">
        <w:rPr>
          <w:bCs/>
          <w:sz w:val="28"/>
          <w:szCs w:val="28"/>
          <w:bdr w:val="none" w:sz="0" w:space="0" w:color="auto" w:frame="1"/>
          <w:lang w:eastAsia="uk-UA"/>
        </w:rPr>
        <w:t xml:space="preserve">, тощо), </w:t>
      </w:r>
      <w:r w:rsidRPr="00660F9E">
        <w:rPr>
          <w:sz w:val="28"/>
          <w:szCs w:val="28"/>
        </w:rPr>
        <w:t xml:space="preserve">втрати оперативності та своєчасності надходження до банку інкасового доручення (розпорядження) стягувача та відповідно його виконання, </w:t>
      </w:r>
      <w:r w:rsidRPr="00660F9E">
        <w:rPr>
          <w:bCs/>
          <w:sz w:val="28"/>
          <w:szCs w:val="28"/>
          <w:bdr w:val="none" w:sz="0" w:space="0" w:color="auto" w:frame="1"/>
          <w:lang w:eastAsia="uk-UA"/>
        </w:rPr>
        <w:t>т</w:t>
      </w:r>
      <w:r w:rsidRPr="00660F9E">
        <w:rPr>
          <w:sz w:val="28"/>
          <w:szCs w:val="28"/>
          <w:bdr w:val="none" w:sz="0" w:space="0" w:color="auto" w:frame="1"/>
          <w:lang w:eastAsia="uk-UA"/>
        </w:rPr>
        <w:t>а є неактуальними, оскільки не враховують ціннісн</w:t>
      </w:r>
      <w:r w:rsidR="00100C55" w:rsidRPr="00660F9E">
        <w:rPr>
          <w:sz w:val="28"/>
          <w:szCs w:val="28"/>
          <w:bdr w:val="none" w:sz="0" w:space="0" w:color="auto" w:frame="1"/>
          <w:lang w:eastAsia="uk-UA"/>
        </w:rPr>
        <w:t>их</w:t>
      </w:r>
      <w:r w:rsidRPr="00660F9E">
        <w:rPr>
          <w:sz w:val="28"/>
          <w:szCs w:val="28"/>
          <w:bdr w:val="none" w:sz="0" w:space="0" w:color="auto" w:frame="1"/>
          <w:lang w:eastAsia="uk-UA"/>
        </w:rPr>
        <w:t xml:space="preserve"> орієнтир</w:t>
      </w:r>
      <w:r w:rsidR="00100C55" w:rsidRPr="00660F9E">
        <w:rPr>
          <w:sz w:val="28"/>
          <w:szCs w:val="28"/>
          <w:bdr w:val="none" w:sz="0" w:space="0" w:color="auto" w:frame="1"/>
          <w:lang w:eastAsia="uk-UA"/>
        </w:rPr>
        <w:t>ів</w:t>
      </w:r>
      <w:r w:rsidRPr="00660F9E">
        <w:rPr>
          <w:sz w:val="28"/>
          <w:szCs w:val="28"/>
          <w:bdr w:val="none" w:sz="0" w:space="0" w:color="auto" w:frame="1"/>
          <w:lang w:eastAsia="uk-UA"/>
        </w:rPr>
        <w:t xml:space="preserve"> суспільства, спрямован</w:t>
      </w:r>
      <w:r w:rsidR="00100C55" w:rsidRPr="00660F9E">
        <w:rPr>
          <w:sz w:val="28"/>
          <w:szCs w:val="28"/>
          <w:bdr w:val="none" w:sz="0" w:space="0" w:color="auto" w:frame="1"/>
          <w:lang w:eastAsia="uk-UA"/>
        </w:rPr>
        <w:t>их</w:t>
      </w:r>
      <w:r w:rsidRPr="00660F9E">
        <w:rPr>
          <w:sz w:val="28"/>
          <w:szCs w:val="28"/>
          <w:bdr w:val="none" w:sz="0" w:space="0" w:color="auto" w:frame="1"/>
          <w:lang w:eastAsia="uk-UA"/>
        </w:rPr>
        <w:t xml:space="preserve"> на поширення </w:t>
      </w:r>
      <w:r w:rsidRPr="00660F9E">
        <w:rPr>
          <w:sz w:val="28"/>
          <w:szCs w:val="28"/>
        </w:rPr>
        <w:t>інформаційних ресурсів та інформаційно-комунікаційних технологій на різні сфери людського буття</w:t>
      </w:r>
      <w:r w:rsidRPr="00660F9E">
        <w:rPr>
          <w:sz w:val="28"/>
          <w:szCs w:val="28"/>
          <w:bdr w:val="none" w:sz="0" w:space="0" w:color="auto" w:frame="1"/>
          <w:lang w:eastAsia="uk-UA"/>
        </w:rPr>
        <w:t>.</w:t>
      </w:r>
    </w:p>
    <w:p w:rsidR="00224673" w:rsidRPr="00660F9E" w:rsidRDefault="00100C55" w:rsidP="00224673">
      <w:pPr>
        <w:ind w:firstLine="567"/>
        <w:jc w:val="both"/>
        <w:rPr>
          <w:sz w:val="28"/>
          <w:szCs w:val="28"/>
        </w:rPr>
      </w:pPr>
      <w:r w:rsidRPr="00660F9E">
        <w:rPr>
          <w:sz w:val="28"/>
          <w:szCs w:val="28"/>
        </w:rPr>
        <w:t>Зважаю</w:t>
      </w:r>
      <w:r w:rsidR="00224673" w:rsidRPr="00660F9E">
        <w:rPr>
          <w:sz w:val="28"/>
          <w:szCs w:val="28"/>
        </w:rPr>
        <w:t xml:space="preserve">чи </w:t>
      </w:r>
      <w:r w:rsidRPr="00660F9E">
        <w:rPr>
          <w:sz w:val="28"/>
          <w:szCs w:val="28"/>
        </w:rPr>
        <w:t>на</w:t>
      </w:r>
      <w:r w:rsidR="00224673" w:rsidRPr="00660F9E">
        <w:rPr>
          <w:sz w:val="28"/>
          <w:szCs w:val="28"/>
        </w:rPr>
        <w:t xml:space="preserve"> визначен</w:t>
      </w:r>
      <w:r w:rsidRPr="00660F9E">
        <w:rPr>
          <w:sz w:val="28"/>
          <w:szCs w:val="28"/>
        </w:rPr>
        <w:t>ня</w:t>
      </w:r>
      <w:r w:rsidR="00224673" w:rsidRPr="00660F9E">
        <w:rPr>
          <w:sz w:val="28"/>
          <w:szCs w:val="28"/>
        </w:rPr>
        <w:t xml:space="preserve"> понять, наведених у главі 1 Інструкції № 22, безготівкові розрахунки передбачають перерахування певної суми коштів з рахунків платників на рахунки отримувачів коштів, що проводяться банком на підставі розрахункових документів на паперових носіях чи в електронному вигляді.</w:t>
      </w:r>
    </w:p>
    <w:p w:rsidR="00224673" w:rsidRPr="00660F9E" w:rsidRDefault="00224673" w:rsidP="00224673">
      <w:pPr>
        <w:ind w:firstLine="567"/>
        <w:jc w:val="both"/>
        <w:rPr>
          <w:sz w:val="28"/>
          <w:szCs w:val="28"/>
        </w:rPr>
      </w:pPr>
      <w:r w:rsidRPr="00660F9E">
        <w:rPr>
          <w:sz w:val="28"/>
          <w:szCs w:val="28"/>
        </w:rPr>
        <w:t>Така сукупність норм, що визнається правом, закріплює можливість вчинення певних дій і на практиці має поширюватися на усі розрахункові документи, зокрема інкасові доручення (розпорядження), та не лише на доручення, надані власниками рахунків – клієнтами банків, а й на вимоги стягувачів.</w:t>
      </w:r>
    </w:p>
    <w:p w:rsidR="00224673" w:rsidRPr="00660F9E" w:rsidRDefault="00224673" w:rsidP="00224673">
      <w:pPr>
        <w:ind w:firstLine="567"/>
        <w:jc w:val="both"/>
        <w:rPr>
          <w:sz w:val="28"/>
          <w:szCs w:val="28"/>
        </w:rPr>
      </w:pPr>
      <w:r w:rsidRPr="00660F9E">
        <w:rPr>
          <w:sz w:val="28"/>
          <w:szCs w:val="28"/>
        </w:rPr>
        <w:t>При цьом</w:t>
      </w:r>
      <w:r w:rsidR="00100C55" w:rsidRPr="00660F9E">
        <w:rPr>
          <w:sz w:val="28"/>
          <w:szCs w:val="28"/>
        </w:rPr>
        <w:t>у</w:t>
      </w:r>
      <w:r w:rsidRPr="00660F9E">
        <w:rPr>
          <w:sz w:val="28"/>
          <w:szCs w:val="28"/>
        </w:rPr>
        <w:t xml:space="preserve"> слід зазначити, що загальні засади</w:t>
      </w:r>
      <w:r w:rsidRPr="00660F9E">
        <w:rPr>
          <w:sz w:val="28"/>
          <w:szCs w:val="28"/>
          <w:lang w:eastAsia="uk-UA"/>
        </w:rPr>
        <w:t xml:space="preserve"> </w:t>
      </w:r>
      <w:r w:rsidRPr="00660F9E">
        <w:rPr>
          <w:sz w:val="28"/>
          <w:szCs w:val="28"/>
        </w:rPr>
        <w:t>списання банками коштів з рахунків платників податків, що мають податковий борг, з метою його погашення, на підставі ініційованих контролюючими органами інкасових доручень (розпоряджень), передбачені Інструкцією № 22</w:t>
      </w:r>
      <w:r w:rsidRPr="00660F9E">
        <w:rPr>
          <w:sz w:val="28"/>
          <w:szCs w:val="28"/>
          <w:lang w:eastAsia="uk-UA"/>
        </w:rPr>
        <w:t>, яка є регуляторним актом,</w:t>
      </w:r>
      <w:r w:rsidRPr="00660F9E">
        <w:rPr>
          <w:sz w:val="28"/>
          <w:szCs w:val="28"/>
        </w:rPr>
        <w:t xml:space="preserve"> залишаються незмінними (</w:t>
      </w:r>
      <w:r w:rsidRPr="00660F9E">
        <w:rPr>
          <w:sz w:val="28"/>
          <w:szCs w:val="28"/>
          <w:lang w:eastAsia="uk-UA"/>
        </w:rPr>
        <w:t>не встановлюються, не змінюються та не скасовуються)</w:t>
      </w:r>
      <w:r w:rsidRPr="00660F9E">
        <w:rPr>
          <w:sz w:val="28"/>
          <w:szCs w:val="28"/>
        </w:rPr>
        <w:t>.</w:t>
      </w:r>
    </w:p>
    <w:p w:rsidR="00224673" w:rsidRPr="00660F9E" w:rsidRDefault="00224673" w:rsidP="00224673">
      <w:pPr>
        <w:ind w:firstLine="567"/>
        <w:jc w:val="both"/>
        <w:rPr>
          <w:sz w:val="28"/>
          <w:szCs w:val="28"/>
        </w:rPr>
      </w:pPr>
      <w:r w:rsidRPr="00660F9E">
        <w:rPr>
          <w:sz w:val="28"/>
          <w:szCs w:val="28"/>
        </w:rPr>
        <w:t>Врегулювання зазначеного проблемного питання не може бути здійснено за допомогою:</w:t>
      </w:r>
    </w:p>
    <w:p w:rsidR="00224673" w:rsidRPr="00660F9E" w:rsidRDefault="00224673" w:rsidP="00224673">
      <w:pPr>
        <w:ind w:firstLine="567"/>
        <w:jc w:val="both"/>
        <w:rPr>
          <w:sz w:val="28"/>
          <w:szCs w:val="28"/>
        </w:rPr>
      </w:pPr>
      <w:r w:rsidRPr="00660F9E">
        <w:rPr>
          <w:sz w:val="28"/>
          <w:szCs w:val="28"/>
        </w:rPr>
        <w:t>ринкового механізму</w:t>
      </w:r>
      <w:r w:rsidR="00EE7C48" w:rsidRPr="00EE7C48">
        <w:rPr>
          <w:color w:val="FF0000"/>
          <w:sz w:val="28"/>
          <w:szCs w:val="28"/>
        </w:rPr>
        <w:t xml:space="preserve"> </w:t>
      </w:r>
      <w:r w:rsidR="00EE7C48" w:rsidRPr="00EE7C48">
        <w:rPr>
          <w:sz w:val="28"/>
          <w:szCs w:val="28"/>
        </w:rPr>
        <w:t>(саморегулювання)</w:t>
      </w:r>
      <w:r w:rsidRPr="00EE7C48">
        <w:rPr>
          <w:sz w:val="28"/>
          <w:szCs w:val="28"/>
        </w:rPr>
        <w:t>,</w:t>
      </w:r>
      <w:r w:rsidRPr="00660F9E">
        <w:rPr>
          <w:sz w:val="28"/>
          <w:szCs w:val="28"/>
        </w:rPr>
        <w:t xml:space="preserve"> оскільки таке питання регулюється виключно нормативно-правовими актами;</w:t>
      </w:r>
    </w:p>
    <w:p w:rsidR="00224673" w:rsidRPr="00660F9E" w:rsidRDefault="00224673" w:rsidP="00224673">
      <w:pPr>
        <w:ind w:firstLine="567"/>
        <w:jc w:val="both"/>
        <w:rPr>
          <w:bCs/>
          <w:iCs/>
          <w:sz w:val="28"/>
          <w:szCs w:val="28"/>
        </w:rPr>
      </w:pPr>
      <w:r w:rsidRPr="00660F9E">
        <w:rPr>
          <w:sz w:val="28"/>
          <w:szCs w:val="28"/>
        </w:rPr>
        <w:t xml:space="preserve">діючих регуляторних актів, оскільки чинним законодавством України </w:t>
      </w:r>
      <w:r w:rsidRPr="00660F9E">
        <w:rPr>
          <w:bCs/>
          <w:iCs/>
          <w:sz w:val="28"/>
          <w:szCs w:val="28"/>
        </w:rPr>
        <w:t>порушене питання не врегульовано.</w:t>
      </w:r>
    </w:p>
    <w:p w:rsidR="00224673" w:rsidRPr="00660F9E" w:rsidRDefault="00224673" w:rsidP="00224673">
      <w:pPr>
        <w:spacing w:before="120"/>
        <w:ind w:firstLine="567"/>
        <w:jc w:val="both"/>
        <w:rPr>
          <w:sz w:val="28"/>
          <w:szCs w:val="28"/>
        </w:rPr>
      </w:pPr>
      <w:r w:rsidRPr="00660F9E">
        <w:rPr>
          <w:sz w:val="28"/>
          <w:szCs w:val="28"/>
        </w:rPr>
        <w:t>Основні групи, на які справляє вплив нормативно-правовий акт:</w:t>
      </w:r>
    </w:p>
    <w:p w:rsidR="00224673" w:rsidRPr="00660F9E" w:rsidRDefault="00224673" w:rsidP="00224673">
      <w:pPr>
        <w:jc w:val="both"/>
        <w:rPr>
          <w:sz w:val="14"/>
          <w:szCs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360"/>
        <w:gridCol w:w="3279"/>
      </w:tblGrid>
      <w:tr w:rsidR="00660F9E" w:rsidRPr="00660F9E" w:rsidTr="003718FF">
        <w:tc>
          <w:tcPr>
            <w:tcW w:w="3108" w:type="dxa"/>
            <w:vAlign w:val="center"/>
          </w:tcPr>
          <w:p w:rsidR="00224673" w:rsidRPr="00660F9E" w:rsidRDefault="00224673" w:rsidP="003718FF">
            <w:pPr>
              <w:jc w:val="both"/>
            </w:pPr>
            <w:r w:rsidRPr="00660F9E">
              <w:t>Групи</w:t>
            </w:r>
          </w:p>
        </w:tc>
        <w:tc>
          <w:tcPr>
            <w:tcW w:w="3360" w:type="dxa"/>
            <w:vAlign w:val="center"/>
          </w:tcPr>
          <w:p w:rsidR="00224673" w:rsidRPr="00660F9E" w:rsidRDefault="00224673" w:rsidP="003718FF">
            <w:pPr>
              <w:ind w:right="372" w:firstLine="708"/>
              <w:jc w:val="both"/>
            </w:pPr>
            <w:r w:rsidRPr="00660F9E">
              <w:t>Так</w:t>
            </w:r>
          </w:p>
        </w:tc>
        <w:tc>
          <w:tcPr>
            <w:tcW w:w="3279" w:type="dxa"/>
            <w:vAlign w:val="center"/>
          </w:tcPr>
          <w:p w:rsidR="00224673" w:rsidRPr="00660F9E" w:rsidRDefault="00224673" w:rsidP="003718FF">
            <w:pPr>
              <w:jc w:val="both"/>
            </w:pPr>
            <w:r w:rsidRPr="00660F9E">
              <w:t>Ні</w:t>
            </w:r>
          </w:p>
        </w:tc>
      </w:tr>
      <w:tr w:rsidR="00660F9E" w:rsidRPr="00660F9E" w:rsidTr="003718FF">
        <w:tc>
          <w:tcPr>
            <w:tcW w:w="3108" w:type="dxa"/>
            <w:vAlign w:val="center"/>
          </w:tcPr>
          <w:p w:rsidR="00224673" w:rsidRPr="00660F9E" w:rsidRDefault="00224673" w:rsidP="003718FF">
            <w:pPr>
              <w:jc w:val="both"/>
            </w:pPr>
            <w:r w:rsidRPr="00660F9E">
              <w:t>Громадяни</w:t>
            </w:r>
          </w:p>
        </w:tc>
        <w:tc>
          <w:tcPr>
            <w:tcW w:w="3360" w:type="dxa"/>
            <w:vAlign w:val="center"/>
          </w:tcPr>
          <w:p w:rsidR="00224673" w:rsidRPr="00660F9E" w:rsidRDefault="00224673" w:rsidP="003718FF">
            <w:pPr>
              <w:ind w:firstLine="228"/>
              <w:jc w:val="center"/>
            </w:pPr>
          </w:p>
        </w:tc>
        <w:tc>
          <w:tcPr>
            <w:tcW w:w="3279" w:type="dxa"/>
            <w:vAlign w:val="center"/>
          </w:tcPr>
          <w:p w:rsidR="00224673" w:rsidRPr="00660F9E" w:rsidRDefault="00224673" w:rsidP="003718FF">
            <w:pPr>
              <w:ind w:firstLine="21"/>
              <w:jc w:val="center"/>
            </w:pPr>
            <w:r w:rsidRPr="00660F9E">
              <w:t>+</w:t>
            </w:r>
          </w:p>
        </w:tc>
      </w:tr>
      <w:tr w:rsidR="00660F9E" w:rsidRPr="00660F9E" w:rsidTr="003718FF">
        <w:tc>
          <w:tcPr>
            <w:tcW w:w="3108" w:type="dxa"/>
            <w:vAlign w:val="center"/>
          </w:tcPr>
          <w:p w:rsidR="00224673" w:rsidRPr="00660F9E" w:rsidRDefault="00224673" w:rsidP="003718FF">
            <w:pPr>
              <w:jc w:val="both"/>
            </w:pPr>
            <w:r w:rsidRPr="00660F9E">
              <w:t>Держава</w:t>
            </w:r>
          </w:p>
        </w:tc>
        <w:tc>
          <w:tcPr>
            <w:tcW w:w="3360" w:type="dxa"/>
            <w:vAlign w:val="center"/>
          </w:tcPr>
          <w:p w:rsidR="00224673" w:rsidRPr="00660F9E" w:rsidRDefault="00224673" w:rsidP="003718FF">
            <w:pPr>
              <w:ind w:firstLine="228"/>
              <w:jc w:val="center"/>
            </w:pPr>
            <w:r w:rsidRPr="00660F9E">
              <w:t>+</w:t>
            </w:r>
          </w:p>
        </w:tc>
        <w:tc>
          <w:tcPr>
            <w:tcW w:w="3279" w:type="dxa"/>
            <w:vAlign w:val="center"/>
          </w:tcPr>
          <w:p w:rsidR="00224673" w:rsidRPr="00660F9E" w:rsidRDefault="00224673" w:rsidP="003718FF">
            <w:pPr>
              <w:ind w:firstLine="21"/>
              <w:jc w:val="center"/>
            </w:pPr>
          </w:p>
        </w:tc>
      </w:tr>
      <w:tr w:rsidR="00660F9E" w:rsidRPr="00660F9E" w:rsidTr="003718FF">
        <w:tc>
          <w:tcPr>
            <w:tcW w:w="3108" w:type="dxa"/>
            <w:vAlign w:val="center"/>
          </w:tcPr>
          <w:p w:rsidR="00224673" w:rsidRPr="00660F9E" w:rsidRDefault="00224673" w:rsidP="003718FF">
            <w:pPr>
              <w:jc w:val="both"/>
            </w:pPr>
            <w:r w:rsidRPr="00660F9E">
              <w:t>Суб’єкти господарювання:</w:t>
            </w:r>
          </w:p>
        </w:tc>
        <w:tc>
          <w:tcPr>
            <w:tcW w:w="3360" w:type="dxa"/>
            <w:vAlign w:val="center"/>
          </w:tcPr>
          <w:p w:rsidR="00224673" w:rsidRPr="00660F9E" w:rsidRDefault="00224673" w:rsidP="003718FF">
            <w:pPr>
              <w:ind w:firstLine="228"/>
              <w:jc w:val="center"/>
            </w:pPr>
            <w:r w:rsidRPr="00660F9E">
              <w:t>+</w:t>
            </w:r>
          </w:p>
        </w:tc>
        <w:tc>
          <w:tcPr>
            <w:tcW w:w="3279" w:type="dxa"/>
            <w:vAlign w:val="center"/>
          </w:tcPr>
          <w:p w:rsidR="00224673" w:rsidRPr="00660F9E" w:rsidRDefault="00224673" w:rsidP="003718FF">
            <w:pPr>
              <w:ind w:firstLine="21"/>
              <w:jc w:val="center"/>
            </w:pPr>
          </w:p>
        </w:tc>
      </w:tr>
      <w:tr w:rsidR="00224673" w:rsidRPr="00660F9E" w:rsidTr="003718FF">
        <w:tc>
          <w:tcPr>
            <w:tcW w:w="3108" w:type="dxa"/>
            <w:vAlign w:val="center"/>
          </w:tcPr>
          <w:p w:rsidR="00224673" w:rsidRPr="00660F9E" w:rsidRDefault="00224673" w:rsidP="003718FF">
            <w:pPr>
              <w:jc w:val="both"/>
            </w:pPr>
            <w:r w:rsidRPr="00660F9E">
              <w:t>у тому числі суб’єкти малого підприємництва</w:t>
            </w:r>
          </w:p>
        </w:tc>
        <w:tc>
          <w:tcPr>
            <w:tcW w:w="3360" w:type="dxa"/>
            <w:vAlign w:val="center"/>
          </w:tcPr>
          <w:p w:rsidR="00224673" w:rsidRPr="00660F9E" w:rsidRDefault="00224673" w:rsidP="003718FF">
            <w:pPr>
              <w:ind w:firstLine="228"/>
              <w:jc w:val="center"/>
            </w:pPr>
          </w:p>
        </w:tc>
        <w:tc>
          <w:tcPr>
            <w:tcW w:w="3279" w:type="dxa"/>
            <w:vAlign w:val="center"/>
          </w:tcPr>
          <w:p w:rsidR="00224673" w:rsidRPr="00660F9E" w:rsidRDefault="00224673" w:rsidP="003718FF">
            <w:pPr>
              <w:ind w:firstLine="21"/>
              <w:jc w:val="center"/>
            </w:pPr>
            <w:r w:rsidRPr="00660F9E">
              <w:t>+</w:t>
            </w:r>
          </w:p>
        </w:tc>
      </w:tr>
    </w:tbl>
    <w:p w:rsidR="00224673" w:rsidRPr="00660F9E" w:rsidRDefault="00224673" w:rsidP="00224673">
      <w:pPr>
        <w:ind w:firstLine="567"/>
        <w:jc w:val="both"/>
        <w:rPr>
          <w:sz w:val="12"/>
          <w:szCs w:val="12"/>
        </w:rPr>
      </w:pPr>
    </w:p>
    <w:p w:rsidR="00224673" w:rsidRPr="00660F9E" w:rsidRDefault="00224673" w:rsidP="00224673">
      <w:pPr>
        <w:shd w:val="clear" w:color="auto" w:fill="FFFFFF"/>
        <w:ind w:firstLine="567"/>
        <w:jc w:val="both"/>
        <w:rPr>
          <w:sz w:val="28"/>
          <w:szCs w:val="28"/>
        </w:rPr>
      </w:pPr>
      <w:r w:rsidRPr="00660F9E">
        <w:rPr>
          <w:sz w:val="28"/>
          <w:szCs w:val="28"/>
        </w:rPr>
        <w:lastRenderedPageBreak/>
        <w:t xml:space="preserve">Відповідно до проекту наказу його дія поширюється на таких учасників інформаційної взаємодії: </w:t>
      </w:r>
    </w:p>
    <w:p w:rsidR="00224673" w:rsidRPr="00660F9E" w:rsidRDefault="00224673" w:rsidP="00224673">
      <w:pPr>
        <w:shd w:val="clear" w:color="auto" w:fill="FFFFFF"/>
        <w:ind w:firstLine="567"/>
        <w:jc w:val="both"/>
        <w:rPr>
          <w:sz w:val="28"/>
          <w:szCs w:val="28"/>
        </w:rPr>
      </w:pPr>
      <w:r w:rsidRPr="00660F9E">
        <w:rPr>
          <w:sz w:val="28"/>
          <w:szCs w:val="28"/>
        </w:rPr>
        <w:t xml:space="preserve">- контролюючі органи, уповноважені здійснювати заходи, спрямовані на погашення податкового боргу платників податків, шляхом направлення інкасових доручень (розпоряджень); </w:t>
      </w:r>
    </w:p>
    <w:p w:rsidR="00224673" w:rsidRPr="00660F9E" w:rsidRDefault="00224673" w:rsidP="00224673">
      <w:pPr>
        <w:shd w:val="clear" w:color="auto" w:fill="FFFFFF"/>
        <w:ind w:firstLine="567"/>
        <w:jc w:val="both"/>
        <w:rPr>
          <w:sz w:val="28"/>
          <w:szCs w:val="28"/>
        </w:rPr>
      </w:pPr>
      <w:r w:rsidRPr="00660F9E">
        <w:rPr>
          <w:sz w:val="28"/>
          <w:szCs w:val="28"/>
        </w:rPr>
        <w:t xml:space="preserve">- органи Казначейства, уповноважені здійснювати казначейське обслуговування державного та місцевих бюджетів за доходами та іншими надходженнями, в частині перевірки заповнення таких реквізитів інкасових доручень (розпоряджень): «Отримувач», «Код отримувача», «Рахунок отримувача», «Банк отримувача», «Код банку отримувача»; </w:t>
      </w:r>
    </w:p>
    <w:p w:rsidR="00224673" w:rsidRPr="00660F9E" w:rsidRDefault="00224673" w:rsidP="00224673">
      <w:pPr>
        <w:ind w:firstLine="567"/>
        <w:jc w:val="both"/>
        <w:rPr>
          <w:sz w:val="28"/>
          <w:szCs w:val="28"/>
        </w:rPr>
      </w:pPr>
      <w:r w:rsidRPr="00660F9E">
        <w:rPr>
          <w:sz w:val="28"/>
          <w:szCs w:val="28"/>
        </w:rPr>
        <w:t>- банки України, уповноважені здійснювати безготівкові розрахунки в Україні в національній валюті, зокрема щодо вик</w:t>
      </w:r>
      <w:r w:rsidR="00637C6E" w:rsidRPr="00660F9E">
        <w:rPr>
          <w:sz w:val="28"/>
          <w:szCs w:val="28"/>
        </w:rPr>
        <w:t>онання за дорученням стягувачів</w:t>
      </w:r>
      <w:r w:rsidRPr="00660F9E">
        <w:rPr>
          <w:sz w:val="28"/>
          <w:szCs w:val="28"/>
        </w:rPr>
        <w:t>.</w:t>
      </w:r>
    </w:p>
    <w:p w:rsidR="00224673" w:rsidRPr="00660F9E" w:rsidRDefault="00224673" w:rsidP="00224673">
      <w:pPr>
        <w:ind w:firstLine="567"/>
        <w:jc w:val="both"/>
        <w:rPr>
          <w:sz w:val="28"/>
          <w:szCs w:val="28"/>
        </w:rPr>
      </w:pPr>
      <w:r w:rsidRPr="00660F9E">
        <w:rPr>
          <w:sz w:val="28"/>
          <w:szCs w:val="28"/>
        </w:rPr>
        <w:t>З метою вирішення зазначеної проблеми підготовлено відповідний проект регуляторного акта.</w:t>
      </w:r>
    </w:p>
    <w:p w:rsidR="00224673" w:rsidRPr="00660F9E" w:rsidRDefault="00224673" w:rsidP="00224673">
      <w:pPr>
        <w:ind w:left="360"/>
        <w:jc w:val="both"/>
        <w:rPr>
          <w:b/>
          <w:bCs/>
          <w:sz w:val="28"/>
          <w:szCs w:val="28"/>
        </w:rPr>
      </w:pPr>
    </w:p>
    <w:p w:rsidR="00224673" w:rsidRPr="00660F9E" w:rsidRDefault="00224673" w:rsidP="00224673">
      <w:pPr>
        <w:ind w:left="360"/>
        <w:jc w:val="center"/>
        <w:rPr>
          <w:b/>
          <w:bCs/>
          <w:sz w:val="28"/>
          <w:szCs w:val="28"/>
        </w:rPr>
      </w:pPr>
      <w:r w:rsidRPr="00660F9E">
        <w:rPr>
          <w:b/>
          <w:bCs/>
          <w:sz w:val="28"/>
          <w:szCs w:val="28"/>
        </w:rPr>
        <w:t>II. Цілі державного регулювання</w:t>
      </w:r>
    </w:p>
    <w:p w:rsidR="00224673" w:rsidRPr="00660F9E" w:rsidRDefault="00224673" w:rsidP="00224673">
      <w:pPr>
        <w:ind w:left="360"/>
        <w:jc w:val="both"/>
        <w:rPr>
          <w:b/>
          <w:bCs/>
          <w:sz w:val="16"/>
          <w:szCs w:val="16"/>
        </w:rPr>
      </w:pPr>
    </w:p>
    <w:p w:rsidR="00224673" w:rsidRPr="00660F9E" w:rsidRDefault="00224673" w:rsidP="00224673">
      <w:pPr>
        <w:ind w:firstLine="567"/>
        <w:jc w:val="both"/>
        <w:rPr>
          <w:sz w:val="28"/>
          <w:szCs w:val="28"/>
        </w:rPr>
      </w:pPr>
      <w:r w:rsidRPr="00660F9E">
        <w:rPr>
          <w:sz w:val="28"/>
          <w:szCs w:val="28"/>
        </w:rPr>
        <w:t xml:space="preserve">Державне регулювання спрямоване на досягнення основної цілі </w:t>
      </w:r>
      <w:r w:rsidR="00100C55" w:rsidRPr="00660F9E">
        <w:rPr>
          <w:sz w:val="28"/>
          <w:szCs w:val="28"/>
        </w:rPr>
        <w:t>–</w:t>
      </w:r>
      <w:r w:rsidRPr="00660F9E">
        <w:rPr>
          <w:sz w:val="28"/>
          <w:szCs w:val="28"/>
        </w:rPr>
        <w:t xml:space="preserve"> запровадження інформаційної взаємодії в режимі реального часу та безпосередньо з робочого місця </w:t>
      </w:r>
      <w:r w:rsidRPr="00660F9E">
        <w:rPr>
          <w:sz w:val="28"/>
          <w:szCs w:val="28"/>
          <w:bdr w:val="none" w:sz="0" w:space="0" w:color="auto" w:frame="1"/>
          <w:lang w:eastAsia="uk-UA"/>
        </w:rPr>
        <w:t>п</w:t>
      </w:r>
      <w:r w:rsidR="00100C55" w:rsidRPr="00660F9E">
        <w:rPr>
          <w:sz w:val="28"/>
          <w:szCs w:val="28"/>
          <w:bdr w:val="none" w:sz="0" w:space="0" w:color="auto" w:frame="1"/>
          <w:lang w:eastAsia="uk-UA"/>
        </w:rPr>
        <w:t>ід час</w:t>
      </w:r>
      <w:r w:rsidRPr="00660F9E">
        <w:rPr>
          <w:sz w:val="28"/>
          <w:szCs w:val="28"/>
          <w:bdr w:val="none" w:sz="0" w:space="0" w:color="auto" w:frame="1"/>
          <w:lang w:eastAsia="uk-UA"/>
        </w:rPr>
        <w:t xml:space="preserve"> транспортуванн</w:t>
      </w:r>
      <w:r w:rsidR="00100C55" w:rsidRPr="00660F9E">
        <w:rPr>
          <w:sz w:val="28"/>
          <w:szCs w:val="28"/>
          <w:bdr w:val="none" w:sz="0" w:space="0" w:color="auto" w:frame="1"/>
          <w:lang w:eastAsia="uk-UA"/>
        </w:rPr>
        <w:t>я</w:t>
      </w:r>
      <w:r w:rsidRPr="00660F9E">
        <w:rPr>
          <w:sz w:val="28"/>
          <w:szCs w:val="28"/>
          <w:bdr w:val="none" w:sz="0" w:space="0" w:color="auto" w:frame="1"/>
          <w:lang w:eastAsia="uk-UA"/>
        </w:rPr>
        <w:t xml:space="preserve"> інкасових доручень (розпоряджень), сформованих в електронному вигляді, </w:t>
      </w:r>
      <w:r w:rsidRPr="00660F9E">
        <w:rPr>
          <w:sz w:val="28"/>
          <w:szCs w:val="28"/>
        </w:rPr>
        <w:t xml:space="preserve">з використанням телекомунікаційних мереж, засобів технічного та криптографічного захисту інформації відповідно до законодавства та </w:t>
      </w:r>
      <w:r w:rsidRPr="00660F9E">
        <w:rPr>
          <w:sz w:val="28"/>
          <w:szCs w:val="28"/>
          <w:bdr w:val="none" w:sz="0" w:space="0" w:color="auto" w:frame="1"/>
          <w:lang w:eastAsia="uk-UA"/>
        </w:rPr>
        <w:t>з дотриманням вимог законів щодо електронного документообігу та електронних довірчих послуг, а також з використанням каналів конфіденційного зв’язку спеціальної інформаційної телекомунікаційної системи органів виконавчої влади Національної системи конфіденційного зв’язку.</w:t>
      </w:r>
      <w:r w:rsidRPr="00660F9E">
        <w:rPr>
          <w:sz w:val="28"/>
          <w:szCs w:val="28"/>
        </w:rPr>
        <w:t xml:space="preserve"> </w:t>
      </w:r>
    </w:p>
    <w:p w:rsidR="00224673" w:rsidRPr="00660F9E" w:rsidRDefault="00224673" w:rsidP="00224673">
      <w:pPr>
        <w:ind w:firstLine="567"/>
        <w:jc w:val="both"/>
        <w:rPr>
          <w:sz w:val="28"/>
          <w:szCs w:val="28"/>
        </w:rPr>
      </w:pPr>
      <w:r w:rsidRPr="00660F9E">
        <w:rPr>
          <w:sz w:val="28"/>
          <w:szCs w:val="28"/>
        </w:rPr>
        <w:t>Цей проект регуляторного акта має сприяти розв’язанню проблеми, зазначеної у розділі І АРВ.</w:t>
      </w:r>
    </w:p>
    <w:p w:rsidR="00224673" w:rsidRPr="00660F9E" w:rsidRDefault="00224673" w:rsidP="00224673">
      <w:pPr>
        <w:pStyle w:val="a3"/>
        <w:spacing w:before="0" w:beforeAutospacing="0" w:after="0" w:afterAutospacing="0"/>
        <w:ind w:firstLine="567"/>
        <w:jc w:val="both"/>
        <w:rPr>
          <w:b/>
          <w:bCs/>
          <w:noProof/>
          <w:color w:val="auto"/>
          <w:sz w:val="28"/>
          <w:szCs w:val="28"/>
          <w:lang w:val="uk-UA"/>
        </w:rPr>
      </w:pPr>
    </w:p>
    <w:p w:rsidR="00224673" w:rsidRPr="00660F9E" w:rsidRDefault="00224673" w:rsidP="00224673">
      <w:pPr>
        <w:pStyle w:val="a3"/>
        <w:spacing w:before="0" w:beforeAutospacing="0" w:after="0" w:afterAutospacing="0"/>
        <w:ind w:firstLine="567"/>
        <w:jc w:val="both"/>
        <w:rPr>
          <w:b/>
          <w:bCs/>
          <w:noProof/>
          <w:color w:val="auto"/>
          <w:sz w:val="28"/>
          <w:szCs w:val="28"/>
          <w:lang w:val="uk-UA"/>
        </w:rPr>
      </w:pPr>
      <w:r w:rsidRPr="00660F9E">
        <w:rPr>
          <w:b/>
          <w:bCs/>
          <w:noProof/>
          <w:color w:val="auto"/>
          <w:sz w:val="28"/>
          <w:szCs w:val="28"/>
          <w:lang w:val="uk-UA"/>
        </w:rPr>
        <w:t>III. Визначення та оцінка альтернативних способів досягнення цілей</w:t>
      </w:r>
    </w:p>
    <w:p w:rsidR="00224673" w:rsidRPr="00660F9E" w:rsidRDefault="00224673" w:rsidP="00224673">
      <w:pPr>
        <w:pStyle w:val="a3"/>
        <w:spacing w:before="0" w:beforeAutospacing="0" w:after="0" w:afterAutospacing="0"/>
        <w:ind w:firstLine="567"/>
        <w:jc w:val="both"/>
        <w:rPr>
          <w:b/>
          <w:bCs/>
          <w:noProof/>
          <w:color w:val="auto"/>
          <w:sz w:val="28"/>
          <w:szCs w:val="28"/>
          <w:lang w:val="uk-UA"/>
        </w:rPr>
      </w:pPr>
      <w:r w:rsidRPr="00660F9E">
        <w:rPr>
          <w:b/>
          <w:bCs/>
          <w:noProof/>
          <w:color w:val="auto"/>
          <w:sz w:val="28"/>
          <w:szCs w:val="28"/>
          <w:lang w:val="uk-UA"/>
        </w:rPr>
        <w:t xml:space="preserve"> </w:t>
      </w:r>
    </w:p>
    <w:p w:rsidR="00224673" w:rsidRPr="00660F9E" w:rsidRDefault="00224673" w:rsidP="00224673">
      <w:pPr>
        <w:pStyle w:val="a3"/>
        <w:numPr>
          <w:ilvl w:val="0"/>
          <w:numId w:val="19"/>
        </w:numPr>
        <w:spacing w:before="0" w:beforeAutospacing="0" w:after="0" w:afterAutospacing="0"/>
        <w:jc w:val="both"/>
        <w:rPr>
          <w:noProof/>
          <w:color w:val="auto"/>
          <w:sz w:val="28"/>
          <w:szCs w:val="28"/>
          <w:lang w:val="uk-UA"/>
        </w:rPr>
      </w:pPr>
      <w:r w:rsidRPr="00660F9E">
        <w:rPr>
          <w:noProof/>
          <w:color w:val="auto"/>
          <w:sz w:val="28"/>
          <w:szCs w:val="28"/>
          <w:lang w:val="uk-UA"/>
        </w:rPr>
        <w:t>Альтернативні способи досягнення цілей державного регулювання: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660F9E" w:rsidRPr="00660F9E" w:rsidTr="003718FF">
        <w:tc>
          <w:tcPr>
            <w:tcW w:w="2235"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both"/>
            </w:pPr>
            <w:r w:rsidRPr="00660F9E">
              <w:t>Вид альтернативи</w:t>
            </w:r>
          </w:p>
        </w:tc>
        <w:tc>
          <w:tcPr>
            <w:tcW w:w="7512"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both"/>
            </w:pPr>
            <w:r w:rsidRPr="00660F9E">
              <w:t>Опис альтернативи</w:t>
            </w:r>
          </w:p>
        </w:tc>
      </w:tr>
      <w:tr w:rsidR="00660F9E" w:rsidRPr="00660F9E" w:rsidTr="003718FF">
        <w:tc>
          <w:tcPr>
            <w:tcW w:w="2235" w:type="dxa"/>
            <w:tcBorders>
              <w:top w:val="single" w:sz="4" w:space="0" w:color="auto"/>
              <w:left w:val="single" w:sz="4" w:space="0" w:color="auto"/>
              <w:bottom w:val="single" w:sz="4" w:space="0" w:color="auto"/>
              <w:right w:val="single" w:sz="4" w:space="0" w:color="auto"/>
            </w:tcBorders>
          </w:tcPr>
          <w:p w:rsidR="00224673" w:rsidRPr="00D739E0" w:rsidRDefault="00224673" w:rsidP="003718FF">
            <w:pPr>
              <w:jc w:val="both"/>
            </w:pPr>
            <w:r w:rsidRPr="00D739E0">
              <w:t>Альтернатива 1</w:t>
            </w:r>
          </w:p>
          <w:p w:rsidR="003D08E4" w:rsidRPr="00D739E0" w:rsidRDefault="00D739E0" w:rsidP="003D08E4">
            <w:pPr>
              <w:pStyle w:val="a3"/>
              <w:spacing w:before="0" w:beforeAutospacing="0" w:after="0" w:afterAutospacing="0" w:line="264" w:lineRule="auto"/>
              <w:jc w:val="both"/>
            </w:pPr>
            <w:r w:rsidRPr="00D739E0">
              <w:rPr>
                <w:noProof/>
                <w:color w:val="auto"/>
                <w:lang w:val="uk-UA"/>
              </w:rPr>
              <w:t xml:space="preserve">(залишення наявної ситуації без змін) </w:t>
            </w:r>
          </w:p>
          <w:p w:rsidR="00224673" w:rsidRPr="00D739E0" w:rsidRDefault="003D08E4" w:rsidP="003D08E4">
            <w:pPr>
              <w:jc w:val="both"/>
            </w:pPr>
            <w:r w:rsidRPr="00D739E0">
              <w:t xml:space="preserve"> </w:t>
            </w:r>
          </w:p>
        </w:tc>
        <w:tc>
          <w:tcPr>
            <w:tcW w:w="7512"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t>Альтернат</w:t>
            </w:r>
            <w:r w:rsidR="00100C55" w:rsidRPr="00660F9E">
              <w:t>ива є неприйнятною, оскільки не</w:t>
            </w:r>
            <w:r w:rsidRPr="00660F9E">
              <w:t>затвердження такого регуляторного акта не забезпечить розв’язання проблеми, визначеної у розділі І АРВ.</w:t>
            </w:r>
          </w:p>
        </w:tc>
      </w:tr>
      <w:tr w:rsidR="00660F9E" w:rsidRPr="00660F9E" w:rsidTr="003718FF">
        <w:tc>
          <w:tcPr>
            <w:tcW w:w="2235" w:type="dxa"/>
            <w:tcBorders>
              <w:top w:val="single" w:sz="4" w:space="0" w:color="auto"/>
              <w:left w:val="single" w:sz="4" w:space="0" w:color="auto"/>
              <w:bottom w:val="single" w:sz="4" w:space="0" w:color="auto"/>
              <w:right w:val="single" w:sz="4" w:space="0" w:color="auto"/>
            </w:tcBorders>
          </w:tcPr>
          <w:p w:rsidR="00D739E0" w:rsidRPr="00D739E0" w:rsidRDefault="00D739E0" w:rsidP="00D739E0">
            <w:pPr>
              <w:jc w:val="both"/>
            </w:pPr>
            <w:r w:rsidRPr="00D739E0">
              <w:t xml:space="preserve">Альтернатива 2 (прийняття проекту акта) </w:t>
            </w:r>
          </w:p>
          <w:p w:rsidR="00224673" w:rsidRPr="00D739E0" w:rsidRDefault="00224673" w:rsidP="003D08E4">
            <w:pPr>
              <w:jc w:val="both"/>
            </w:pPr>
          </w:p>
        </w:tc>
        <w:tc>
          <w:tcPr>
            <w:tcW w:w="7512"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t>Альтернатива є прийнятною, оскільки затвер</w:t>
            </w:r>
            <w:r w:rsidR="003D08E4">
              <w:t>дження такого регуляторного акту</w:t>
            </w:r>
            <w:r w:rsidRPr="00660F9E">
              <w:t xml:space="preserve"> забезпечить досягнення встановлених цілей, визначених розділом ІІ АРВ.</w:t>
            </w:r>
          </w:p>
        </w:tc>
      </w:tr>
    </w:tbl>
    <w:p w:rsidR="00637C6E" w:rsidRPr="00660F9E" w:rsidRDefault="00224673" w:rsidP="00637C6E">
      <w:pPr>
        <w:pStyle w:val="a3"/>
        <w:ind w:firstLine="720"/>
        <w:jc w:val="both"/>
        <w:rPr>
          <w:noProof/>
          <w:color w:val="auto"/>
          <w:sz w:val="28"/>
          <w:szCs w:val="28"/>
          <w:lang w:val="uk-UA" w:eastAsia="x-none"/>
        </w:rPr>
      </w:pPr>
      <w:r w:rsidRPr="00660F9E">
        <w:rPr>
          <w:noProof/>
          <w:color w:val="auto"/>
          <w:sz w:val="28"/>
          <w:szCs w:val="28"/>
          <w:lang w:val="uk-UA" w:eastAsia="x-none"/>
        </w:rPr>
        <w:t>2. Оцінка вибраних альтернативних способів досягнення цілей:</w:t>
      </w:r>
    </w:p>
    <w:p w:rsidR="00224673" w:rsidRPr="00660F9E" w:rsidRDefault="00224673" w:rsidP="00F11E64">
      <w:pPr>
        <w:pStyle w:val="a3"/>
        <w:spacing w:after="0"/>
        <w:ind w:firstLine="567"/>
        <w:jc w:val="center"/>
        <w:rPr>
          <w:noProof/>
          <w:color w:val="auto"/>
          <w:sz w:val="28"/>
          <w:szCs w:val="28"/>
          <w:lang w:val="uk-UA" w:eastAsia="x-none"/>
        </w:rPr>
      </w:pPr>
      <w:r w:rsidRPr="00660F9E">
        <w:rPr>
          <w:noProof/>
          <w:color w:val="auto"/>
          <w:sz w:val="28"/>
          <w:szCs w:val="28"/>
          <w:lang w:val="uk-UA" w:eastAsia="x-none"/>
        </w:rPr>
        <w:t>Оцінка впливу на сферу інтересів держави.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75"/>
        <w:gridCol w:w="3579"/>
      </w:tblGrid>
      <w:tr w:rsidR="00660F9E" w:rsidRPr="00660F9E" w:rsidTr="003718FF">
        <w:tc>
          <w:tcPr>
            <w:tcW w:w="2093"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both"/>
              <w:rPr>
                <w:noProof/>
                <w:color w:val="auto"/>
                <w:lang w:val="uk-UA" w:eastAsia="x-none"/>
              </w:rPr>
            </w:pPr>
            <w:r w:rsidRPr="00660F9E">
              <w:rPr>
                <w:noProof/>
                <w:color w:val="auto"/>
                <w:lang w:val="uk-UA" w:eastAsia="x-none"/>
              </w:rPr>
              <w:lastRenderedPageBreak/>
              <w:t>Вид альтернативи</w:t>
            </w:r>
          </w:p>
        </w:tc>
        <w:tc>
          <w:tcPr>
            <w:tcW w:w="4075"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both"/>
              <w:rPr>
                <w:noProof/>
                <w:color w:val="auto"/>
                <w:lang w:val="uk-UA" w:eastAsia="x-none"/>
              </w:rPr>
            </w:pPr>
            <w:r w:rsidRPr="00660F9E">
              <w:rPr>
                <w:noProof/>
                <w:color w:val="auto"/>
                <w:lang w:val="uk-UA" w:eastAsia="x-none"/>
              </w:rPr>
              <w:t>Вигоди</w:t>
            </w:r>
          </w:p>
        </w:tc>
        <w:tc>
          <w:tcPr>
            <w:tcW w:w="3579"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both"/>
              <w:rPr>
                <w:noProof/>
                <w:color w:val="auto"/>
                <w:lang w:val="uk-UA" w:eastAsia="x-none"/>
              </w:rPr>
            </w:pPr>
            <w:r w:rsidRPr="00660F9E">
              <w:rPr>
                <w:noProof/>
                <w:color w:val="auto"/>
                <w:lang w:val="uk-UA" w:eastAsia="x-none"/>
              </w:rPr>
              <w:t>Витрати</w:t>
            </w:r>
          </w:p>
        </w:tc>
      </w:tr>
      <w:tr w:rsidR="00660F9E" w:rsidRPr="00660F9E" w:rsidTr="003718FF">
        <w:trPr>
          <w:trHeight w:val="392"/>
        </w:trPr>
        <w:tc>
          <w:tcPr>
            <w:tcW w:w="2093"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line="228" w:lineRule="auto"/>
              <w:jc w:val="both"/>
              <w:rPr>
                <w:noProof/>
                <w:color w:val="auto"/>
                <w:lang w:val="uk-UA" w:eastAsia="x-none"/>
              </w:rPr>
            </w:pPr>
            <w:r w:rsidRPr="00660F9E">
              <w:rPr>
                <w:noProof/>
                <w:color w:val="auto"/>
                <w:lang w:val="uk-UA" w:eastAsia="x-none"/>
              </w:rPr>
              <w:t xml:space="preserve">Альтернатива 1 </w:t>
            </w:r>
            <w:r w:rsidRPr="00660F9E">
              <w:rPr>
                <w:noProof/>
                <w:color w:val="auto"/>
                <w:lang w:val="uk-UA"/>
              </w:rPr>
              <w:t>(залишення наявної ситуації без змін)</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224673" w:rsidRPr="00660F9E" w:rsidRDefault="00224673" w:rsidP="003718FF">
            <w:pPr>
              <w:ind w:firstLine="211"/>
              <w:jc w:val="both"/>
            </w:pPr>
            <w:r w:rsidRPr="00660F9E">
              <w:t xml:space="preserve">Відсутні. </w:t>
            </w:r>
          </w:p>
          <w:p w:rsidR="00224673" w:rsidRPr="00660F9E" w:rsidRDefault="00224673" w:rsidP="003718FF">
            <w:pPr>
              <w:ind w:firstLine="211"/>
              <w:jc w:val="both"/>
            </w:pPr>
          </w:p>
        </w:tc>
        <w:tc>
          <w:tcPr>
            <w:tcW w:w="3579" w:type="dxa"/>
            <w:tcBorders>
              <w:top w:val="single" w:sz="4" w:space="0" w:color="auto"/>
              <w:left w:val="single" w:sz="4" w:space="0" w:color="auto"/>
              <w:bottom w:val="single" w:sz="4" w:space="0" w:color="auto"/>
              <w:right w:val="single" w:sz="4" w:space="0" w:color="auto"/>
            </w:tcBorders>
            <w:vAlign w:val="center"/>
            <w:hideMark/>
          </w:tcPr>
          <w:p w:rsidR="00224673" w:rsidRPr="00660F9E" w:rsidRDefault="00224673" w:rsidP="003718FF">
            <w:pPr>
              <w:ind w:firstLine="211"/>
              <w:jc w:val="both"/>
            </w:pPr>
            <w:r w:rsidRPr="00660F9E">
              <w:t xml:space="preserve">Відсутні. </w:t>
            </w:r>
          </w:p>
          <w:p w:rsidR="00224673" w:rsidRPr="00660F9E" w:rsidRDefault="00224673" w:rsidP="003718FF">
            <w:pPr>
              <w:ind w:firstLine="211"/>
              <w:jc w:val="both"/>
            </w:pPr>
            <w:r w:rsidRPr="00660F9E">
              <w:t>Альтернатива є неприйнятною, оскільки не забезпечує вирішення наведеної проблеми та досягнення поставленої мети.</w:t>
            </w:r>
          </w:p>
          <w:p w:rsidR="00224673" w:rsidRPr="00660F9E" w:rsidRDefault="00224673" w:rsidP="00100C55">
            <w:pPr>
              <w:ind w:firstLine="211"/>
              <w:jc w:val="both"/>
            </w:pPr>
            <w:r w:rsidRPr="00660F9E">
              <w:t>За відсутності інформаційної взаємодії п</w:t>
            </w:r>
            <w:r w:rsidR="00100C55" w:rsidRPr="00660F9E">
              <w:t>ід час</w:t>
            </w:r>
            <w:r w:rsidRPr="00660F9E">
              <w:t xml:space="preserve"> транспортуванн</w:t>
            </w:r>
            <w:r w:rsidR="00100C55" w:rsidRPr="00660F9E">
              <w:t>я</w:t>
            </w:r>
            <w:r w:rsidRPr="00660F9E">
              <w:t xml:space="preserve">  інкасових доручень (розпоряджень) в електронній формі виникатимуть постійні та систематичні витрати, що після запровадження державного регулювання мають зникнути.</w:t>
            </w:r>
          </w:p>
        </w:tc>
      </w:tr>
      <w:tr w:rsidR="00224673" w:rsidRPr="00660F9E" w:rsidTr="003718FF">
        <w:trPr>
          <w:trHeight w:val="541"/>
        </w:trPr>
        <w:tc>
          <w:tcPr>
            <w:tcW w:w="2093" w:type="dxa"/>
            <w:tcBorders>
              <w:top w:val="single" w:sz="4" w:space="0" w:color="auto"/>
              <w:left w:val="single" w:sz="4" w:space="0" w:color="auto"/>
              <w:bottom w:val="single" w:sz="4" w:space="0" w:color="auto"/>
              <w:right w:val="single" w:sz="4" w:space="0" w:color="auto"/>
            </w:tcBorders>
            <w:hideMark/>
          </w:tcPr>
          <w:p w:rsidR="00224673" w:rsidRPr="007B3D6C" w:rsidRDefault="00224673" w:rsidP="00997EEC">
            <w:pPr>
              <w:jc w:val="both"/>
              <w:rPr>
                <w:lang w:eastAsia="x-none"/>
              </w:rPr>
            </w:pPr>
            <w:r w:rsidRPr="007B3D6C">
              <w:t>Альтернатива 2 (прийняття проекту акт</w:t>
            </w:r>
            <w:r w:rsidR="00997EEC" w:rsidRPr="007B3D6C">
              <w:t>а</w:t>
            </w:r>
            <w:r w:rsidRPr="007B3D6C">
              <w:t>)</w:t>
            </w:r>
          </w:p>
        </w:tc>
        <w:tc>
          <w:tcPr>
            <w:tcW w:w="4075"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both"/>
              <w:rPr>
                <w:noProof/>
                <w:color w:val="auto"/>
                <w:lang w:val="uk-UA" w:eastAsia="x-none"/>
              </w:rPr>
            </w:pPr>
            <w:r w:rsidRPr="00660F9E">
              <w:rPr>
                <w:noProof/>
                <w:color w:val="auto"/>
                <w:lang w:val="uk-UA" w:eastAsia="x-none"/>
              </w:rPr>
              <w:t xml:space="preserve">Прийняття наказу надасть можливість за рахунок запровадження інформаційної взаємодії, по-перше, </w:t>
            </w:r>
            <w:r w:rsidRPr="00660F9E">
              <w:rPr>
                <w:noProof/>
                <w:color w:val="auto"/>
                <w:lang w:val="uk-UA"/>
              </w:rPr>
              <w:t xml:space="preserve">оптимізувати витрати часу, трудові та фінансові ресурси органів виконавчої влади у податковій сфері та у сфері казначейського обслуговування, зменшити паперовий документообіг, </w:t>
            </w:r>
            <w:r w:rsidRPr="00660F9E">
              <w:rPr>
                <w:noProof/>
                <w:color w:val="auto"/>
                <w:lang w:val="uk-UA" w:eastAsia="x-none"/>
              </w:rPr>
              <w:t xml:space="preserve">забезпечити доступність та зручність для сторін інформаційної взаємодії, отримувати юридично значущі повідомлення про доставку, по-друге, </w:t>
            </w:r>
            <w:r w:rsidRPr="00660F9E">
              <w:rPr>
                <w:noProof/>
                <w:color w:val="auto"/>
                <w:lang w:val="uk-UA"/>
              </w:rPr>
              <w:t>забезпечити захист державних інтересів та інтересів бюджетних споживачів</w:t>
            </w:r>
            <w:r w:rsidRPr="00660F9E">
              <w:rPr>
                <w:noProof/>
                <w:color w:val="auto"/>
                <w:lang w:val="uk-UA" w:eastAsia="x-none"/>
              </w:rPr>
              <w:t xml:space="preserve">, підвищити економічну доцільність та ефективність виконання державою, в особі контролюючих органів, функції з погашення податкового боргу платників податків, зокрема шляхом стягнення коштів з його рахунків, відритих у банках. </w:t>
            </w:r>
          </w:p>
        </w:tc>
        <w:tc>
          <w:tcPr>
            <w:tcW w:w="3579" w:type="dxa"/>
            <w:tcBorders>
              <w:top w:val="single" w:sz="4" w:space="0" w:color="auto"/>
              <w:left w:val="single" w:sz="4" w:space="0" w:color="auto"/>
              <w:bottom w:val="single" w:sz="4" w:space="0" w:color="auto"/>
              <w:right w:val="single" w:sz="4" w:space="0" w:color="auto"/>
            </w:tcBorders>
            <w:vAlign w:val="center"/>
            <w:hideMark/>
          </w:tcPr>
          <w:p w:rsidR="00224673" w:rsidRPr="00660F9E" w:rsidRDefault="00224673" w:rsidP="003718FF">
            <w:pPr>
              <w:ind w:firstLine="211"/>
              <w:jc w:val="both"/>
            </w:pPr>
            <w:r w:rsidRPr="00660F9E">
              <w:t>Не потребує додаткових матеріальних та інших витрат державного чи місцевого бюджетів та суб’єктів господарювання.</w:t>
            </w:r>
          </w:p>
          <w:p w:rsidR="00224673" w:rsidRPr="00660F9E" w:rsidRDefault="00224673" w:rsidP="003718FF">
            <w:pPr>
              <w:pStyle w:val="a3"/>
              <w:spacing w:before="0" w:beforeAutospacing="0" w:after="0" w:afterAutospacing="0"/>
              <w:ind w:firstLine="211"/>
              <w:jc w:val="both"/>
              <w:rPr>
                <w:noProof/>
                <w:color w:val="auto"/>
                <w:lang w:val="uk-UA"/>
              </w:rPr>
            </w:pPr>
            <w:r w:rsidRPr="00660F9E">
              <w:rPr>
                <w:noProof/>
                <w:color w:val="auto"/>
                <w:lang w:val="uk-UA"/>
              </w:rPr>
              <w:t>Передбачається використання наявного програмного забезпечення з незначним його доопрацюванням Державною фіскальною службою України та Державною казначейською службою України. Удосконалення програмного забезпечення здійснюється в межах видатків державного бюджету на відповідний бюджетний рік, передбачених для ДФС за найменуванням відомчої і програмної класифікації видатків «Прикладні дослідження і розробки у сфері фіскальної політики» (код програмної класифікації видатків 3507020, код функціональної класифікації видатків 0150).</w:t>
            </w:r>
          </w:p>
          <w:p w:rsidR="00224673" w:rsidRPr="00660F9E" w:rsidRDefault="00224673" w:rsidP="003718FF">
            <w:pPr>
              <w:pStyle w:val="a3"/>
              <w:spacing w:before="0" w:beforeAutospacing="0" w:after="0" w:afterAutospacing="0"/>
              <w:ind w:firstLine="211"/>
              <w:jc w:val="both"/>
              <w:rPr>
                <w:noProof/>
                <w:color w:val="auto"/>
                <w:lang w:val="uk-UA" w:eastAsia="x-none"/>
              </w:rPr>
            </w:pPr>
            <w:r w:rsidRPr="00660F9E">
              <w:rPr>
                <w:noProof/>
                <w:color w:val="auto"/>
                <w:lang w:val="uk-UA"/>
              </w:rPr>
              <w:t>Казначейства за найменуванням відомчої і програмної класифікації видатків «Керівництво та управління у сфері казначейського обслуговування» (код програмної класифікації видатків 3504010, код функціональної класифікації видатків 0112).</w:t>
            </w:r>
          </w:p>
        </w:tc>
      </w:tr>
    </w:tbl>
    <w:p w:rsidR="00224673" w:rsidRPr="00660F9E" w:rsidRDefault="00224673" w:rsidP="00224673">
      <w:pPr>
        <w:pStyle w:val="a3"/>
        <w:spacing w:before="0" w:beforeAutospacing="0" w:after="0" w:afterAutospacing="0"/>
        <w:ind w:firstLine="851"/>
        <w:jc w:val="both"/>
        <w:rPr>
          <w:noProof/>
          <w:color w:val="auto"/>
          <w:lang w:val="uk-UA"/>
        </w:rPr>
      </w:pPr>
    </w:p>
    <w:p w:rsidR="00224673" w:rsidRPr="00660F9E" w:rsidRDefault="00224673" w:rsidP="00224673">
      <w:pPr>
        <w:ind w:firstLine="567"/>
        <w:jc w:val="both"/>
        <w:rPr>
          <w:sz w:val="28"/>
          <w:szCs w:val="28"/>
        </w:rPr>
      </w:pPr>
      <w:r w:rsidRPr="00660F9E">
        <w:rPr>
          <w:sz w:val="28"/>
          <w:szCs w:val="28"/>
        </w:rPr>
        <w:t xml:space="preserve">Станом на 01.01.2019 в Україні у цій сфері правовідносин діють органи виконавчої влади: </w:t>
      </w:r>
    </w:p>
    <w:p w:rsidR="00224673" w:rsidRPr="00660F9E" w:rsidRDefault="00224673" w:rsidP="00224673">
      <w:pPr>
        <w:ind w:firstLine="567"/>
        <w:jc w:val="both"/>
        <w:rPr>
          <w:sz w:val="28"/>
          <w:szCs w:val="28"/>
        </w:rPr>
      </w:pPr>
      <w:r w:rsidRPr="00660F9E">
        <w:rPr>
          <w:sz w:val="28"/>
          <w:szCs w:val="28"/>
        </w:rPr>
        <w:t>контролюючі органи: центральний орган виконавчої влади, що реалізує державну податкову політику</w:t>
      </w:r>
      <w:r w:rsidR="00997EEC" w:rsidRPr="00660F9E">
        <w:rPr>
          <w:sz w:val="28"/>
          <w:szCs w:val="28"/>
        </w:rPr>
        <w:t>,</w:t>
      </w:r>
      <w:r w:rsidRPr="00660F9E">
        <w:rPr>
          <w:sz w:val="28"/>
          <w:szCs w:val="28"/>
        </w:rPr>
        <w:t xml:space="preserve"> – Державна фіскальна служба України та </w:t>
      </w:r>
      <w:r w:rsidR="00997EEC" w:rsidRPr="00660F9E">
        <w:rPr>
          <w:sz w:val="28"/>
          <w:szCs w:val="28"/>
        </w:rPr>
        <w:br/>
      </w:r>
      <w:r w:rsidRPr="00660F9E">
        <w:rPr>
          <w:sz w:val="28"/>
          <w:szCs w:val="28"/>
        </w:rPr>
        <w:t>26 територіальних органів ДФС (головні управління в 24 областях, місті Києві, Офіс великих платників податків);</w:t>
      </w:r>
    </w:p>
    <w:p w:rsidR="00224673" w:rsidRPr="00660F9E" w:rsidRDefault="00224673" w:rsidP="00224673">
      <w:pPr>
        <w:ind w:firstLine="567"/>
        <w:jc w:val="both"/>
        <w:rPr>
          <w:sz w:val="28"/>
          <w:szCs w:val="28"/>
        </w:rPr>
      </w:pPr>
      <w:r w:rsidRPr="00660F9E">
        <w:rPr>
          <w:sz w:val="28"/>
          <w:szCs w:val="28"/>
        </w:rPr>
        <w:t>органи Казначейства: центральний орган виконавчої влади, що реалізує державну політику у сферах казначейського обслуговування бюджетних коштів</w:t>
      </w:r>
      <w:r w:rsidR="00997EEC" w:rsidRPr="00660F9E">
        <w:rPr>
          <w:sz w:val="28"/>
          <w:szCs w:val="28"/>
        </w:rPr>
        <w:t>,</w:t>
      </w:r>
      <w:r w:rsidRPr="00660F9E">
        <w:rPr>
          <w:sz w:val="28"/>
          <w:szCs w:val="28"/>
        </w:rPr>
        <w:t xml:space="preserve"> – Державна казначейська служба України та 25 територіальних органів Казначейства як структурних підрозділів апарату Казначейства (головні управління в 24 областях та місті Києві).</w:t>
      </w:r>
    </w:p>
    <w:p w:rsidR="00224673" w:rsidRPr="00660F9E" w:rsidRDefault="00224673" w:rsidP="00224673">
      <w:pPr>
        <w:pStyle w:val="a3"/>
        <w:spacing w:after="0"/>
        <w:ind w:firstLine="567"/>
        <w:jc w:val="both"/>
        <w:rPr>
          <w:noProof/>
          <w:color w:val="auto"/>
          <w:sz w:val="28"/>
          <w:szCs w:val="28"/>
          <w:lang w:val="uk-UA" w:eastAsia="x-none"/>
        </w:rPr>
      </w:pPr>
      <w:r w:rsidRPr="00660F9E">
        <w:rPr>
          <w:noProof/>
          <w:color w:val="auto"/>
          <w:sz w:val="28"/>
          <w:szCs w:val="28"/>
          <w:lang w:val="uk-UA"/>
        </w:rPr>
        <w:t xml:space="preserve">3. </w:t>
      </w:r>
      <w:r w:rsidRPr="00660F9E">
        <w:rPr>
          <w:noProof/>
          <w:color w:val="auto"/>
          <w:sz w:val="28"/>
          <w:szCs w:val="28"/>
          <w:lang w:val="uk-UA" w:eastAsia="x-none"/>
        </w:rPr>
        <w:t>Оцінка впливу на сферу інтересів громадян.</w:t>
      </w:r>
    </w:p>
    <w:p w:rsidR="00224673" w:rsidRPr="00660F9E" w:rsidRDefault="00224673" w:rsidP="00224673">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Проект наказу не чинить вплив</w:t>
      </w:r>
      <w:r w:rsidR="00997EEC" w:rsidRPr="00660F9E">
        <w:rPr>
          <w:noProof/>
          <w:color w:val="auto"/>
          <w:sz w:val="28"/>
          <w:szCs w:val="28"/>
          <w:lang w:val="uk-UA"/>
        </w:rPr>
        <w:t>у</w:t>
      </w:r>
      <w:r w:rsidRPr="00660F9E">
        <w:rPr>
          <w:noProof/>
          <w:color w:val="auto"/>
          <w:sz w:val="28"/>
          <w:szCs w:val="28"/>
          <w:lang w:val="uk-UA"/>
        </w:rPr>
        <w:t xml:space="preserve"> на сферу інтересів громадян, оскільки стосується, по-перше, інформаційної взаємодії між органами державної виконавчої влади, що виконують повноваження у податковій сфері та у сфері казначейського обслуговування, та банками України, у яких відкриті рахунки платників податків – юридичних осіб, що мають податковий борг, по-друге, стягнення податкового боргу з фізичних осіб здійснюється державними виконавцями відповідно до закону про виконавче провадження.</w:t>
      </w:r>
    </w:p>
    <w:p w:rsidR="00224673" w:rsidRPr="00660F9E" w:rsidRDefault="00224673" w:rsidP="00224673">
      <w:pPr>
        <w:pStyle w:val="a3"/>
        <w:widowControl w:val="0"/>
        <w:spacing w:before="0" w:beforeAutospacing="0" w:after="0" w:afterAutospacing="0"/>
        <w:ind w:firstLine="567"/>
        <w:jc w:val="both"/>
        <w:rPr>
          <w:noProof/>
          <w:color w:val="auto"/>
          <w:sz w:val="28"/>
          <w:szCs w:val="28"/>
          <w:lang w:val="uk-UA"/>
        </w:rPr>
      </w:pPr>
    </w:p>
    <w:p w:rsidR="00224673" w:rsidRPr="00660F9E" w:rsidRDefault="00224673" w:rsidP="00224673">
      <w:pPr>
        <w:pStyle w:val="a3"/>
        <w:widowControl w:val="0"/>
        <w:spacing w:before="0" w:beforeAutospacing="0" w:after="0" w:afterAutospacing="0"/>
        <w:ind w:firstLine="567"/>
        <w:jc w:val="both"/>
        <w:rPr>
          <w:noProof/>
          <w:color w:val="auto"/>
          <w:sz w:val="28"/>
          <w:szCs w:val="28"/>
          <w:lang w:val="uk-UA"/>
        </w:rPr>
      </w:pPr>
      <w:r w:rsidRPr="00660F9E">
        <w:rPr>
          <w:noProof/>
          <w:color w:val="auto"/>
          <w:sz w:val="28"/>
          <w:szCs w:val="28"/>
          <w:lang w:val="uk-UA"/>
        </w:rPr>
        <w:t>4. Оцінка впливу на сферу інтересів суб’єктів господарювання.</w:t>
      </w:r>
    </w:p>
    <w:p w:rsidR="00224673" w:rsidRPr="00660F9E" w:rsidRDefault="00224673" w:rsidP="00224673">
      <w:pPr>
        <w:pStyle w:val="a3"/>
        <w:widowControl w:val="0"/>
        <w:spacing w:before="0" w:beforeAutospacing="0" w:after="0" w:afterAutospacing="0"/>
        <w:ind w:firstLine="567"/>
        <w:jc w:val="both"/>
        <w:rPr>
          <w:noProof/>
          <w:color w:val="auto"/>
          <w:lang w:val="uk-UA"/>
        </w:rPr>
      </w:pPr>
    </w:p>
    <w:p w:rsidR="00224673" w:rsidRPr="00660F9E" w:rsidRDefault="00224673" w:rsidP="00224673">
      <w:pPr>
        <w:ind w:firstLine="567"/>
        <w:jc w:val="both"/>
        <w:rPr>
          <w:sz w:val="28"/>
          <w:szCs w:val="28"/>
        </w:rPr>
      </w:pPr>
      <w:r w:rsidRPr="00660F9E">
        <w:rPr>
          <w:sz w:val="28"/>
          <w:szCs w:val="28"/>
        </w:rPr>
        <w:t>Проект наказу не чинить прям</w:t>
      </w:r>
      <w:r w:rsidR="00997EEC" w:rsidRPr="00660F9E">
        <w:rPr>
          <w:sz w:val="28"/>
          <w:szCs w:val="28"/>
        </w:rPr>
        <w:t>ого</w:t>
      </w:r>
      <w:r w:rsidRPr="00660F9E">
        <w:rPr>
          <w:sz w:val="28"/>
          <w:szCs w:val="28"/>
        </w:rPr>
        <w:t xml:space="preserve"> вплив</w:t>
      </w:r>
      <w:r w:rsidR="00997EEC" w:rsidRPr="00660F9E">
        <w:rPr>
          <w:sz w:val="28"/>
          <w:szCs w:val="28"/>
        </w:rPr>
        <w:t>у</w:t>
      </w:r>
      <w:r w:rsidRPr="00660F9E">
        <w:rPr>
          <w:sz w:val="28"/>
          <w:szCs w:val="28"/>
        </w:rPr>
        <w:t xml:space="preserve"> на сферу інтересів суб</w:t>
      </w:r>
      <w:r w:rsidRPr="00660F9E">
        <w:rPr>
          <w:rFonts w:ascii="Calibri" w:hAnsi="Calibri" w:cs="Calibri"/>
          <w:sz w:val="28"/>
          <w:szCs w:val="28"/>
        </w:rPr>
        <w:t>'</w:t>
      </w:r>
      <w:r w:rsidRPr="00660F9E">
        <w:rPr>
          <w:sz w:val="28"/>
          <w:szCs w:val="28"/>
        </w:rPr>
        <w:t xml:space="preserve">єктів господарювання, оскільки стосується інформаційної взаємодії між органами державної виконавчої влади, що виконують повноваження у податковій сфері та у сфері казначейського обслуговування, та банками України. </w:t>
      </w:r>
      <w:r w:rsidR="00997EEC" w:rsidRPr="00660F9E">
        <w:rPr>
          <w:sz w:val="28"/>
          <w:szCs w:val="28"/>
        </w:rPr>
        <w:t>Зважаю</w:t>
      </w:r>
      <w:r w:rsidRPr="00660F9E">
        <w:rPr>
          <w:sz w:val="28"/>
          <w:szCs w:val="28"/>
        </w:rPr>
        <w:t xml:space="preserve">чи </w:t>
      </w:r>
      <w:r w:rsidR="00997EEC" w:rsidRPr="00660F9E">
        <w:rPr>
          <w:sz w:val="28"/>
          <w:szCs w:val="28"/>
        </w:rPr>
        <w:t>на</w:t>
      </w:r>
      <w:r w:rsidRPr="00660F9E">
        <w:rPr>
          <w:sz w:val="28"/>
          <w:szCs w:val="28"/>
        </w:rPr>
        <w:t xml:space="preserve"> вимог</w:t>
      </w:r>
      <w:r w:rsidR="00997EEC" w:rsidRPr="00660F9E">
        <w:rPr>
          <w:sz w:val="28"/>
          <w:szCs w:val="28"/>
        </w:rPr>
        <w:t>и</w:t>
      </w:r>
      <w:r w:rsidRPr="00660F9E">
        <w:rPr>
          <w:sz w:val="28"/>
          <w:szCs w:val="28"/>
        </w:rPr>
        <w:t xml:space="preserve"> статті 55 Господарського кодексу України</w:t>
      </w:r>
      <w:r w:rsidR="00BB14EB" w:rsidRPr="00660F9E">
        <w:rPr>
          <w:sz w:val="28"/>
          <w:szCs w:val="28"/>
        </w:rPr>
        <w:t>,</w:t>
      </w:r>
      <w:r w:rsidR="00FA5050" w:rsidRPr="00660F9E">
        <w:rPr>
          <w:sz w:val="28"/>
          <w:szCs w:val="28"/>
        </w:rPr>
        <w:t xml:space="preserve"> </w:t>
      </w:r>
      <w:r w:rsidRPr="00660F9E">
        <w:rPr>
          <w:sz w:val="28"/>
          <w:szCs w:val="28"/>
        </w:rPr>
        <w:t xml:space="preserve">суб’єктами господарювання є юридичні особи та фізичні особи – підприємці. Відповідно до пункту 87.11 статті 87  Податкового кодексу України  стягнення податкового боргу з фізичних осіб здійснюється державними виконавцями відповідно до закону про виконавче провадження. </w:t>
      </w:r>
      <w:r w:rsidR="0096042E" w:rsidRPr="00660F9E">
        <w:rPr>
          <w:sz w:val="28"/>
          <w:szCs w:val="28"/>
        </w:rPr>
        <w:t>Водно</w:t>
      </w:r>
      <w:r w:rsidRPr="00660F9E">
        <w:rPr>
          <w:sz w:val="28"/>
          <w:szCs w:val="28"/>
        </w:rPr>
        <w:t>час дія проекту наказу може поширюватися на банки, які згідно з господарським законодавством є юридичними особами та суб’єктами господарювання, що у своїй назві використовують слово «банк</w:t>
      </w:r>
      <w:r w:rsidRPr="0048797F">
        <w:rPr>
          <w:sz w:val="28"/>
          <w:szCs w:val="28"/>
        </w:rPr>
        <w:t>»</w:t>
      </w:r>
      <w:r w:rsidR="0096042E" w:rsidRPr="0048797F">
        <w:rPr>
          <w:sz w:val="28"/>
          <w:szCs w:val="28"/>
        </w:rPr>
        <w:t>,</w:t>
      </w:r>
      <w:r w:rsidRPr="0048797F">
        <w:rPr>
          <w:sz w:val="28"/>
          <w:szCs w:val="28"/>
        </w:rPr>
        <w:t xml:space="preserve"> з</w:t>
      </w:r>
      <w:r w:rsidRPr="00660F9E">
        <w:rPr>
          <w:sz w:val="28"/>
          <w:szCs w:val="28"/>
        </w:rPr>
        <w:t xml:space="preserve"> реєстрацією такого суб’єкта як банку в Національному банку України. Одна</w:t>
      </w:r>
      <w:r w:rsidR="0096042E" w:rsidRPr="00660F9E">
        <w:rPr>
          <w:sz w:val="28"/>
          <w:szCs w:val="28"/>
        </w:rPr>
        <w:t>к</w:t>
      </w:r>
      <w:r w:rsidRPr="00660F9E">
        <w:rPr>
          <w:sz w:val="28"/>
          <w:szCs w:val="28"/>
        </w:rPr>
        <w:t xml:space="preserve"> банки як суб’єкти господарських відносин відрізняються від інших суб’єктів господарювання високим рівнем регулювання діяльності з боку Н</w:t>
      </w:r>
      <w:r w:rsidR="0096042E" w:rsidRPr="00660F9E">
        <w:rPr>
          <w:sz w:val="28"/>
          <w:szCs w:val="28"/>
        </w:rPr>
        <w:t>аціонального банку</w:t>
      </w:r>
      <w:r w:rsidR="00637C6E" w:rsidRPr="00660F9E">
        <w:rPr>
          <w:sz w:val="28"/>
          <w:szCs w:val="28"/>
        </w:rPr>
        <w:t xml:space="preserve"> України</w:t>
      </w:r>
      <w:r w:rsidRPr="00660F9E">
        <w:rPr>
          <w:sz w:val="28"/>
          <w:szCs w:val="28"/>
        </w:rPr>
        <w:t>, що суттєво впливає на їх господарсько</w:t>
      </w:r>
      <w:r w:rsidRPr="00660F9E">
        <w:rPr>
          <w:sz w:val="28"/>
          <w:szCs w:val="28"/>
        </w:rPr>
        <w:noBreakHyphen/>
        <w:t>правовий статус.</w:t>
      </w:r>
    </w:p>
    <w:p w:rsidR="00224673" w:rsidRPr="00660F9E" w:rsidRDefault="00224673" w:rsidP="00224673">
      <w:pPr>
        <w:ind w:firstLine="567"/>
        <w:jc w:val="both"/>
        <w:rPr>
          <w:sz w:val="28"/>
          <w:szCs w:val="28"/>
        </w:rPr>
      </w:pPr>
      <w:r w:rsidRPr="00660F9E">
        <w:rPr>
          <w:sz w:val="28"/>
          <w:szCs w:val="28"/>
        </w:rPr>
        <w:t xml:space="preserve">Станом на 01.01.2019 в Україні кількість банків становить 78 із загальною кількістю діючих структурних підрозділів </w:t>
      </w:r>
      <w:r w:rsidR="0096042E" w:rsidRPr="00660F9E">
        <w:rPr>
          <w:sz w:val="28"/>
          <w:szCs w:val="28"/>
        </w:rPr>
        <w:t xml:space="preserve">– </w:t>
      </w:r>
      <w:r w:rsidRPr="00660F9E">
        <w:rPr>
          <w:sz w:val="28"/>
          <w:szCs w:val="28"/>
        </w:rPr>
        <w:t>8509 відділень. До банків, які мають найбільш розгалужену структуру</w:t>
      </w:r>
      <w:r w:rsidR="0096042E" w:rsidRPr="00660F9E">
        <w:rPr>
          <w:sz w:val="28"/>
          <w:szCs w:val="28"/>
        </w:rPr>
        <w:t>,</w:t>
      </w:r>
      <w:r w:rsidRPr="00660F9E">
        <w:rPr>
          <w:sz w:val="28"/>
          <w:szCs w:val="28"/>
        </w:rPr>
        <w:t xml:space="preserve"> </w:t>
      </w:r>
      <w:r w:rsidR="0096042E" w:rsidRPr="00660F9E">
        <w:rPr>
          <w:sz w:val="28"/>
          <w:szCs w:val="28"/>
        </w:rPr>
        <w:t>належать</w:t>
      </w:r>
      <w:r w:rsidRPr="00660F9E">
        <w:rPr>
          <w:sz w:val="28"/>
          <w:szCs w:val="28"/>
        </w:rPr>
        <w:t xml:space="preserve">: АТ «Ощадбанк», загальна кількість відділень якого становить 2630, АТ КБ «ПриватБанк» </w:t>
      </w:r>
      <w:r w:rsidR="0096042E" w:rsidRPr="00660F9E">
        <w:rPr>
          <w:sz w:val="28"/>
          <w:szCs w:val="28"/>
        </w:rPr>
        <w:t>–</w:t>
      </w:r>
      <w:r w:rsidRPr="00660F9E">
        <w:rPr>
          <w:sz w:val="28"/>
          <w:szCs w:val="28"/>
        </w:rPr>
        <w:t xml:space="preserve"> 2021 відділень.</w:t>
      </w:r>
    </w:p>
    <w:p w:rsidR="00F11E64" w:rsidRPr="00660F9E" w:rsidRDefault="00F11E64" w:rsidP="00224673">
      <w:pPr>
        <w:ind w:firstLine="567"/>
        <w:jc w:val="both"/>
        <w:rPr>
          <w:sz w:val="28"/>
          <w:szCs w:val="28"/>
        </w:rPr>
      </w:pPr>
    </w:p>
    <w:p w:rsidR="00224673" w:rsidRPr="00660F9E" w:rsidRDefault="00224673" w:rsidP="00224673">
      <w:pPr>
        <w:ind w:firstLine="567"/>
        <w:jc w:val="both"/>
        <w:rPr>
          <w:sz w:val="28"/>
          <w:szCs w:val="28"/>
        </w:rPr>
      </w:pPr>
      <w:r w:rsidRPr="00660F9E">
        <w:rPr>
          <w:sz w:val="28"/>
          <w:szCs w:val="28"/>
        </w:rPr>
        <w:lastRenderedPageBreak/>
        <w:t>За інформацією, розміщеною на офіційному інтернет-представництві Національного банку України за посиланням (</w:t>
      </w:r>
      <w:hyperlink r:id="rId8" w:history="1">
        <w:r w:rsidR="00B217A9" w:rsidRPr="00660F9E">
          <w:rPr>
            <w:rStyle w:val="afc"/>
            <w:color w:val="auto"/>
            <w:sz w:val="28"/>
            <w:szCs w:val="28"/>
          </w:rPr>
          <w:t>https://bank.gov.ua/control/uk/publish/article?art_id=66320&amp;cat_id=66315</w:t>
        </w:r>
      </w:hyperlink>
      <w:r w:rsidRPr="00660F9E">
        <w:rPr>
          <w:sz w:val="28"/>
          <w:szCs w:val="28"/>
        </w:rPr>
        <w:t>) станом на 01.01.2019:</w:t>
      </w:r>
    </w:p>
    <w:p w:rsidR="00224673" w:rsidRPr="00660F9E" w:rsidRDefault="00224673" w:rsidP="00224673">
      <w:pPr>
        <w:ind w:firstLine="567"/>
        <w:jc w:val="both"/>
        <w:rPr>
          <w:sz w:val="28"/>
          <w:szCs w:val="28"/>
        </w:rPr>
      </w:pPr>
      <w:r w:rsidRPr="00660F9E">
        <w:rPr>
          <w:sz w:val="28"/>
          <w:szCs w:val="28"/>
        </w:rPr>
        <w:t>кількість клієнтів банків становить 56,7 млн осіб, з яких 54,4 млн фізичних осіб та 2,3 млн суб</w:t>
      </w:r>
      <w:r w:rsidR="0096042E" w:rsidRPr="00660F9E">
        <w:rPr>
          <w:sz w:val="28"/>
          <w:szCs w:val="28"/>
        </w:rPr>
        <w:t>’</w:t>
      </w:r>
      <w:r w:rsidRPr="00660F9E">
        <w:rPr>
          <w:sz w:val="28"/>
          <w:szCs w:val="28"/>
        </w:rPr>
        <w:t>єктів господарської діяльності, у т.</w:t>
      </w:r>
      <w:r w:rsidR="0096042E" w:rsidRPr="00660F9E">
        <w:rPr>
          <w:sz w:val="28"/>
          <w:szCs w:val="28"/>
        </w:rPr>
        <w:t xml:space="preserve"> </w:t>
      </w:r>
      <w:r w:rsidRPr="00660F9E">
        <w:rPr>
          <w:sz w:val="28"/>
          <w:szCs w:val="28"/>
        </w:rPr>
        <w:t xml:space="preserve">ч. 1,3 млн </w:t>
      </w:r>
      <w:r w:rsidR="0096042E" w:rsidRPr="00660F9E">
        <w:rPr>
          <w:sz w:val="28"/>
          <w:szCs w:val="28"/>
        </w:rPr>
        <w:t xml:space="preserve">– </w:t>
      </w:r>
      <w:r w:rsidRPr="00660F9E">
        <w:rPr>
          <w:sz w:val="28"/>
          <w:szCs w:val="28"/>
        </w:rPr>
        <w:t>фізичні особи підприємці. Тобто, клієнтами банків є 1 млн юридичних осіб;</w:t>
      </w:r>
    </w:p>
    <w:p w:rsidR="00224673" w:rsidRPr="00660F9E" w:rsidRDefault="00224673" w:rsidP="00224673">
      <w:pPr>
        <w:ind w:firstLine="567"/>
        <w:jc w:val="both"/>
        <w:rPr>
          <w:sz w:val="28"/>
          <w:szCs w:val="28"/>
        </w:rPr>
      </w:pPr>
      <w:r w:rsidRPr="00660F9E">
        <w:rPr>
          <w:sz w:val="28"/>
          <w:szCs w:val="28"/>
        </w:rPr>
        <w:t xml:space="preserve">кількість відкритих клієнтами рахунків у банках становить 94,3 млн, з яких 89,4 млн </w:t>
      </w:r>
      <w:r w:rsidR="008B14AB" w:rsidRPr="00660F9E">
        <w:rPr>
          <w:sz w:val="28"/>
          <w:szCs w:val="28"/>
        </w:rPr>
        <w:t xml:space="preserve">– </w:t>
      </w:r>
      <w:r w:rsidRPr="00660F9E">
        <w:rPr>
          <w:sz w:val="28"/>
          <w:szCs w:val="28"/>
        </w:rPr>
        <w:t xml:space="preserve">відкриті фізичними особами, а 4,9 млн – суб’єктам господарської діяльності, з яких 4,7 млн </w:t>
      </w:r>
      <w:r w:rsidR="008B14AB" w:rsidRPr="00660F9E">
        <w:rPr>
          <w:sz w:val="28"/>
          <w:szCs w:val="28"/>
        </w:rPr>
        <w:t xml:space="preserve">– </w:t>
      </w:r>
      <w:r w:rsidRPr="00660F9E">
        <w:rPr>
          <w:sz w:val="28"/>
          <w:szCs w:val="28"/>
        </w:rPr>
        <w:t>поточні рахунки, у т.</w:t>
      </w:r>
      <w:r w:rsidR="008B14AB" w:rsidRPr="00660F9E">
        <w:rPr>
          <w:sz w:val="28"/>
          <w:szCs w:val="28"/>
        </w:rPr>
        <w:t xml:space="preserve"> </w:t>
      </w:r>
      <w:r w:rsidRPr="00660F9E">
        <w:rPr>
          <w:sz w:val="28"/>
          <w:szCs w:val="28"/>
        </w:rPr>
        <w:t xml:space="preserve">ч. 3,7 млн </w:t>
      </w:r>
      <w:r w:rsidR="008B14AB" w:rsidRPr="00660F9E">
        <w:rPr>
          <w:sz w:val="28"/>
          <w:szCs w:val="28"/>
        </w:rPr>
        <w:t xml:space="preserve">– </w:t>
      </w:r>
      <w:r w:rsidRPr="00660F9E">
        <w:rPr>
          <w:sz w:val="28"/>
          <w:szCs w:val="28"/>
        </w:rPr>
        <w:t>поточні рахунки в національній валюті.</w:t>
      </w:r>
    </w:p>
    <w:p w:rsidR="00224673" w:rsidRPr="00660F9E" w:rsidRDefault="00224673" w:rsidP="00224673">
      <w:pPr>
        <w:ind w:firstLine="567"/>
        <w:jc w:val="both"/>
        <w:rPr>
          <w:sz w:val="28"/>
          <w:szCs w:val="28"/>
        </w:rPr>
      </w:pPr>
      <w:r w:rsidRPr="00660F9E">
        <w:rPr>
          <w:sz w:val="28"/>
          <w:szCs w:val="28"/>
        </w:rPr>
        <w:t>Питома вага від загальної кількості початкових платежів у СЕП (банки та їх філії) інших платіжних інструментів, одним з яких є інкасове доручення (розпорядження), становить 0,003</w:t>
      </w:r>
      <w:r w:rsidR="008B14AB" w:rsidRPr="00660F9E">
        <w:rPr>
          <w:sz w:val="28"/>
          <w:szCs w:val="28"/>
        </w:rPr>
        <w:t> </w:t>
      </w:r>
      <w:r w:rsidRPr="00660F9E">
        <w:rPr>
          <w:sz w:val="28"/>
          <w:szCs w:val="28"/>
        </w:rPr>
        <w:t xml:space="preserve">%, а питома вага від загальної суми початкових платежів у СЕП (банки та їх філії) інших платіжних інструментів, одним з яких є інкасове доручення (розпорядження), </w:t>
      </w:r>
      <w:r w:rsidR="008B14AB" w:rsidRPr="00660F9E">
        <w:rPr>
          <w:sz w:val="28"/>
          <w:szCs w:val="28"/>
        </w:rPr>
        <w:t>–</w:t>
      </w:r>
      <w:r w:rsidRPr="00660F9E">
        <w:rPr>
          <w:sz w:val="28"/>
          <w:szCs w:val="28"/>
        </w:rPr>
        <w:t xml:space="preserve"> 0,1 %. </w:t>
      </w:r>
    </w:p>
    <w:p w:rsidR="00224673" w:rsidRPr="00660F9E" w:rsidRDefault="00224673" w:rsidP="00224673">
      <w:pPr>
        <w:ind w:firstLine="567"/>
        <w:jc w:val="both"/>
        <w:rPr>
          <w:sz w:val="28"/>
          <w:szCs w:val="28"/>
        </w:rPr>
      </w:pPr>
      <w:r w:rsidRPr="00660F9E">
        <w:rPr>
          <w:sz w:val="28"/>
          <w:szCs w:val="28"/>
        </w:rPr>
        <w:t xml:space="preserve">Відповідно до звіту «Про стан обліку платників» станом на 01.01.2019 кількість основних платників </w:t>
      </w:r>
      <w:r w:rsidR="008B14AB" w:rsidRPr="00660F9E">
        <w:rPr>
          <w:sz w:val="28"/>
          <w:szCs w:val="28"/>
        </w:rPr>
        <w:t>–</w:t>
      </w:r>
      <w:r w:rsidRPr="00660F9E">
        <w:rPr>
          <w:sz w:val="28"/>
          <w:szCs w:val="28"/>
        </w:rPr>
        <w:t xml:space="preserve"> юридичних осіб, які здійснюють діяльність, становить 1 218 281.</w:t>
      </w:r>
    </w:p>
    <w:p w:rsidR="00224673" w:rsidRPr="00660F9E" w:rsidRDefault="00224673" w:rsidP="00224673">
      <w:pPr>
        <w:ind w:firstLine="567"/>
        <w:jc w:val="both"/>
        <w:rPr>
          <w:sz w:val="28"/>
          <w:szCs w:val="28"/>
        </w:rPr>
      </w:pPr>
      <w:r w:rsidRPr="00660F9E">
        <w:rPr>
          <w:sz w:val="28"/>
          <w:szCs w:val="28"/>
        </w:rPr>
        <w:t>За даними ІТС ДФС</w:t>
      </w:r>
      <w:r w:rsidR="008B14AB" w:rsidRPr="00660F9E">
        <w:rPr>
          <w:sz w:val="28"/>
          <w:szCs w:val="28"/>
        </w:rPr>
        <w:t>,</w:t>
      </w:r>
      <w:r w:rsidRPr="00660F9E">
        <w:rPr>
          <w:sz w:val="28"/>
          <w:szCs w:val="28"/>
        </w:rPr>
        <w:t xml:space="preserve"> станом на 01.01.2019 сума податкового боргу платників податків – юридичних осіб до зведеного бюджету с</w:t>
      </w:r>
      <w:r w:rsidR="008B14AB" w:rsidRPr="00660F9E">
        <w:rPr>
          <w:sz w:val="28"/>
          <w:szCs w:val="28"/>
        </w:rPr>
        <w:t xml:space="preserve">тановить </w:t>
      </w:r>
      <w:r w:rsidRPr="00660F9E">
        <w:rPr>
          <w:sz w:val="28"/>
          <w:szCs w:val="28"/>
        </w:rPr>
        <w:t>94, 8 млрд грн, загальна кількість платників податків – юридичних осіб, що мають податковий борг, становить 145, 7 тисяч.</w:t>
      </w:r>
    </w:p>
    <w:p w:rsidR="00224673" w:rsidRPr="00660F9E" w:rsidRDefault="00224673" w:rsidP="00224673">
      <w:pPr>
        <w:ind w:firstLine="567"/>
        <w:jc w:val="both"/>
        <w:rPr>
          <w:sz w:val="20"/>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76"/>
        <w:gridCol w:w="1489"/>
        <w:gridCol w:w="1488"/>
        <w:gridCol w:w="1390"/>
        <w:gridCol w:w="1390"/>
        <w:gridCol w:w="1390"/>
      </w:tblGrid>
      <w:tr w:rsidR="00660F9E" w:rsidRPr="00660F9E" w:rsidTr="003718FF">
        <w:trPr>
          <w:jc w:val="center"/>
        </w:trPr>
        <w:tc>
          <w:tcPr>
            <w:tcW w:w="1287"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Показник</w:t>
            </w:r>
          </w:p>
        </w:tc>
        <w:tc>
          <w:tcPr>
            <w:tcW w:w="774"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Великі</w:t>
            </w:r>
          </w:p>
        </w:tc>
        <w:tc>
          <w:tcPr>
            <w:tcW w:w="773"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Середні</w:t>
            </w:r>
          </w:p>
        </w:tc>
        <w:tc>
          <w:tcPr>
            <w:tcW w:w="722"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Малі</w:t>
            </w:r>
          </w:p>
        </w:tc>
        <w:tc>
          <w:tcPr>
            <w:tcW w:w="722"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Мікро</w:t>
            </w:r>
          </w:p>
        </w:tc>
        <w:tc>
          <w:tcPr>
            <w:tcW w:w="722"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2"/>
              <w:spacing w:before="150" w:beforeAutospacing="0" w:after="150" w:afterAutospacing="0"/>
              <w:jc w:val="center"/>
              <w:textAlignment w:val="baseline"/>
            </w:pPr>
            <w:r w:rsidRPr="00660F9E">
              <w:t>Разом</w:t>
            </w:r>
          </w:p>
        </w:tc>
      </w:tr>
      <w:tr w:rsidR="00660F9E" w:rsidRPr="00660F9E" w:rsidTr="003718FF">
        <w:trPr>
          <w:jc w:val="center"/>
        </w:trPr>
        <w:tc>
          <w:tcPr>
            <w:tcW w:w="1287"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pStyle w:val="rvps14"/>
              <w:spacing w:before="150" w:beforeAutospacing="0" w:after="150" w:afterAutospacing="0"/>
              <w:jc w:val="both"/>
              <w:textAlignment w:val="baseline"/>
            </w:pPr>
            <w:r w:rsidRPr="00660F9E">
              <w:t>Кількість суб</w:t>
            </w:r>
            <w:r w:rsidRPr="00660F9E">
              <w:rPr>
                <w:sz w:val="28"/>
                <w:szCs w:val="28"/>
              </w:rPr>
              <w:t>’</w:t>
            </w:r>
            <w:r w:rsidRPr="00660F9E">
              <w:t>єктів господарювання, що підпадають під дію регулювання, одиниць</w:t>
            </w:r>
          </w:p>
        </w:tc>
        <w:tc>
          <w:tcPr>
            <w:tcW w:w="774"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pStyle w:val="rvps14"/>
              <w:spacing w:before="150" w:beforeAutospacing="0" w:after="150" w:afterAutospacing="0"/>
              <w:jc w:val="center"/>
              <w:textAlignment w:val="baseline"/>
            </w:pPr>
            <w:r w:rsidRPr="00660F9E">
              <w:t>-</w:t>
            </w:r>
          </w:p>
        </w:tc>
        <w:tc>
          <w:tcPr>
            <w:tcW w:w="773"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pStyle w:val="rvps14"/>
              <w:spacing w:before="150" w:beforeAutospacing="0" w:after="150" w:afterAutospacing="0"/>
              <w:jc w:val="center"/>
              <w:textAlignment w:val="baseline"/>
            </w:pPr>
            <w:r w:rsidRPr="00660F9E">
              <w:t>1 128 281</w:t>
            </w:r>
          </w:p>
        </w:tc>
      </w:tr>
      <w:tr w:rsidR="00660F9E" w:rsidRPr="00660F9E" w:rsidTr="003718FF">
        <w:trPr>
          <w:jc w:val="center"/>
        </w:trPr>
        <w:tc>
          <w:tcPr>
            <w:tcW w:w="1287" w:type="pct"/>
            <w:tcBorders>
              <w:top w:val="single" w:sz="6" w:space="0" w:color="000000"/>
              <w:left w:val="single" w:sz="6" w:space="0" w:color="000000"/>
              <w:bottom w:val="single" w:sz="6" w:space="0" w:color="000000"/>
              <w:right w:val="single" w:sz="6" w:space="0" w:color="000000"/>
            </w:tcBorders>
            <w:hideMark/>
          </w:tcPr>
          <w:p w:rsidR="00224673" w:rsidRPr="00660F9E" w:rsidRDefault="00224673" w:rsidP="003718FF">
            <w:pPr>
              <w:pStyle w:val="rvps14"/>
              <w:spacing w:before="150" w:beforeAutospacing="0" w:after="150" w:afterAutospacing="0"/>
              <w:jc w:val="both"/>
              <w:textAlignment w:val="baseline"/>
            </w:pPr>
            <w:r w:rsidRPr="00660F9E">
              <w:t>Питома вага групи у загальній кількості, відсотків</w:t>
            </w:r>
          </w:p>
        </w:tc>
        <w:tc>
          <w:tcPr>
            <w:tcW w:w="774"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73"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224673" w:rsidRPr="00660F9E" w:rsidRDefault="00224673" w:rsidP="003718FF">
            <w:pPr>
              <w:jc w:val="center"/>
            </w:pPr>
            <w:r w:rsidRPr="00660F9E">
              <w:t>100 %</w:t>
            </w:r>
          </w:p>
        </w:tc>
      </w:tr>
    </w:tbl>
    <w:p w:rsidR="00224673" w:rsidRPr="00660F9E" w:rsidRDefault="00224673" w:rsidP="00224673">
      <w:pPr>
        <w:ind w:firstLine="567"/>
        <w:jc w:val="both"/>
        <w:rPr>
          <w:sz w:val="28"/>
          <w:szCs w:val="28"/>
        </w:rPr>
      </w:pPr>
      <w:r w:rsidRPr="00660F9E">
        <w:rPr>
          <w:i/>
          <w:sz w:val="28"/>
          <w:szCs w:val="28"/>
        </w:rPr>
        <w:t>Статистичне спостереження щодо кількості суб</w:t>
      </w:r>
      <w:r w:rsidRPr="00660F9E">
        <w:t>’</w:t>
      </w:r>
      <w:r w:rsidRPr="00660F9E">
        <w:rPr>
          <w:i/>
          <w:sz w:val="28"/>
          <w:szCs w:val="28"/>
        </w:rPr>
        <w:t xml:space="preserve">єктів господарювання залежно від кількості працюючих та доходів від будь-якої діяльності за рік, не ведеться. </w:t>
      </w:r>
    </w:p>
    <w:p w:rsidR="00224673" w:rsidRPr="00660F9E" w:rsidRDefault="00224673" w:rsidP="00224673">
      <w:pPr>
        <w:pStyle w:val="a3"/>
        <w:widowControl w:val="0"/>
        <w:spacing w:before="0" w:beforeAutospacing="0" w:after="0" w:afterAutospacing="0"/>
        <w:ind w:firstLine="851"/>
        <w:jc w:val="both"/>
        <w:rPr>
          <w:noProof/>
          <w:color w:val="auto"/>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075"/>
        <w:gridCol w:w="3721"/>
      </w:tblGrid>
      <w:tr w:rsidR="00660F9E" w:rsidRPr="00660F9E" w:rsidTr="003718FF">
        <w:tc>
          <w:tcPr>
            <w:tcW w:w="1951"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center"/>
              <w:rPr>
                <w:noProof/>
                <w:color w:val="auto"/>
                <w:lang w:val="uk-UA" w:eastAsia="x-none"/>
              </w:rPr>
            </w:pPr>
            <w:r w:rsidRPr="00660F9E">
              <w:rPr>
                <w:noProof/>
                <w:color w:val="auto"/>
                <w:lang w:val="uk-UA" w:eastAsia="x-none"/>
              </w:rPr>
              <w:t>Вид альтернативи</w:t>
            </w:r>
          </w:p>
        </w:tc>
        <w:tc>
          <w:tcPr>
            <w:tcW w:w="4075"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center"/>
              <w:rPr>
                <w:noProof/>
                <w:color w:val="auto"/>
                <w:lang w:val="uk-UA" w:eastAsia="x-none"/>
              </w:rPr>
            </w:pPr>
            <w:r w:rsidRPr="00660F9E">
              <w:rPr>
                <w:noProof/>
                <w:color w:val="auto"/>
                <w:lang w:val="uk-UA" w:eastAsia="x-none"/>
              </w:rPr>
              <w:t>Вигоди</w:t>
            </w:r>
          </w:p>
        </w:tc>
        <w:tc>
          <w:tcPr>
            <w:tcW w:w="3721"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jc w:val="center"/>
              <w:rPr>
                <w:noProof/>
                <w:color w:val="auto"/>
                <w:lang w:val="uk-UA" w:eastAsia="x-none"/>
              </w:rPr>
            </w:pPr>
            <w:r w:rsidRPr="00660F9E">
              <w:rPr>
                <w:noProof/>
                <w:color w:val="auto"/>
                <w:lang w:val="uk-UA" w:eastAsia="x-none"/>
              </w:rPr>
              <w:t>Витрати</w:t>
            </w:r>
          </w:p>
        </w:tc>
      </w:tr>
      <w:tr w:rsidR="00660F9E" w:rsidRPr="00660F9E" w:rsidTr="003718FF">
        <w:trPr>
          <w:trHeight w:val="392"/>
        </w:trPr>
        <w:tc>
          <w:tcPr>
            <w:tcW w:w="1951"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a3"/>
              <w:spacing w:after="0" w:line="228" w:lineRule="auto"/>
              <w:jc w:val="both"/>
              <w:rPr>
                <w:noProof/>
                <w:color w:val="auto"/>
                <w:lang w:val="uk-UA" w:eastAsia="x-none"/>
              </w:rPr>
            </w:pPr>
            <w:r w:rsidRPr="00660F9E">
              <w:rPr>
                <w:noProof/>
                <w:color w:val="auto"/>
                <w:lang w:val="uk-UA" w:eastAsia="x-none"/>
              </w:rPr>
              <w:t xml:space="preserve">Альтернатива 1 </w:t>
            </w:r>
            <w:r w:rsidRPr="00660F9E">
              <w:rPr>
                <w:noProof/>
                <w:color w:val="auto"/>
                <w:lang w:val="uk-UA"/>
              </w:rPr>
              <w:t>(залишення наявної ситуації без змін)</w:t>
            </w:r>
          </w:p>
        </w:tc>
        <w:tc>
          <w:tcPr>
            <w:tcW w:w="4075"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ind w:firstLine="211"/>
              <w:jc w:val="both"/>
            </w:pPr>
            <w:r w:rsidRPr="00660F9E">
              <w:t>Ситуація залишається на існуючому рівні.</w:t>
            </w:r>
          </w:p>
        </w:tc>
        <w:tc>
          <w:tcPr>
            <w:tcW w:w="3721"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ind w:firstLine="211"/>
              <w:jc w:val="both"/>
            </w:pPr>
            <w:r w:rsidRPr="00660F9E">
              <w:t>Витрати відсутні.</w:t>
            </w:r>
          </w:p>
          <w:p w:rsidR="00224673" w:rsidRPr="00660F9E" w:rsidRDefault="00224673" w:rsidP="003718FF">
            <w:pPr>
              <w:ind w:firstLine="211"/>
              <w:jc w:val="both"/>
            </w:pPr>
          </w:p>
        </w:tc>
      </w:tr>
      <w:tr w:rsidR="00224673" w:rsidRPr="00660F9E" w:rsidTr="003718FF">
        <w:tc>
          <w:tcPr>
            <w:tcW w:w="1951" w:type="dxa"/>
            <w:tcBorders>
              <w:top w:val="single" w:sz="4" w:space="0" w:color="auto"/>
              <w:left w:val="single" w:sz="4" w:space="0" w:color="auto"/>
              <w:bottom w:val="single" w:sz="4" w:space="0" w:color="auto"/>
              <w:right w:val="single" w:sz="4" w:space="0" w:color="auto"/>
            </w:tcBorders>
            <w:hideMark/>
          </w:tcPr>
          <w:p w:rsidR="00224673" w:rsidRPr="00660F9E" w:rsidRDefault="00224673" w:rsidP="008B14AB">
            <w:pPr>
              <w:pStyle w:val="a3"/>
              <w:spacing w:after="0"/>
              <w:jc w:val="both"/>
              <w:rPr>
                <w:noProof/>
                <w:color w:val="auto"/>
                <w:lang w:val="uk-UA" w:eastAsia="x-none"/>
              </w:rPr>
            </w:pPr>
            <w:r w:rsidRPr="00660F9E">
              <w:rPr>
                <w:i/>
                <w:noProof/>
                <w:color w:val="auto"/>
                <w:lang w:val="uk-UA"/>
              </w:rPr>
              <w:t xml:space="preserve">Альтернатива 2 </w:t>
            </w:r>
            <w:r w:rsidRPr="00660F9E">
              <w:rPr>
                <w:noProof/>
                <w:color w:val="auto"/>
                <w:lang w:val="uk-UA"/>
              </w:rPr>
              <w:t>(прийняття проекту акт</w:t>
            </w:r>
            <w:r w:rsidR="008B14AB" w:rsidRPr="00660F9E">
              <w:rPr>
                <w:noProof/>
                <w:color w:val="auto"/>
                <w:lang w:val="uk-UA"/>
              </w:rPr>
              <w:t>а</w:t>
            </w:r>
            <w:r w:rsidRPr="00660F9E">
              <w:rPr>
                <w:noProof/>
                <w:color w:val="auto"/>
                <w:lang w:val="uk-UA"/>
              </w:rPr>
              <w:t>)</w:t>
            </w:r>
          </w:p>
        </w:tc>
        <w:tc>
          <w:tcPr>
            <w:tcW w:w="4075" w:type="dxa"/>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ind w:firstLine="211"/>
              <w:jc w:val="both"/>
              <w:rPr>
                <w:lang w:eastAsia="x-none"/>
              </w:rPr>
            </w:pPr>
            <w:r w:rsidRPr="00660F9E">
              <w:t xml:space="preserve">Прийняття наказу сприятиме запровадженню інформаційної взаємодії, учасниками якої є банки, </w:t>
            </w:r>
            <w:r w:rsidRPr="00660F9E">
              <w:lastRenderedPageBreak/>
              <w:t xml:space="preserve">оптимізувати витрати часу, трудових та фінансових ресурсів, зменшити паперовий документообіг, </w:t>
            </w:r>
            <w:r w:rsidRPr="00660F9E">
              <w:rPr>
                <w:lang w:eastAsia="x-none"/>
              </w:rPr>
              <w:t>забезпеченню доступності та зручності для сторін інформаційної взаємодії, тощо.</w:t>
            </w:r>
          </w:p>
        </w:tc>
        <w:tc>
          <w:tcPr>
            <w:tcW w:w="3721" w:type="dxa"/>
            <w:tcBorders>
              <w:top w:val="single" w:sz="4" w:space="0" w:color="auto"/>
              <w:left w:val="single" w:sz="4" w:space="0" w:color="auto"/>
              <w:bottom w:val="single" w:sz="4" w:space="0" w:color="auto"/>
              <w:right w:val="single" w:sz="4" w:space="0" w:color="auto"/>
            </w:tcBorders>
            <w:vAlign w:val="center"/>
            <w:hideMark/>
          </w:tcPr>
          <w:p w:rsidR="00224673" w:rsidRPr="00660F9E" w:rsidRDefault="00224673" w:rsidP="003718FF">
            <w:pPr>
              <w:ind w:firstLine="211"/>
              <w:jc w:val="both"/>
            </w:pPr>
            <w:r w:rsidRPr="00660F9E">
              <w:lastRenderedPageBreak/>
              <w:t xml:space="preserve">Передбачається використання існуючого програмного забезпечення банків під час </w:t>
            </w:r>
            <w:r w:rsidRPr="00660F9E">
              <w:lastRenderedPageBreak/>
              <w:t>інформаційної взаємодії з незначним його доопрацюванням. Витрати у інших суб</w:t>
            </w:r>
            <w:r w:rsidRPr="00660F9E">
              <w:rPr>
                <w:sz w:val="28"/>
                <w:szCs w:val="28"/>
              </w:rPr>
              <w:t>’</w:t>
            </w:r>
            <w:r w:rsidRPr="00660F9E">
              <w:t>єктів господарювання відсутні.</w:t>
            </w:r>
          </w:p>
        </w:tc>
      </w:tr>
    </w:tbl>
    <w:p w:rsidR="00224673" w:rsidRPr="00660F9E" w:rsidRDefault="00224673" w:rsidP="00224673">
      <w:pPr>
        <w:pStyle w:val="rvps2"/>
        <w:spacing w:before="0" w:beforeAutospacing="0" w:after="0" w:afterAutospacing="0"/>
        <w:ind w:firstLine="708"/>
        <w:jc w:val="both"/>
        <w:textAlignment w:val="baseline"/>
        <w:rPr>
          <w:sz w:val="28"/>
          <w:szCs w:val="28"/>
          <w:bdr w:val="none" w:sz="0" w:space="0" w:color="auto" w:frame="1"/>
          <w:lang w:val="uk-UA"/>
        </w:rPr>
      </w:pPr>
    </w:p>
    <w:p w:rsidR="00224673" w:rsidRPr="00660F9E" w:rsidRDefault="00224673" w:rsidP="00224673">
      <w:pPr>
        <w:pStyle w:val="rvps2"/>
        <w:spacing w:before="0" w:beforeAutospacing="0" w:after="0" w:afterAutospacing="0"/>
        <w:ind w:firstLine="567"/>
        <w:jc w:val="both"/>
        <w:textAlignment w:val="baseline"/>
        <w:rPr>
          <w:sz w:val="28"/>
          <w:szCs w:val="28"/>
          <w:bdr w:val="none" w:sz="0" w:space="0" w:color="auto" w:frame="1"/>
          <w:lang w:val="uk-UA"/>
        </w:rPr>
      </w:pPr>
      <w:r w:rsidRPr="00660F9E">
        <w:rPr>
          <w:sz w:val="28"/>
          <w:szCs w:val="28"/>
          <w:bdr w:val="none" w:sz="0" w:space="0" w:color="auto" w:frame="1"/>
          <w:lang w:val="uk-UA"/>
        </w:rPr>
        <w:t xml:space="preserve">Витрати, які будуть виникати внаслідок дії регуляторного акта </w:t>
      </w:r>
    </w:p>
    <w:p w:rsidR="00224673" w:rsidRPr="00660F9E" w:rsidRDefault="00224673" w:rsidP="00224673">
      <w:pPr>
        <w:pStyle w:val="rvps2"/>
        <w:spacing w:before="0" w:beforeAutospacing="0" w:after="0" w:afterAutospacing="0"/>
        <w:ind w:firstLine="708"/>
        <w:jc w:val="both"/>
        <w:textAlignment w:val="baseline"/>
        <w:rPr>
          <w:sz w:val="28"/>
          <w:szCs w:val="28"/>
          <w:bdr w:val="none" w:sz="0" w:space="0" w:color="auto" w:frame="1"/>
          <w:lang w:val="uk-UA"/>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77"/>
        <w:gridCol w:w="2546"/>
      </w:tblGrid>
      <w:tr w:rsidR="00660F9E" w:rsidRPr="00660F9E" w:rsidTr="008B14AB">
        <w:tc>
          <w:tcPr>
            <w:tcW w:w="3677" w:type="pct"/>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rvps12"/>
              <w:spacing w:before="94" w:beforeAutospacing="0" w:after="0" w:afterAutospacing="0"/>
              <w:jc w:val="center"/>
              <w:textAlignment w:val="baseline"/>
            </w:pPr>
            <w:r w:rsidRPr="00660F9E">
              <w:t>Сумарні витрати за альтернативами</w:t>
            </w:r>
          </w:p>
        </w:tc>
        <w:tc>
          <w:tcPr>
            <w:tcW w:w="1323" w:type="pct"/>
            <w:tcBorders>
              <w:top w:val="single" w:sz="4" w:space="0" w:color="auto"/>
              <w:left w:val="single" w:sz="4" w:space="0" w:color="auto"/>
              <w:bottom w:val="single" w:sz="4" w:space="0" w:color="auto"/>
              <w:right w:val="single" w:sz="4" w:space="0" w:color="auto"/>
            </w:tcBorders>
            <w:hideMark/>
          </w:tcPr>
          <w:p w:rsidR="00224673" w:rsidRPr="00660F9E" w:rsidRDefault="00224673" w:rsidP="003718FF">
            <w:pPr>
              <w:pStyle w:val="rvps12"/>
              <w:spacing w:before="94" w:beforeAutospacing="0" w:after="0" w:afterAutospacing="0"/>
              <w:jc w:val="center"/>
              <w:textAlignment w:val="baseline"/>
            </w:pPr>
            <w:r w:rsidRPr="00660F9E">
              <w:t>Сума витрат, гривень</w:t>
            </w:r>
          </w:p>
        </w:tc>
      </w:tr>
      <w:tr w:rsidR="00660F9E" w:rsidRPr="00660F9E" w:rsidTr="008B14AB">
        <w:tc>
          <w:tcPr>
            <w:tcW w:w="3677" w:type="pct"/>
            <w:tcBorders>
              <w:top w:val="single" w:sz="4" w:space="0" w:color="auto"/>
              <w:left w:val="single" w:sz="4" w:space="0" w:color="auto"/>
              <w:bottom w:val="single" w:sz="4" w:space="0" w:color="auto"/>
              <w:right w:val="single" w:sz="4" w:space="0" w:color="auto"/>
            </w:tcBorders>
            <w:hideMark/>
          </w:tcPr>
          <w:p w:rsidR="00224673" w:rsidRPr="00660F9E" w:rsidRDefault="00224673" w:rsidP="008B14AB">
            <w:pPr>
              <w:pStyle w:val="rvps14"/>
              <w:spacing w:before="0" w:beforeAutospacing="0" w:after="0" w:afterAutospacing="0"/>
              <w:ind w:left="147" w:right="140"/>
              <w:jc w:val="both"/>
              <w:textAlignment w:val="baseline"/>
            </w:pPr>
            <w:r w:rsidRPr="00660F9E">
              <w:t>Альтернатива 1</w:t>
            </w:r>
            <w:r w:rsidR="008B14AB" w:rsidRPr="00660F9E">
              <w:t>.</w:t>
            </w:r>
            <w:r w:rsidRPr="00660F9E">
              <w:t xml:space="preserve"> Залишення наявної ситуації без змін.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323" w:type="pct"/>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rvps14"/>
              <w:spacing w:before="0" w:beforeAutospacing="0" w:after="0" w:afterAutospacing="0"/>
              <w:jc w:val="center"/>
              <w:textAlignment w:val="baseline"/>
            </w:pPr>
          </w:p>
          <w:p w:rsidR="00224673" w:rsidRPr="00660F9E" w:rsidRDefault="00224673" w:rsidP="003718FF">
            <w:pPr>
              <w:pStyle w:val="rvps14"/>
              <w:spacing w:before="0" w:beforeAutospacing="0" w:after="0" w:afterAutospacing="0"/>
              <w:jc w:val="center"/>
              <w:textAlignment w:val="baseline"/>
              <w:rPr>
                <w:lang w:eastAsia="x-none"/>
              </w:rPr>
            </w:pPr>
          </w:p>
          <w:p w:rsidR="00224673" w:rsidRPr="00660F9E" w:rsidRDefault="00224673" w:rsidP="003718FF">
            <w:pPr>
              <w:pStyle w:val="rvps14"/>
              <w:spacing w:before="0" w:beforeAutospacing="0" w:after="0" w:afterAutospacing="0"/>
              <w:jc w:val="center"/>
              <w:textAlignment w:val="baseline"/>
            </w:pPr>
            <w:r w:rsidRPr="00660F9E">
              <w:rPr>
                <w:lang w:eastAsia="x-none"/>
              </w:rPr>
              <w:t>Х</w:t>
            </w:r>
          </w:p>
        </w:tc>
      </w:tr>
      <w:tr w:rsidR="00224673" w:rsidRPr="00660F9E" w:rsidTr="003718FF">
        <w:tc>
          <w:tcPr>
            <w:tcW w:w="3677" w:type="pct"/>
            <w:tcBorders>
              <w:top w:val="single" w:sz="4" w:space="0" w:color="auto"/>
              <w:left w:val="single" w:sz="4" w:space="0" w:color="auto"/>
              <w:bottom w:val="single" w:sz="4" w:space="0" w:color="auto"/>
              <w:right w:val="single" w:sz="4" w:space="0" w:color="auto"/>
            </w:tcBorders>
            <w:hideMark/>
          </w:tcPr>
          <w:p w:rsidR="00224673" w:rsidRPr="00660F9E" w:rsidRDefault="00224673" w:rsidP="008B14AB">
            <w:pPr>
              <w:pStyle w:val="rvps14"/>
              <w:spacing w:before="0" w:beforeAutospacing="0" w:after="0" w:afterAutospacing="0"/>
              <w:ind w:left="147" w:right="140"/>
              <w:jc w:val="both"/>
              <w:textAlignment w:val="baseline"/>
            </w:pPr>
            <w:r w:rsidRPr="00660F9E">
              <w:t>Альтернатива 2</w:t>
            </w:r>
            <w:r w:rsidR="008B14AB" w:rsidRPr="00660F9E">
              <w:t>.</w:t>
            </w:r>
            <w:r w:rsidRPr="00660F9E">
              <w:t xml:space="preserve"> Прийняття проекту акт</w:t>
            </w:r>
            <w:r w:rsidR="008B14AB" w:rsidRPr="00660F9E">
              <w:t>а</w:t>
            </w:r>
            <w:r w:rsidRPr="00660F9E">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323" w:type="pct"/>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rvps14"/>
              <w:spacing w:before="0" w:beforeAutospacing="0" w:after="0" w:afterAutospacing="0"/>
              <w:jc w:val="center"/>
              <w:textAlignment w:val="baseline"/>
            </w:pPr>
          </w:p>
          <w:p w:rsidR="00224673" w:rsidRPr="00660F9E" w:rsidRDefault="00224673" w:rsidP="003718FF">
            <w:pPr>
              <w:pStyle w:val="rvps14"/>
              <w:spacing w:before="0" w:beforeAutospacing="0" w:after="0" w:afterAutospacing="0"/>
              <w:jc w:val="center"/>
              <w:textAlignment w:val="baseline"/>
              <w:rPr>
                <w:lang w:eastAsia="x-none"/>
              </w:rPr>
            </w:pPr>
          </w:p>
          <w:p w:rsidR="00224673" w:rsidRPr="00660F9E" w:rsidRDefault="00224673" w:rsidP="003718FF">
            <w:pPr>
              <w:pStyle w:val="rvps14"/>
              <w:spacing w:before="0" w:beforeAutospacing="0" w:after="0" w:afterAutospacing="0"/>
              <w:jc w:val="center"/>
              <w:textAlignment w:val="baseline"/>
            </w:pPr>
            <w:r w:rsidRPr="00660F9E">
              <w:rPr>
                <w:lang w:eastAsia="x-none"/>
              </w:rPr>
              <w:t>Х</w:t>
            </w:r>
          </w:p>
        </w:tc>
      </w:tr>
    </w:tbl>
    <w:p w:rsidR="00224673" w:rsidRPr="00660F9E" w:rsidRDefault="00224673" w:rsidP="00224673">
      <w:pPr>
        <w:pStyle w:val="a3"/>
        <w:widowControl w:val="0"/>
        <w:spacing w:before="0" w:beforeAutospacing="0" w:after="0" w:afterAutospacing="0"/>
        <w:ind w:firstLine="851"/>
        <w:jc w:val="both"/>
        <w:rPr>
          <w:noProof/>
          <w:color w:val="auto"/>
          <w:sz w:val="28"/>
          <w:szCs w:val="28"/>
          <w:lang w:val="uk-UA"/>
        </w:rPr>
      </w:pPr>
    </w:p>
    <w:p w:rsidR="00224673" w:rsidRPr="00660F9E" w:rsidRDefault="00224673" w:rsidP="00224673">
      <w:pPr>
        <w:widowControl w:val="0"/>
        <w:spacing w:line="228" w:lineRule="auto"/>
        <w:ind w:firstLine="709"/>
        <w:jc w:val="both"/>
        <w:rPr>
          <w:b/>
          <w:bCs/>
          <w:sz w:val="28"/>
          <w:szCs w:val="28"/>
        </w:rPr>
      </w:pPr>
      <w:r w:rsidRPr="00660F9E">
        <w:rPr>
          <w:b/>
          <w:bCs/>
          <w:sz w:val="28"/>
          <w:szCs w:val="28"/>
        </w:rPr>
        <w:t>IV. Вибір найбільш оптимального альтернативного способу досягнення цілей</w:t>
      </w:r>
    </w:p>
    <w:p w:rsidR="00224673" w:rsidRPr="00660F9E" w:rsidRDefault="00224673" w:rsidP="00224673">
      <w:pPr>
        <w:widowControl w:val="0"/>
        <w:spacing w:line="228" w:lineRule="auto"/>
        <w:ind w:firstLine="709"/>
        <w:jc w:val="both"/>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977"/>
        <w:gridCol w:w="3685"/>
      </w:tblGrid>
      <w:tr w:rsidR="00660F9E" w:rsidRPr="00660F9E" w:rsidTr="003718FF">
        <w:trPr>
          <w:trHeight w:val="878"/>
          <w:tblHeader/>
        </w:trPr>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widowControl w:val="0"/>
              <w:spacing w:line="228" w:lineRule="auto"/>
              <w:jc w:val="center"/>
            </w:pPr>
            <w:r w:rsidRPr="00660F9E">
              <w:t>Рейтинг результативності (досягнення цілей під час вирішення проблеми)</w:t>
            </w:r>
          </w:p>
        </w:tc>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widowControl w:val="0"/>
              <w:spacing w:line="228" w:lineRule="auto"/>
              <w:jc w:val="center"/>
            </w:pPr>
            <w:r w:rsidRPr="00660F9E">
              <w:t>Бал результативності (за чотирибальною системою оцінки)</w:t>
            </w:r>
          </w:p>
        </w:tc>
        <w:tc>
          <w:tcPr>
            <w:tcW w:w="3685"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widowControl w:val="0"/>
              <w:spacing w:line="228" w:lineRule="auto"/>
              <w:jc w:val="center"/>
            </w:pPr>
            <w:r w:rsidRPr="00660F9E">
              <w:t xml:space="preserve">Коментарі щодо присвоєння відповідного </w:t>
            </w:r>
            <w:proofErr w:type="spellStart"/>
            <w:r w:rsidRPr="00660F9E">
              <w:t>бала</w:t>
            </w:r>
            <w:proofErr w:type="spellEnd"/>
          </w:p>
        </w:tc>
      </w:tr>
      <w:tr w:rsidR="00660F9E" w:rsidRPr="00660F9E" w:rsidTr="003718FF">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a3"/>
              <w:spacing w:before="0" w:beforeAutospacing="0" w:after="0" w:afterAutospacing="0" w:line="228" w:lineRule="auto"/>
              <w:jc w:val="both"/>
              <w:rPr>
                <w:noProof/>
                <w:color w:val="auto"/>
                <w:lang w:val="uk-UA"/>
              </w:rPr>
            </w:pPr>
            <w:r w:rsidRPr="00660F9E">
              <w:rPr>
                <w:noProof/>
                <w:color w:val="auto"/>
                <w:lang w:val="uk-UA" w:eastAsia="x-none"/>
              </w:rPr>
              <w:t xml:space="preserve">Альтернатива 1 </w:t>
            </w:r>
            <w:r w:rsidRPr="00660F9E">
              <w:rPr>
                <w:noProof/>
                <w:color w:val="auto"/>
                <w:lang w:val="uk-UA"/>
              </w:rPr>
              <w:t>(залишення наявної ситуації без змін)</w:t>
            </w:r>
          </w:p>
        </w:tc>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a3"/>
              <w:spacing w:before="0" w:beforeAutospacing="0" w:after="0" w:afterAutospacing="0" w:line="228" w:lineRule="auto"/>
              <w:jc w:val="center"/>
              <w:rPr>
                <w:noProof/>
                <w:color w:val="auto"/>
                <w:lang w:val="uk-UA"/>
              </w:rPr>
            </w:pPr>
          </w:p>
          <w:p w:rsidR="00224673" w:rsidRPr="00660F9E" w:rsidRDefault="00224673" w:rsidP="003718FF">
            <w:pPr>
              <w:pStyle w:val="a3"/>
              <w:spacing w:before="0" w:beforeAutospacing="0" w:after="0" w:afterAutospacing="0" w:line="228" w:lineRule="auto"/>
              <w:jc w:val="center"/>
              <w:rPr>
                <w:noProof/>
                <w:color w:val="auto"/>
                <w:lang w:val="uk-UA"/>
              </w:rPr>
            </w:pPr>
            <w:r w:rsidRPr="00660F9E">
              <w:rPr>
                <w:noProof/>
                <w:color w:val="auto"/>
                <w:lang w:val="uk-UA"/>
              </w:rPr>
              <w:t>1</w:t>
            </w:r>
          </w:p>
        </w:tc>
        <w:tc>
          <w:tcPr>
            <w:tcW w:w="3685" w:type="dxa"/>
            <w:tcBorders>
              <w:top w:val="single" w:sz="4" w:space="0" w:color="auto"/>
              <w:left w:val="single" w:sz="4" w:space="0" w:color="auto"/>
              <w:bottom w:val="single" w:sz="4" w:space="0" w:color="auto"/>
              <w:right w:val="single" w:sz="4" w:space="0" w:color="auto"/>
            </w:tcBorders>
          </w:tcPr>
          <w:p w:rsidR="00224673" w:rsidRPr="00660F9E" w:rsidRDefault="00224673" w:rsidP="008B14AB">
            <w:pPr>
              <w:pStyle w:val="a3"/>
              <w:spacing w:before="0" w:beforeAutospacing="0" w:after="0" w:afterAutospacing="0" w:line="228" w:lineRule="auto"/>
              <w:jc w:val="both"/>
              <w:rPr>
                <w:bCs/>
                <w:noProof/>
                <w:color w:val="auto"/>
                <w:lang w:val="uk-UA"/>
              </w:rPr>
            </w:pPr>
            <w:r w:rsidRPr="00660F9E">
              <w:rPr>
                <w:noProof/>
                <w:color w:val="auto"/>
                <w:lang w:val="uk-UA"/>
              </w:rPr>
              <w:t>Ця альтернатива не вирішує описан</w:t>
            </w:r>
            <w:r w:rsidR="008B14AB" w:rsidRPr="00660F9E">
              <w:rPr>
                <w:noProof/>
                <w:color w:val="auto"/>
                <w:lang w:val="uk-UA"/>
              </w:rPr>
              <w:t>их</w:t>
            </w:r>
            <w:r w:rsidRPr="00660F9E">
              <w:rPr>
                <w:noProof/>
                <w:color w:val="auto"/>
                <w:lang w:val="uk-UA"/>
              </w:rPr>
              <w:t xml:space="preserve"> проблем, що продовжуватимуть існувати.</w:t>
            </w:r>
          </w:p>
        </w:tc>
      </w:tr>
      <w:tr w:rsidR="00224673" w:rsidRPr="00660F9E" w:rsidTr="003718FF">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a3"/>
              <w:spacing w:before="0" w:beforeAutospacing="0" w:after="0" w:afterAutospacing="0" w:line="228" w:lineRule="auto"/>
              <w:jc w:val="both"/>
              <w:rPr>
                <w:noProof/>
                <w:color w:val="auto"/>
                <w:lang w:val="uk-UA"/>
              </w:rPr>
            </w:pPr>
            <w:r w:rsidRPr="00660F9E">
              <w:rPr>
                <w:noProof/>
                <w:color w:val="auto"/>
                <w:lang w:val="uk-UA"/>
              </w:rPr>
              <w:t>Альтернатива</w:t>
            </w:r>
            <w:r w:rsidRPr="00660F9E">
              <w:rPr>
                <w:i/>
                <w:noProof/>
                <w:color w:val="auto"/>
                <w:lang w:val="uk-UA"/>
              </w:rPr>
              <w:t xml:space="preserve"> 2 </w:t>
            </w:r>
            <w:r w:rsidRPr="00660F9E">
              <w:rPr>
                <w:noProof/>
                <w:color w:val="auto"/>
                <w:lang w:val="uk-UA"/>
              </w:rPr>
              <w:t>(прийняття проекту акту)</w:t>
            </w:r>
          </w:p>
        </w:tc>
        <w:tc>
          <w:tcPr>
            <w:tcW w:w="2977"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pStyle w:val="a3"/>
              <w:spacing w:before="0" w:beforeAutospacing="0" w:after="0" w:afterAutospacing="0" w:line="228" w:lineRule="auto"/>
              <w:jc w:val="center"/>
              <w:rPr>
                <w:noProof/>
                <w:color w:val="auto"/>
                <w:lang w:val="uk-UA"/>
              </w:rPr>
            </w:pPr>
            <w:r w:rsidRPr="00660F9E">
              <w:rPr>
                <w:noProof/>
                <w:color w:val="auto"/>
                <w:lang w:val="uk-UA"/>
              </w:rPr>
              <w:t>4</w:t>
            </w:r>
          </w:p>
        </w:tc>
        <w:tc>
          <w:tcPr>
            <w:tcW w:w="3685" w:type="dxa"/>
            <w:tcBorders>
              <w:top w:val="single" w:sz="4" w:space="0" w:color="auto"/>
              <w:left w:val="single" w:sz="4" w:space="0" w:color="auto"/>
              <w:bottom w:val="single" w:sz="4" w:space="0" w:color="auto"/>
              <w:right w:val="single" w:sz="4" w:space="0" w:color="auto"/>
            </w:tcBorders>
          </w:tcPr>
          <w:p w:rsidR="00224673" w:rsidRPr="00660F9E" w:rsidRDefault="00224673" w:rsidP="008B14AB">
            <w:pPr>
              <w:pStyle w:val="a3"/>
              <w:spacing w:before="0" w:beforeAutospacing="0" w:after="0" w:afterAutospacing="0" w:line="228" w:lineRule="auto"/>
              <w:jc w:val="both"/>
              <w:rPr>
                <w:noProof/>
                <w:color w:val="auto"/>
                <w:lang w:val="uk-UA"/>
              </w:rPr>
            </w:pPr>
            <w:r w:rsidRPr="00660F9E">
              <w:rPr>
                <w:noProof/>
                <w:color w:val="auto"/>
                <w:lang w:val="uk-UA"/>
              </w:rPr>
              <w:t xml:space="preserve">Повністю вирішує існуючі проблеми, які будуть вирішені у разі </w:t>
            </w:r>
            <w:r w:rsidR="008B14AB" w:rsidRPr="00660F9E">
              <w:rPr>
                <w:noProof/>
                <w:color w:val="auto"/>
                <w:lang w:val="uk-UA"/>
              </w:rPr>
              <w:t>прийняття</w:t>
            </w:r>
            <w:r w:rsidRPr="00660F9E">
              <w:rPr>
                <w:noProof/>
                <w:color w:val="auto"/>
                <w:lang w:val="uk-UA"/>
              </w:rPr>
              <w:t xml:space="preserve"> наказу.</w:t>
            </w:r>
          </w:p>
        </w:tc>
      </w:tr>
    </w:tbl>
    <w:p w:rsidR="00224673" w:rsidRPr="00660F9E" w:rsidRDefault="00224673" w:rsidP="00224673">
      <w:pPr>
        <w:pStyle w:val="a3"/>
        <w:spacing w:before="0" w:beforeAutospacing="0" w:after="0" w:afterAutospacing="0"/>
        <w:ind w:firstLine="567"/>
        <w:jc w:val="both"/>
        <w:rPr>
          <w:b/>
          <w:bCs/>
          <w:noProof/>
          <w:color w:val="auto"/>
          <w:sz w:val="28"/>
          <w:szCs w:val="28"/>
          <w:lang w:val="uk-UA"/>
        </w:rPr>
      </w:pPr>
    </w:p>
    <w:p w:rsidR="00224673" w:rsidRPr="00660F9E" w:rsidRDefault="00224673" w:rsidP="00224673">
      <w:pPr>
        <w:pStyle w:val="a3"/>
        <w:spacing w:before="0" w:beforeAutospacing="0" w:after="0" w:afterAutospacing="0"/>
        <w:ind w:firstLine="567"/>
        <w:jc w:val="center"/>
        <w:rPr>
          <w:b/>
          <w:bCs/>
          <w:noProof/>
          <w:color w:val="auto"/>
          <w:sz w:val="28"/>
          <w:szCs w:val="28"/>
          <w:lang w:val="uk-UA"/>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2694"/>
        <w:gridCol w:w="2466"/>
      </w:tblGrid>
      <w:tr w:rsidR="00660F9E" w:rsidRPr="00660F9E" w:rsidTr="00C4219A">
        <w:tc>
          <w:tcPr>
            <w:tcW w:w="1985"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center"/>
            </w:pPr>
            <w:r w:rsidRPr="00660F9E">
              <w:t>Рейтинг результативності</w:t>
            </w:r>
          </w:p>
        </w:tc>
        <w:tc>
          <w:tcPr>
            <w:tcW w:w="2551"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center"/>
            </w:pPr>
            <w:r w:rsidRPr="00660F9E">
              <w:t>Вигоди</w:t>
            </w:r>
          </w:p>
          <w:p w:rsidR="00224673" w:rsidRPr="00660F9E" w:rsidRDefault="00224673" w:rsidP="003718FF">
            <w:pPr>
              <w:jc w:val="center"/>
            </w:pPr>
            <w:r w:rsidRPr="00660F9E">
              <w:t>(підсумок)</w:t>
            </w:r>
          </w:p>
        </w:tc>
        <w:tc>
          <w:tcPr>
            <w:tcW w:w="2694"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center"/>
            </w:pPr>
            <w:r w:rsidRPr="00660F9E">
              <w:t>Витрати</w:t>
            </w:r>
          </w:p>
          <w:p w:rsidR="00224673" w:rsidRPr="00660F9E" w:rsidRDefault="00224673" w:rsidP="003718FF">
            <w:pPr>
              <w:jc w:val="center"/>
            </w:pPr>
            <w:r w:rsidRPr="00660F9E">
              <w:t>(підсумок)</w:t>
            </w:r>
          </w:p>
        </w:tc>
        <w:tc>
          <w:tcPr>
            <w:tcW w:w="2466"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jc w:val="center"/>
            </w:pPr>
            <w:r w:rsidRPr="00660F9E">
              <w:t>Обґрунтування відповідного місця альтернативи у рейтингу</w:t>
            </w:r>
          </w:p>
        </w:tc>
      </w:tr>
      <w:tr w:rsidR="00660F9E" w:rsidRPr="00660F9E" w:rsidTr="00C4219A">
        <w:tc>
          <w:tcPr>
            <w:tcW w:w="1985"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rPr>
                <w:lang w:eastAsia="x-none"/>
              </w:rPr>
              <w:t xml:space="preserve">Альтернатива 1 </w:t>
            </w:r>
            <w:r w:rsidRPr="00660F9E">
              <w:t>(залишення наявної ситуації без змін)</w:t>
            </w:r>
          </w:p>
        </w:tc>
        <w:tc>
          <w:tcPr>
            <w:tcW w:w="2551"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center"/>
              <w:rPr>
                <w:lang w:eastAsia="x-none"/>
              </w:rPr>
            </w:pPr>
            <w:r w:rsidRPr="00660F9E">
              <w:rPr>
                <w:lang w:eastAsia="x-none"/>
              </w:rPr>
              <w:t>Х</w:t>
            </w:r>
          </w:p>
          <w:p w:rsidR="00224673" w:rsidRPr="00660F9E" w:rsidRDefault="00224673" w:rsidP="003718FF">
            <w:pPr>
              <w:jc w:val="center"/>
            </w:pPr>
          </w:p>
        </w:tc>
        <w:tc>
          <w:tcPr>
            <w:tcW w:w="2694"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t xml:space="preserve">Постійні та систематичні витрати </w:t>
            </w:r>
            <w:r w:rsidRPr="00660F9E">
              <w:rPr>
                <w:bCs/>
              </w:rPr>
              <w:t>часу, трудових та фінансових ресурсів органів ДФС, органів Казначейства, банків.</w:t>
            </w:r>
          </w:p>
        </w:tc>
        <w:tc>
          <w:tcPr>
            <w:tcW w:w="2466" w:type="dxa"/>
            <w:tcBorders>
              <w:top w:val="single" w:sz="4" w:space="0" w:color="auto"/>
              <w:left w:val="single" w:sz="4" w:space="0" w:color="auto"/>
              <w:bottom w:val="single" w:sz="4" w:space="0" w:color="auto"/>
              <w:right w:val="single" w:sz="4" w:space="0" w:color="auto"/>
            </w:tcBorders>
            <w:vAlign w:val="center"/>
          </w:tcPr>
          <w:p w:rsidR="00224673" w:rsidRPr="00660F9E" w:rsidRDefault="00224673" w:rsidP="003718FF">
            <w:pPr>
              <w:ind w:firstLine="21"/>
              <w:jc w:val="both"/>
            </w:pPr>
            <w:r w:rsidRPr="00660F9E">
              <w:t>У разі залишення наявної ситуації без змін проблема продовжуватиме існувати, що не забезпечить досягнення зазначених цілей.</w:t>
            </w:r>
          </w:p>
        </w:tc>
      </w:tr>
      <w:tr w:rsidR="00C4219A" w:rsidRPr="00660F9E" w:rsidTr="00C4219A">
        <w:tc>
          <w:tcPr>
            <w:tcW w:w="1985" w:type="dxa"/>
            <w:tcBorders>
              <w:top w:val="single" w:sz="4" w:space="0" w:color="auto"/>
              <w:left w:val="single" w:sz="4" w:space="0" w:color="auto"/>
              <w:bottom w:val="single" w:sz="4" w:space="0" w:color="auto"/>
              <w:right w:val="single" w:sz="4" w:space="0" w:color="auto"/>
            </w:tcBorders>
          </w:tcPr>
          <w:p w:rsidR="00224673" w:rsidRPr="007B3D6C" w:rsidRDefault="00224673" w:rsidP="008B14AB">
            <w:pPr>
              <w:jc w:val="both"/>
            </w:pPr>
            <w:bookmarkStart w:id="0" w:name="_GoBack" w:colFirst="0" w:colLast="1"/>
            <w:r w:rsidRPr="007B3D6C">
              <w:lastRenderedPageBreak/>
              <w:t>Альтернатива 2 (прийняття проекту акт</w:t>
            </w:r>
            <w:r w:rsidR="008B14AB" w:rsidRPr="007B3D6C">
              <w:t>а</w:t>
            </w:r>
            <w:r w:rsidRPr="007B3D6C">
              <w:t>)</w:t>
            </w:r>
          </w:p>
        </w:tc>
        <w:tc>
          <w:tcPr>
            <w:tcW w:w="2551" w:type="dxa"/>
            <w:tcBorders>
              <w:top w:val="single" w:sz="4" w:space="0" w:color="auto"/>
              <w:left w:val="single" w:sz="4" w:space="0" w:color="auto"/>
              <w:bottom w:val="single" w:sz="4" w:space="0" w:color="auto"/>
              <w:right w:val="single" w:sz="4" w:space="0" w:color="auto"/>
            </w:tcBorders>
          </w:tcPr>
          <w:p w:rsidR="00224673" w:rsidRPr="007B3D6C" w:rsidRDefault="00224673" w:rsidP="003718FF">
            <w:pPr>
              <w:jc w:val="both"/>
            </w:pPr>
            <w:r w:rsidRPr="007B3D6C">
              <w:t xml:space="preserve">Для держави: зменшення витрат часу, трудових та фінансових ресурсів, паперового документообігу в органах виконавчої влади у відповідних сферах, </w:t>
            </w:r>
            <w:r w:rsidRPr="007B3D6C">
              <w:rPr>
                <w:lang w:eastAsia="x-none"/>
              </w:rPr>
              <w:t xml:space="preserve">доступність, простота та зручність, </w:t>
            </w:r>
            <w:r w:rsidRPr="007B3D6C">
              <w:t>сприяння захисту державних інтересів та інтересів бюджетних споживачів.</w:t>
            </w:r>
          </w:p>
          <w:p w:rsidR="00224673" w:rsidRPr="007B3D6C" w:rsidRDefault="00224673" w:rsidP="003718FF">
            <w:pPr>
              <w:jc w:val="both"/>
            </w:pPr>
            <w:r w:rsidRPr="007B3D6C">
              <w:t>Для громадян: відсутні.</w:t>
            </w:r>
          </w:p>
          <w:p w:rsidR="00224673" w:rsidRPr="007B3D6C" w:rsidRDefault="00224673" w:rsidP="003718FF">
            <w:pPr>
              <w:jc w:val="both"/>
            </w:pPr>
            <w:r w:rsidRPr="007B3D6C">
              <w:t>Для суб</w:t>
            </w:r>
            <w:r w:rsidRPr="007B3D6C">
              <w:rPr>
                <w:bCs/>
                <w:sz w:val="28"/>
                <w:szCs w:val="28"/>
              </w:rPr>
              <w:t>’</w:t>
            </w:r>
            <w:r w:rsidRPr="007B3D6C">
              <w:t>єктів господарювання:</w:t>
            </w:r>
          </w:p>
          <w:p w:rsidR="00224673" w:rsidRPr="007B3D6C" w:rsidRDefault="00224673" w:rsidP="003718FF">
            <w:pPr>
              <w:jc w:val="both"/>
            </w:pPr>
            <w:r w:rsidRPr="007B3D6C">
              <w:t xml:space="preserve">економія часу, трудових та фінансових ресурсів, зменшення паперового документообігу, </w:t>
            </w:r>
            <w:r w:rsidRPr="007B3D6C">
              <w:rPr>
                <w:lang w:eastAsia="x-none"/>
              </w:rPr>
              <w:t>доступність, простота та зручність</w:t>
            </w:r>
            <w:r w:rsidRPr="007B3D6C">
              <w:t xml:space="preserve">. </w:t>
            </w:r>
          </w:p>
        </w:tc>
        <w:tc>
          <w:tcPr>
            <w:tcW w:w="2694"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t>Потребуватиме разових витрат на доопрацювання відповідного програмного забезпечення. При цьому після запровадження інформаційної взаємодії постійні та систематичні статті витрат в усіх учасників інформаційної взаємодії мають зникнути.</w:t>
            </w:r>
          </w:p>
        </w:tc>
        <w:tc>
          <w:tcPr>
            <w:tcW w:w="2466" w:type="dxa"/>
            <w:tcBorders>
              <w:top w:val="single" w:sz="4" w:space="0" w:color="auto"/>
              <w:left w:val="single" w:sz="4" w:space="0" w:color="auto"/>
              <w:bottom w:val="single" w:sz="4" w:space="0" w:color="auto"/>
              <w:right w:val="single" w:sz="4" w:space="0" w:color="auto"/>
            </w:tcBorders>
          </w:tcPr>
          <w:p w:rsidR="00224673" w:rsidRPr="00660F9E" w:rsidRDefault="00224673" w:rsidP="003718FF">
            <w:pPr>
              <w:jc w:val="both"/>
            </w:pPr>
            <w:r w:rsidRPr="00660F9E">
              <w:t>У разі прийняття акта задекларовані цілі будуть досягнуті повною мірою, що повністю забезпечить вирішення проблем.</w:t>
            </w:r>
          </w:p>
          <w:p w:rsidR="00224673" w:rsidRPr="00660F9E" w:rsidRDefault="00224673" w:rsidP="003718FF">
            <w:pPr>
              <w:ind w:firstLine="21"/>
              <w:jc w:val="both"/>
            </w:pPr>
          </w:p>
        </w:tc>
      </w:tr>
      <w:bookmarkEnd w:id="0"/>
    </w:tbl>
    <w:p w:rsidR="00224673" w:rsidRPr="00660F9E" w:rsidRDefault="00224673" w:rsidP="00224673">
      <w:pPr>
        <w:pStyle w:val="a3"/>
        <w:spacing w:before="0" w:beforeAutospacing="0" w:after="0" w:afterAutospacing="0"/>
        <w:ind w:firstLine="567"/>
        <w:jc w:val="both"/>
        <w:rPr>
          <w:noProof/>
          <w:color w:val="auto"/>
          <w:sz w:val="16"/>
          <w:szCs w:val="16"/>
          <w:lang w:val="uk-UA"/>
        </w:rPr>
      </w:pPr>
    </w:p>
    <w:p w:rsidR="00224673" w:rsidRPr="00660F9E" w:rsidRDefault="00224673" w:rsidP="00224673">
      <w:pPr>
        <w:pStyle w:val="af8"/>
        <w:spacing w:after="0"/>
        <w:ind w:firstLine="720"/>
        <w:jc w:val="both"/>
        <w:rPr>
          <w:b/>
          <w:bCs/>
          <w:sz w:val="28"/>
          <w:szCs w:val="28"/>
        </w:rPr>
      </w:pPr>
    </w:p>
    <w:p w:rsidR="00224673" w:rsidRPr="00660F9E" w:rsidRDefault="00224673" w:rsidP="00224673">
      <w:pPr>
        <w:pStyle w:val="af8"/>
        <w:spacing w:after="0"/>
        <w:ind w:firstLine="720"/>
        <w:jc w:val="both"/>
        <w:rPr>
          <w:b/>
          <w:sz w:val="28"/>
          <w:szCs w:val="28"/>
        </w:rPr>
      </w:pPr>
      <w:r w:rsidRPr="00660F9E">
        <w:rPr>
          <w:b/>
          <w:bCs/>
          <w:sz w:val="28"/>
          <w:szCs w:val="28"/>
        </w:rPr>
        <w:t xml:space="preserve">V. </w:t>
      </w:r>
      <w:r w:rsidRPr="00660F9E">
        <w:rPr>
          <w:b/>
          <w:sz w:val="28"/>
          <w:szCs w:val="28"/>
        </w:rPr>
        <w:t>Механізми та заходи, які забезпечать розв’язання визначеної проблеми</w:t>
      </w:r>
    </w:p>
    <w:p w:rsidR="00224673" w:rsidRPr="00660F9E" w:rsidRDefault="00224673" w:rsidP="00224673">
      <w:pPr>
        <w:ind w:firstLine="709"/>
        <w:jc w:val="both"/>
        <w:rPr>
          <w:sz w:val="28"/>
          <w:szCs w:val="28"/>
        </w:rPr>
      </w:pPr>
    </w:p>
    <w:p w:rsidR="00224673" w:rsidRPr="00660F9E" w:rsidRDefault="00224673" w:rsidP="00224673">
      <w:pPr>
        <w:ind w:firstLine="567"/>
        <w:jc w:val="both"/>
        <w:rPr>
          <w:sz w:val="28"/>
          <w:szCs w:val="28"/>
        </w:rPr>
      </w:pPr>
      <w:r w:rsidRPr="00660F9E">
        <w:rPr>
          <w:sz w:val="28"/>
          <w:szCs w:val="28"/>
        </w:rPr>
        <w:t xml:space="preserve">Реалізація поставлених цілей забезпечується шляхом прийняття наказу. </w:t>
      </w:r>
    </w:p>
    <w:p w:rsidR="00224673" w:rsidRPr="00660F9E" w:rsidRDefault="00224673" w:rsidP="00224673">
      <w:pPr>
        <w:ind w:firstLine="567"/>
        <w:jc w:val="both"/>
        <w:rPr>
          <w:sz w:val="28"/>
          <w:szCs w:val="28"/>
        </w:rPr>
      </w:pPr>
      <w:r w:rsidRPr="00660F9E">
        <w:rPr>
          <w:rStyle w:val="rvts15"/>
          <w:sz w:val="28"/>
          <w:szCs w:val="28"/>
        </w:rPr>
        <w:t xml:space="preserve">Запропонованим проектом наказу передбачається запровадити загальну процедуру </w:t>
      </w:r>
      <w:r w:rsidRPr="00660F9E">
        <w:rPr>
          <w:sz w:val="28"/>
          <w:szCs w:val="28"/>
        </w:rPr>
        <w:t>інформаційної взаємодії</w:t>
      </w:r>
      <w:r w:rsidRPr="00660F9E">
        <w:rPr>
          <w:rStyle w:val="rvts15"/>
          <w:sz w:val="28"/>
          <w:szCs w:val="28"/>
        </w:rPr>
        <w:t xml:space="preserve"> п</w:t>
      </w:r>
      <w:r w:rsidR="008B14AB" w:rsidRPr="00660F9E">
        <w:rPr>
          <w:rStyle w:val="rvts15"/>
          <w:sz w:val="28"/>
          <w:szCs w:val="28"/>
        </w:rPr>
        <w:t>ід час</w:t>
      </w:r>
      <w:r w:rsidRPr="00660F9E">
        <w:rPr>
          <w:rStyle w:val="rvts15"/>
          <w:sz w:val="28"/>
          <w:szCs w:val="28"/>
        </w:rPr>
        <w:t xml:space="preserve"> формуванн</w:t>
      </w:r>
      <w:r w:rsidR="008B14AB" w:rsidRPr="00660F9E">
        <w:rPr>
          <w:rStyle w:val="rvts15"/>
          <w:sz w:val="28"/>
          <w:szCs w:val="28"/>
        </w:rPr>
        <w:t>я</w:t>
      </w:r>
      <w:r w:rsidRPr="00660F9E">
        <w:rPr>
          <w:rStyle w:val="rvts15"/>
          <w:sz w:val="28"/>
          <w:szCs w:val="28"/>
        </w:rPr>
        <w:t xml:space="preserve"> інкасових доручень (розпоряджень) в електронному вигляді, їх транспортуванн</w:t>
      </w:r>
      <w:r w:rsidR="008B14AB" w:rsidRPr="00660F9E">
        <w:rPr>
          <w:rStyle w:val="rvts15"/>
          <w:sz w:val="28"/>
          <w:szCs w:val="28"/>
        </w:rPr>
        <w:t>я</w:t>
      </w:r>
      <w:r w:rsidRPr="00660F9E">
        <w:rPr>
          <w:rStyle w:val="rvts15"/>
          <w:sz w:val="28"/>
          <w:szCs w:val="28"/>
        </w:rPr>
        <w:t xml:space="preserve"> з використанням телекомунікаційних мереж</w:t>
      </w:r>
      <w:r w:rsidRPr="00660F9E">
        <w:rPr>
          <w:sz w:val="28"/>
          <w:szCs w:val="28"/>
        </w:rPr>
        <w:t xml:space="preserve">, </w:t>
      </w:r>
      <w:r w:rsidRPr="00D739E0">
        <w:rPr>
          <w:sz w:val="28"/>
          <w:szCs w:val="28"/>
        </w:rPr>
        <w:t>формат (стандарт) форми</w:t>
      </w:r>
      <w:r w:rsidRPr="00660F9E">
        <w:rPr>
          <w:sz w:val="28"/>
          <w:szCs w:val="28"/>
        </w:rPr>
        <w:t xml:space="preserve"> електронного документ</w:t>
      </w:r>
      <w:r w:rsidR="00183EF2" w:rsidRPr="00660F9E">
        <w:rPr>
          <w:sz w:val="28"/>
          <w:szCs w:val="28"/>
        </w:rPr>
        <w:t>а</w:t>
      </w:r>
      <w:r w:rsidRPr="00660F9E">
        <w:rPr>
          <w:sz w:val="28"/>
          <w:szCs w:val="28"/>
        </w:rPr>
        <w:t xml:space="preserve"> для усіх її учасників (</w:t>
      </w:r>
      <w:r w:rsidRPr="00660F9E">
        <w:rPr>
          <w:rStyle w:val="rvts15"/>
          <w:sz w:val="28"/>
          <w:szCs w:val="28"/>
        </w:rPr>
        <w:t>територіальних органів ДФС, територіальних органів Казначейства, банків України)</w:t>
      </w:r>
      <w:r w:rsidRPr="00660F9E">
        <w:rPr>
          <w:sz w:val="28"/>
          <w:szCs w:val="28"/>
        </w:rPr>
        <w:t xml:space="preserve">, що дозволить </w:t>
      </w:r>
      <w:r w:rsidRPr="00660F9E">
        <w:rPr>
          <w:rStyle w:val="rvts15"/>
          <w:sz w:val="28"/>
          <w:szCs w:val="28"/>
        </w:rPr>
        <w:t>розв’язати вказану проблему</w:t>
      </w:r>
      <w:r w:rsidRPr="00660F9E">
        <w:rPr>
          <w:sz w:val="28"/>
          <w:szCs w:val="28"/>
        </w:rPr>
        <w:t xml:space="preserve">. </w:t>
      </w:r>
    </w:p>
    <w:p w:rsidR="00224673" w:rsidRPr="00660F9E" w:rsidRDefault="00224673" w:rsidP="00224673">
      <w:pPr>
        <w:ind w:firstLine="567"/>
        <w:jc w:val="both"/>
        <w:rPr>
          <w:sz w:val="28"/>
          <w:szCs w:val="28"/>
        </w:rPr>
      </w:pPr>
      <w:r w:rsidRPr="00660F9E">
        <w:rPr>
          <w:sz w:val="28"/>
          <w:szCs w:val="28"/>
        </w:rPr>
        <w:t>Сучасний стан розвитку телекомунікаційних мереж та інформаційних систем і технологій, наявність необхідної нормативно-правової бази щодо електронних документів та електронного документообігу, електронних довірчих послуг, захисту інформації в інформаційно-телекомунікаційних системах створили передумови для запровадження повноцінної, юридично значимої інформаційної взаємодії між органами ДФС, органами Казначейства та банками України.</w:t>
      </w:r>
    </w:p>
    <w:p w:rsidR="00224673" w:rsidRPr="00660F9E" w:rsidRDefault="00224673" w:rsidP="00224673">
      <w:pPr>
        <w:ind w:firstLine="567"/>
        <w:jc w:val="both"/>
        <w:rPr>
          <w:bCs/>
          <w:sz w:val="28"/>
          <w:szCs w:val="28"/>
        </w:rPr>
      </w:pPr>
      <w:r w:rsidRPr="00660F9E">
        <w:rPr>
          <w:bCs/>
          <w:sz w:val="28"/>
          <w:szCs w:val="28"/>
        </w:rPr>
        <w:t xml:space="preserve">У зв’язку із стрімким розвитком сучасних інформаційних технологій, запровадженням системи електронного урядування, дистанційної системи «клієнт-банк», електронного банкінгу, з’явилася можливість </w:t>
      </w:r>
      <w:r w:rsidR="001C455B">
        <w:rPr>
          <w:bCs/>
          <w:sz w:val="28"/>
          <w:szCs w:val="28"/>
        </w:rPr>
        <w:t xml:space="preserve">цим </w:t>
      </w:r>
      <w:r w:rsidRPr="00660F9E">
        <w:rPr>
          <w:bCs/>
          <w:sz w:val="28"/>
          <w:szCs w:val="28"/>
        </w:rPr>
        <w:t>проектом наказу запровадити інформаційну взаємодію п</w:t>
      </w:r>
      <w:r w:rsidR="00225820" w:rsidRPr="00660F9E">
        <w:rPr>
          <w:bCs/>
          <w:sz w:val="28"/>
          <w:szCs w:val="28"/>
        </w:rPr>
        <w:t>ід час</w:t>
      </w:r>
      <w:r w:rsidRPr="00660F9E">
        <w:rPr>
          <w:bCs/>
          <w:sz w:val="28"/>
          <w:szCs w:val="28"/>
        </w:rPr>
        <w:t xml:space="preserve"> формуванн</w:t>
      </w:r>
      <w:r w:rsidR="00225820" w:rsidRPr="00660F9E">
        <w:rPr>
          <w:bCs/>
          <w:sz w:val="28"/>
          <w:szCs w:val="28"/>
        </w:rPr>
        <w:t>я</w:t>
      </w:r>
      <w:r w:rsidRPr="00660F9E">
        <w:rPr>
          <w:bCs/>
          <w:sz w:val="28"/>
          <w:szCs w:val="28"/>
        </w:rPr>
        <w:t xml:space="preserve"> інкасових </w:t>
      </w:r>
      <w:r w:rsidRPr="00660F9E">
        <w:rPr>
          <w:bCs/>
          <w:sz w:val="28"/>
          <w:szCs w:val="28"/>
        </w:rPr>
        <w:lastRenderedPageBreak/>
        <w:t xml:space="preserve">доручень (розпоряджень) в </w:t>
      </w:r>
      <w:r w:rsidRPr="00660F9E">
        <w:rPr>
          <w:rStyle w:val="rvts15"/>
          <w:bCs/>
          <w:sz w:val="28"/>
          <w:szCs w:val="28"/>
        </w:rPr>
        <w:t>електронному вигляді</w:t>
      </w:r>
      <w:r w:rsidRPr="00660F9E">
        <w:rPr>
          <w:bCs/>
          <w:sz w:val="28"/>
          <w:szCs w:val="28"/>
        </w:rPr>
        <w:t xml:space="preserve"> та їх транспор</w:t>
      </w:r>
      <w:r w:rsidR="001C455B">
        <w:rPr>
          <w:bCs/>
          <w:sz w:val="28"/>
          <w:szCs w:val="28"/>
        </w:rPr>
        <w:t>т</w:t>
      </w:r>
      <w:r w:rsidRPr="00660F9E">
        <w:rPr>
          <w:bCs/>
          <w:sz w:val="28"/>
          <w:szCs w:val="28"/>
        </w:rPr>
        <w:t>уванн</w:t>
      </w:r>
      <w:r w:rsidR="00225820" w:rsidRPr="00660F9E">
        <w:rPr>
          <w:bCs/>
          <w:sz w:val="28"/>
          <w:szCs w:val="28"/>
        </w:rPr>
        <w:t>я</w:t>
      </w:r>
      <w:r w:rsidRPr="00660F9E">
        <w:rPr>
          <w:bCs/>
          <w:sz w:val="28"/>
          <w:szCs w:val="28"/>
        </w:rPr>
        <w:t xml:space="preserve">  з використанням телекомунікаційних мереж.</w:t>
      </w:r>
    </w:p>
    <w:p w:rsidR="00224673" w:rsidRPr="00660F9E" w:rsidRDefault="00224673" w:rsidP="00224673">
      <w:pPr>
        <w:ind w:firstLine="567"/>
        <w:jc w:val="both"/>
        <w:rPr>
          <w:bCs/>
          <w:sz w:val="28"/>
          <w:szCs w:val="28"/>
        </w:rPr>
      </w:pPr>
      <w:r w:rsidRPr="00660F9E">
        <w:rPr>
          <w:bCs/>
          <w:sz w:val="28"/>
          <w:szCs w:val="28"/>
        </w:rPr>
        <w:t xml:space="preserve">На </w:t>
      </w:r>
      <w:r w:rsidR="00225820" w:rsidRPr="00660F9E">
        <w:rPr>
          <w:bCs/>
          <w:sz w:val="28"/>
          <w:szCs w:val="28"/>
        </w:rPr>
        <w:t>це</w:t>
      </w:r>
      <w:r w:rsidRPr="00660F9E">
        <w:rPr>
          <w:bCs/>
          <w:sz w:val="28"/>
          <w:szCs w:val="28"/>
        </w:rPr>
        <w:t xml:space="preserve">й час визначена у проекті наказу ініціатива може бути реалізована на практиці лише шляхом формування засобами інформаційно-телекомунікаційних систем ДФС інкасових доручень (розпоряджень), а запровадження інформаційної взаємодії між органами ДФС, органами Казначейства та банками з використанням телекомунікаційних мереж </w:t>
      </w:r>
      <w:r w:rsidR="001C455B" w:rsidRPr="00660F9E">
        <w:rPr>
          <w:bCs/>
          <w:sz w:val="28"/>
          <w:szCs w:val="28"/>
        </w:rPr>
        <w:t>надають</w:t>
      </w:r>
      <w:r w:rsidRPr="00660F9E">
        <w:rPr>
          <w:bCs/>
          <w:sz w:val="28"/>
          <w:szCs w:val="28"/>
        </w:rPr>
        <w:t xml:space="preserve"> можливість врегулювати окреслену проблему </w:t>
      </w:r>
      <w:r w:rsidR="001C455B">
        <w:rPr>
          <w:bCs/>
          <w:sz w:val="28"/>
          <w:szCs w:val="28"/>
        </w:rPr>
        <w:t xml:space="preserve">у </w:t>
      </w:r>
      <w:r w:rsidRPr="00660F9E">
        <w:rPr>
          <w:bCs/>
          <w:sz w:val="28"/>
          <w:szCs w:val="28"/>
        </w:rPr>
        <w:t>повном</w:t>
      </w:r>
      <w:r w:rsidR="001C455B">
        <w:rPr>
          <w:bCs/>
          <w:sz w:val="28"/>
          <w:szCs w:val="28"/>
        </w:rPr>
        <w:t>у обсязі</w:t>
      </w:r>
      <w:r w:rsidRPr="00660F9E">
        <w:rPr>
          <w:bCs/>
          <w:sz w:val="28"/>
          <w:szCs w:val="28"/>
        </w:rPr>
        <w:t>.</w:t>
      </w:r>
    </w:p>
    <w:p w:rsidR="00224673" w:rsidRPr="00660F9E" w:rsidRDefault="008730CD" w:rsidP="00224673">
      <w:pPr>
        <w:pStyle w:val="3"/>
        <w:spacing w:before="0" w:after="0"/>
        <w:ind w:firstLine="567"/>
        <w:jc w:val="both"/>
        <w:rPr>
          <w:rStyle w:val="rvts15"/>
          <w:rFonts w:ascii="Times New Roman" w:hAnsi="Times New Roman"/>
          <w:b w:val="0"/>
          <w:noProof/>
          <w:sz w:val="28"/>
          <w:szCs w:val="28"/>
          <w:lang w:val="uk-UA"/>
        </w:rPr>
      </w:pPr>
      <w:r>
        <w:rPr>
          <w:rStyle w:val="rvts15"/>
          <w:rFonts w:ascii="Times New Roman" w:hAnsi="Times New Roman"/>
          <w:b w:val="0"/>
          <w:noProof/>
          <w:sz w:val="28"/>
          <w:szCs w:val="28"/>
          <w:lang w:val="uk-UA"/>
        </w:rPr>
        <w:t>Д</w:t>
      </w:r>
      <w:r w:rsidR="00224673" w:rsidRPr="00660F9E">
        <w:rPr>
          <w:rStyle w:val="rvts15"/>
          <w:rFonts w:ascii="Times New Roman" w:hAnsi="Times New Roman"/>
          <w:b w:val="0"/>
          <w:noProof/>
          <w:sz w:val="28"/>
          <w:szCs w:val="28"/>
          <w:lang w:val="uk-UA"/>
        </w:rPr>
        <w:t>ля реалізації вказаних цілей</w:t>
      </w:r>
      <w:r w:rsidRPr="008730CD">
        <w:rPr>
          <w:rStyle w:val="rvts15"/>
          <w:rFonts w:ascii="Times New Roman" w:hAnsi="Times New Roman"/>
          <w:b w:val="0"/>
          <w:noProof/>
          <w:sz w:val="28"/>
          <w:szCs w:val="28"/>
          <w:lang w:val="uk-UA"/>
        </w:rPr>
        <w:t xml:space="preserve"> </w:t>
      </w:r>
      <w:r w:rsidRPr="00660F9E">
        <w:rPr>
          <w:rStyle w:val="rvts15"/>
          <w:rFonts w:ascii="Times New Roman" w:hAnsi="Times New Roman"/>
          <w:b w:val="0"/>
          <w:noProof/>
          <w:sz w:val="28"/>
          <w:szCs w:val="28"/>
          <w:lang w:val="uk-UA"/>
        </w:rPr>
        <w:t>Міністерству фінансів України необхідно здійснити</w:t>
      </w:r>
      <w:r>
        <w:rPr>
          <w:rStyle w:val="rvts15"/>
          <w:rFonts w:ascii="Times New Roman" w:hAnsi="Times New Roman"/>
          <w:b w:val="0"/>
          <w:noProof/>
          <w:sz w:val="28"/>
          <w:szCs w:val="28"/>
          <w:lang w:val="uk-UA"/>
        </w:rPr>
        <w:t xml:space="preserve"> такі</w:t>
      </w:r>
      <w:r w:rsidRPr="008730CD">
        <w:rPr>
          <w:rStyle w:val="rvts15"/>
          <w:rFonts w:ascii="Times New Roman" w:hAnsi="Times New Roman"/>
          <w:b w:val="0"/>
          <w:noProof/>
          <w:sz w:val="28"/>
          <w:szCs w:val="28"/>
          <w:lang w:val="uk-UA"/>
        </w:rPr>
        <w:t xml:space="preserve"> </w:t>
      </w:r>
      <w:r>
        <w:rPr>
          <w:rStyle w:val="rvts15"/>
          <w:rFonts w:ascii="Times New Roman" w:hAnsi="Times New Roman"/>
          <w:b w:val="0"/>
          <w:noProof/>
          <w:sz w:val="28"/>
          <w:szCs w:val="28"/>
          <w:lang w:val="uk-UA"/>
        </w:rPr>
        <w:t>з</w:t>
      </w:r>
      <w:r w:rsidRPr="00660F9E">
        <w:rPr>
          <w:rStyle w:val="rvts15"/>
          <w:rFonts w:ascii="Times New Roman" w:hAnsi="Times New Roman"/>
          <w:b w:val="0"/>
          <w:noProof/>
          <w:sz w:val="28"/>
          <w:szCs w:val="28"/>
          <w:lang w:val="uk-UA"/>
        </w:rPr>
        <w:t>аходи</w:t>
      </w:r>
      <w:r w:rsidR="00224673" w:rsidRPr="00660F9E">
        <w:rPr>
          <w:rStyle w:val="rvts15"/>
          <w:rFonts w:ascii="Times New Roman" w:hAnsi="Times New Roman"/>
          <w:b w:val="0"/>
          <w:noProof/>
          <w:sz w:val="28"/>
          <w:szCs w:val="28"/>
          <w:lang w:val="uk-UA"/>
        </w:rPr>
        <w:t>:</w:t>
      </w:r>
    </w:p>
    <w:p w:rsidR="00224673" w:rsidRPr="00660F9E" w:rsidRDefault="00224673" w:rsidP="008730CD">
      <w:pPr>
        <w:ind w:left="567"/>
        <w:jc w:val="both"/>
        <w:rPr>
          <w:rStyle w:val="rvts15"/>
          <w:bCs/>
          <w:sz w:val="28"/>
          <w:szCs w:val="28"/>
        </w:rPr>
      </w:pPr>
      <w:r w:rsidRPr="00660F9E">
        <w:rPr>
          <w:rStyle w:val="rvts15"/>
          <w:bCs/>
          <w:sz w:val="28"/>
          <w:szCs w:val="28"/>
        </w:rPr>
        <w:t>отрима</w:t>
      </w:r>
      <w:r w:rsidR="001C455B">
        <w:rPr>
          <w:rStyle w:val="rvts15"/>
          <w:bCs/>
          <w:sz w:val="28"/>
          <w:szCs w:val="28"/>
        </w:rPr>
        <w:t>ти</w:t>
      </w:r>
      <w:r w:rsidRPr="00660F9E">
        <w:rPr>
          <w:rStyle w:val="rvts15"/>
          <w:bCs/>
          <w:sz w:val="28"/>
          <w:szCs w:val="28"/>
        </w:rPr>
        <w:t xml:space="preserve"> погоджен</w:t>
      </w:r>
      <w:r w:rsidR="001C455B">
        <w:rPr>
          <w:rStyle w:val="rvts15"/>
          <w:bCs/>
          <w:sz w:val="28"/>
          <w:szCs w:val="28"/>
        </w:rPr>
        <w:t>ня зазначеного проекту від</w:t>
      </w:r>
      <w:r w:rsidRPr="00660F9E">
        <w:rPr>
          <w:rStyle w:val="rvts15"/>
          <w:bCs/>
          <w:sz w:val="28"/>
          <w:szCs w:val="28"/>
        </w:rPr>
        <w:t xml:space="preserve"> </w:t>
      </w:r>
      <w:r w:rsidRPr="00660F9E">
        <w:rPr>
          <w:bCs/>
          <w:sz w:val="28"/>
          <w:szCs w:val="28"/>
        </w:rPr>
        <w:t>Державної фіскальної служби України, Державної казначейської служби України, Державної служби спеціального зв’язку та інформації України, Національного банку України</w:t>
      </w:r>
      <w:r w:rsidRPr="00660F9E">
        <w:rPr>
          <w:rStyle w:val="rvts15"/>
          <w:bCs/>
          <w:sz w:val="28"/>
          <w:szCs w:val="28"/>
        </w:rPr>
        <w:t>;</w:t>
      </w:r>
    </w:p>
    <w:p w:rsidR="00224673" w:rsidRPr="00660F9E" w:rsidRDefault="00224673" w:rsidP="008730CD">
      <w:pPr>
        <w:pStyle w:val="3"/>
        <w:tabs>
          <w:tab w:val="left" w:pos="993"/>
        </w:tabs>
        <w:spacing w:before="0" w:after="0"/>
        <w:ind w:left="567"/>
        <w:jc w:val="both"/>
        <w:rPr>
          <w:rStyle w:val="rvts15"/>
          <w:rFonts w:ascii="Times New Roman" w:hAnsi="Times New Roman"/>
          <w:b w:val="0"/>
          <w:noProof/>
          <w:sz w:val="28"/>
          <w:szCs w:val="28"/>
          <w:lang w:val="uk-UA"/>
        </w:rPr>
      </w:pPr>
      <w:r w:rsidRPr="00660F9E">
        <w:rPr>
          <w:rStyle w:val="rvts15"/>
          <w:rFonts w:ascii="Times New Roman" w:hAnsi="Times New Roman"/>
          <w:b w:val="0"/>
          <w:noProof/>
          <w:sz w:val="28"/>
          <w:szCs w:val="28"/>
          <w:lang w:val="uk-UA"/>
        </w:rPr>
        <w:t>отрима</w:t>
      </w:r>
      <w:r w:rsidR="001C455B">
        <w:rPr>
          <w:rStyle w:val="rvts15"/>
          <w:rFonts w:ascii="Times New Roman" w:hAnsi="Times New Roman"/>
          <w:b w:val="0"/>
          <w:noProof/>
          <w:sz w:val="28"/>
          <w:szCs w:val="28"/>
          <w:lang w:val="uk-UA"/>
        </w:rPr>
        <w:t>ти</w:t>
      </w:r>
      <w:r w:rsidRPr="00660F9E">
        <w:rPr>
          <w:rStyle w:val="rvts15"/>
          <w:rFonts w:ascii="Times New Roman" w:hAnsi="Times New Roman"/>
          <w:b w:val="0"/>
          <w:noProof/>
          <w:sz w:val="28"/>
          <w:szCs w:val="28"/>
          <w:lang w:val="uk-UA"/>
        </w:rPr>
        <w:t xml:space="preserve"> висновк</w:t>
      </w:r>
      <w:r w:rsidR="001C455B">
        <w:rPr>
          <w:rStyle w:val="rvts15"/>
          <w:rFonts w:ascii="Times New Roman" w:hAnsi="Times New Roman"/>
          <w:b w:val="0"/>
          <w:noProof/>
          <w:sz w:val="28"/>
          <w:szCs w:val="28"/>
          <w:lang w:val="uk-UA"/>
        </w:rPr>
        <w:t>и</w:t>
      </w:r>
      <w:r w:rsidRPr="00660F9E">
        <w:rPr>
          <w:rStyle w:val="rvts15"/>
          <w:rFonts w:ascii="Times New Roman" w:hAnsi="Times New Roman"/>
          <w:b w:val="0"/>
          <w:noProof/>
          <w:sz w:val="28"/>
          <w:szCs w:val="28"/>
          <w:lang w:val="uk-UA"/>
        </w:rPr>
        <w:t xml:space="preserve"> Державної регуляторної служби України та </w:t>
      </w:r>
      <w:r w:rsidRPr="00660F9E">
        <w:rPr>
          <w:rFonts w:ascii="Times New Roman" w:hAnsi="Times New Roman"/>
          <w:b w:val="0"/>
          <w:noProof/>
          <w:sz w:val="28"/>
          <w:szCs w:val="28"/>
          <w:lang w:val="uk-UA"/>
        </w:rPr>
        <w:t>Державного агентства з питань електронного урядування України</w:t>
      </w:r>
      <w:r w:rsidRPr="00660F9E">
        <w:rPr>
          <w:rStyle w:val="rvts15"/>
          <w:rFonts w:ascii="Times New Roman" w:hAnsi="Times New Roman"/>
          <w:b w:val="0"/>
          <w:noProof/>
          <w:sz w:val="28"/>
          <w:szCs w:val="28"/>
          <w:lang w:val="uk-UA"/>
        </w:rPr>
        <w:t>;</w:t>
      </w:r>
    </w:p>
    <w:p w:rsidR="00224673" w:rsidRPr="00660F9E" w:rsidRDefault="00224673" w:rsidP="00224673">
      <w:pPr>
        <w:ind w:firstLine="567"/>
        <w:jc w:val="both"/>
        <w:rPr>
          <w:rStyle w:val="rvts15"/>
          <w:sz w:val="28"/>
          <w:szCs w:val="28"/>
        </w:rPr>
      </w:pPr>
      <w:r w:rsidRPr="00660F9E">
        <w:rPr>
          <w:rStyle w:val="rvts15"/>
          <w:sz w:val="28"/>
          <w:szCs w:val="28"/>
        </w:rPr>
        <w:t>пода</w:t>
      </w:r>
      <w:r w:rsidR="001C455B">
        <w:rPr>
          <w:rStyle w:val="rvts15"/>
          <w:sz w:val="28"/>
          <w:szCs w:val="28"/>
        </w:rPr>
        <w:t>ти</w:t>
      </w:r>
      <w:r w:rsidRPr="00660F9E">
        <w:rPr>
          <w:rStyle w:val="rvts15"/>
          <w:sz w:val="28"/>
          <w:szCs w:val="28"/>
        </w:rPr>
        <w:t xml:space="preserve"> нормативно-право</w:t>
      </w:r>
      <w:r w:rsidR="001C455B">
        <w:rPr>
          <w:rStyle w:val="rvts15"/>
          <w:sz w:val="28"/>
          <w:szCs w:val="28"/>
        </w:rPr>
        <w:t>вий</w:t>
      </w:r>
      <w:r w:rsidRPr="00660F9E">
        <w:rPr>
          <w:rStyle w:val="rvts15"/>
          <w:sz w:val="28"/>
          <w:szCs w:val="28"/>
        </w:rPr>
        <w:t xml:space="preserve"> акт до Міністерства юстиції України</w:t>
      </w:r>
      <w:r w:rsidR="001C455B" w:rsidRPr="001C455B">
        <w:rPr>
          <w:rStyle w:val="rvts15"/>
          <w:sz w:val="28"/>
          <w:szCs w:val="28"/>
        </w:rPr>
        <w:t xml:space="preserve"> </w:t>
      </w:r>
      <w:r w:rsidR="001C455B" w:rsidRPr="00660F9E">
        <w:rPr>
          <w:rStyle w:val="rvts15"/>
          <w:sz w:val="28"/>
          <w:szCs w:val="28"/>
        </w:rPr>
        <w:t>для проведення державної реєстрації</w:t>
      </w:r>
      <w:r w:rsidRPr="00660F9E">
        <w:rPr>
          <w:rStyle w:val="rvts15"/>
          <w:sz w:val="28"/>
          <w:szCs w:val="28"/>
        </w:rPr>
        <w:t>.</w:t>
      </w:r>
    </w:p>
    <w:p w:rsidR="00224673" w:rsidRPr="00660F9E" w:rsidRDefault="00224673" w:rsidP="00224673">
      <w:pPr>
        <w:ind w:firstLine="709"/>
        <w:jc w:val="both"/>
        <w:rPr>
          <w:rStyle w:val="rvts15"/>
          <w:sz w:val="28"/>
          <w:szCs w:val="28"/>
        </w:rPr>
      </w:pPr>
    </w:p>
    <w:p w:rsidR="00224673" w:rsidRPr="00660F9E" w:rsidRDefault="00224673" w:rsidP="00224673">
      <w:pPr>
        <w:ind w:firstLine="567"/>
        <w:jc w:val="both"/>
        <w:rPr>
          <w:b/>
          <w:bCs/>
          <w:sz w:val="28"/>
          <w:szCs w:val="28"/>
        </w:rPr>
      </w:pPr>
      <w:r w:rsidRPr="00660F9E">
        <w:rPr>
          <w:b/>
          <w:bCs/>
          <w:sz w:val="28"/>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24673" w:rsidRPr="00660F9E" w:rsidRDefault="00224673" w:rsidP="00224673">
      <w:pPr>
        <w:ind w:firstLine="567"/>
        <w:jc w:val="both"/>
        <w:rPr>
          <w:b/>
          <w:bCs/>
          <w:sz w:val="16"/>
          <w:szCs w:val="16"/>
        </w:rPr>
      </w:pPr>
    </w:p>
    <w:p w:rsidR="00224673" w:rsidRPr="00660F9E" w:rsidRDefault="00224673" w:rsidP="00224673">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 xml:space="preserve">Для реалізації регуляторного акта необхідні разові витрати з державного бюджету України та </w:t>
      </w:r>
      <w:r w:rsidRPr="00660F9E">
        <w:rPr>
          <w:bCs/>
          <w:noProof/>
          <w:color w:val="auto"/>
          <w:sz w:val="28"/>
          <w:szCs w:val="28"/>
          <w:lang w:val="uk-UA"/>
        </w:rPr>
        <w:t xml:space="preserve">незначні фінансові витрати банків на доопрацювання існуючого програмного забезпечення. </w:t>
      </w:r>
      <w:r w:rsidRPr="00660F9E">
        <w:rPr>
          <w:noProof/>
          <w:color w:val="auto"/>
          <w:sz w:val="28"/>
          <w:szCs w:val="28"/>
          <w:lang w:val="uk-UA"/>
        </w:rPr>
        <w:t xml:space="preserve">При цьому не потребуватиме додаткових витрат інших ресурсів. </w:t>
      </w:r>
      <w:r w:rsidR="00225820" w:rsidRPr="00660F9E">
        <w:rPr>
          <w:noProof/>
          <w:color w:val="auto"/>
          <w:sz w:val="28"/>
          <w:szCs w:val="28"/>
          <w:lang w:val="uk-UA"/>
        </w:rPr>
        <w:t>Надалі</w:t>
      </w:r>
      <w:r w:rsidRPr="00660F9E">
        <w:rPr>
          <w:noProof/>
          <w:color w:val="auto"/>
          <w:sz w:val="28"/>
          <w:szCs w:val="28"/>
          <w:lang w:val="uk-UA"/>
        </w:rPr>
        <w:t xml:space="preserve"> при застосуванні вимог наказу на практиці у такий самий спосіб мають зникнути постійні та систематичні витрати.</w:t>
      </w:r>
    </w:p>
    <w:p w:rsidR="00224673" w:rsidRPr="00660F9E" w:rsidRDefault="00224673" w:rsidP="00224673">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224673" w:rsidRPr="00660F9E" w:rsidRDefault="0048797F" w:rsidP="00224673">
      <w:pPr>
        <w:pStyle w:val="a3"/>
        <w:spacing w:before="0" w:beforeAutospacing="0" w:after="0" w:afterAutospacing="0"/>
        <w:ind w:firstLine="567"/>
        <w:jc w:val="both"/>
        <w:rPr>
          <w:noProof/>
          <w:color w:val="auto"/>
          <w:sz w:val="28"/>
          <w:szCs w:val="28"/>
          <w:lang w:val="uk-UA"/>
        </w:rPr>
      </w:pPr>
      <w:r w:rsidRPr="008B73AD">
        <w:rPr>
          <w:noProof/>
          <w:color w:val="auto"/>
          <w:sz w:val="28"/>
          <w:szCs w:val="28"/>
          <w:lang w:val="uk-UA"/>
        </w:rPr>
        <w:t>Розрахунок витрат суб’єктів малого підприємництва на виконанн</w:t>
      </w:r>
      <w:r w:rsidR="00D739E0" w:rsidRPr="008B73AD">
        <w:rPr>
          <w:noProof/>
          <w:color w:val="auto"/>
          <w:sz w:val="28"/>
          <w:szCs w:val="28"/>
          <w:lang w:val="uk-UA"/>
        </w:rPr>
        <w:t>я вимог регулювання (Додаток 4 «</w:t>
      </w:r>
      <w:r w:rsidRPr="008B73AD">
        <w:rPr>
          <w:noProof/>
          <w:color w:val="auto"/>
          <w:sz w:val="28"/>
          <w:szCs w:val="28"/>
          <w:lang w:val="uk-UA"/>
        </w:rPr>
        <w:t>Тест малого підприємництва</w:t>
      </w:r>
      <w:r w:rsidR="00D739E0" w:rsidRPr="008B73AD">
        <w:rPr>
          <w:noProof/>
          <w:color w:val="auto"/>
          <w:sz w:val="28"/>
          <w:szCs w:val="28"/>
          <w:lang w:val="uk-UA"/>
        </w:rPr>
        <w:t>»</w:t>
      </w:r>
      <w:r w:rsidRPr="008B73AD">
        <w:rPr>
          <w:noProof/>
          <w:color w:val="auto"/>
          <w:sz w:val="28"/>
          <w:szCs w:val="28"/>
          <w:lang w:val="uk-UA"/>
        </w:rPr>
        <w:t xml:space="preserve"> до Методики проведення аналізу впливу регуляторного акта), а також витрат </w:t>
      </w:r>
      <w:r w:rsidRPr="008B73AD">
        <w:rPr>
          <w:bCs/>
          <w:noProof/>
          <w:color w:val="auto"/>
          <w:sz w:val="28"/>
          <w:szCs w:val="28"/>
          <w:lang w:val="uk-UA"/>
        </w:rPr>
        <w:t>на одного суб’єкта господарювання великого і середнього підприємництва (Додаток 2</w:t>
      </w:r>
      <w:r w:rsidR="008B73AD" w:rsidRPr="008B73AD">
        <w:rPr>
          <w:bCs/>
          <w:noProof/>
          <w:color w:val="auto"/>
          <w:sz w:val="28"/>
          <w:szCs w:val="28"/>
          <w:lang w:val="uk-UA"/>
        </w:rPr>
        <w:t xml:space="preserve"> «</w:t>
      </w:r>
      <w:r w:rsidR="008B73AD" w:rsidRPr="008B73AD">
        <w:rPr>
          <w:rStyle w:val="rvts15"/>
          <w:bCs/>
          <w:sz w:val="28"/>
          <w:szCs w:val="28"/>
          <w:shd w:val="clear" w:color="auto" w:fill="FFFFFF"/>
          <w:lang w:val="uk-UA"/>
        </w:rPr>
        <w:t>Витрати на одного суб’єкта господарювання великого і середнього підприємництва, які виникають внаслідок дії регуляторного акта»</w:t>
      </w:r>
      <w:r w:rsidRPr="008B73AD">
        <w:rPr>
          <w:bCs/>
          <w:noProof/>
          <w:color w:val="auto"/>
          <w:sz w:val="28"/>
          <w:szCs w:val="28"/>
          <w:lang w:val="uk-UA"/>
        </w:rPr>
        <w:t xml:space="preserve"> до Методики проведення аналізу впливу регуляторного акта), </w:t>
      </w:r>
      <w:r w:rsidRPr="008B73AD">
        <w:rPr>
          <w:noProof/>
          <w:color w:val="auto"/>
          <w:sz w:val="28"/>
          <w:szCs w:val="28"/>
          <w:lang w:val="uk-UA"/>
        </w:rPr>
        <w:t>не проводився, оскільки не передбачається запровадження нового регулювання</w:t>
      </w:r>
      <w:r w:rsidR="00224673" w:rsidRPr="008B73AD">
        <w:rPr>
          <w:noProof/>
          <w:color w:val="auto"/>
          <w:sz w:val="28"/>
          <w:szCs w:val="28"/>
          <w:lang w:val="uk-UA"/>
        </w:rPr>
        <w:t xml:space="preserve">, а запропоновані зміни стосуються існуючого </w:t>
      </w:r>
      <w:r w:rsidRPr="008B73AD">
        <w:rPr>
          <w:noProof/>
          <w:color w:val="auto"/>
          <w:sz w:val="28"/>
          <w:szCs w:val="28"/>
          <w:lang w:val="uk-UA"/>
        </w:rPr>
        <w:t>на цей час порядку</w:t>
      </w:r>
      <w:r w:rsidR="00224673" w:rsidRPr="008B73AD">
        <w:rPr>
          <w:noProof/>
          <w:color w:val="auto"/>
          <w:sz w:val="28"/>
          <w:szCs w:val="28"/>
          <w:lang w:val="uk-UA"/>
        </w:rPr>
        <w:t xml:space="preserve">, але у новій електронній формі. </w:t>
      </w:r>
      <w:r w:rsidR="003D08E4" w:rsidRPr="008B73AD">
        <w:rPr>
          <w:noProof/>
          <w:color w:val="auto"/>
          <w:sz w:val="28"/>
          <w:szCs w:val="28"/>
          <w:lang w:val="uk-UA"/>
        </w:rPr>
        <w:t>О</w:t>
      </w:r>
      <w:r w:rsidR="00224673" w:rsidRPr="008B73AD">
        <w:rPr>
          <w:noProof/>
          <w:color w:val="auto"/>
          <w:sz w:val="28"/>
          <w:szCs w:val="28"/>
          <w:lang w:val="uk-UA"/>
        </w:rPr>
        <w:t xml:space="preserve">цінка вигод і витрат здійснена в рамках </w:t>
      </w:r>
      <w:r w:rsidR="00225820" w:rsidRPr="008B73AD">
        <w:rPr>
          <w:noProof/>
          <w:color w:val="auto"/>
          <w:sz w:val="28"/>
          <w:szCs w:val="28"/>
          <w:lang w:val="uk-UA"/>
        </w:rPr>
        <w:t>р</w:t>
      </w:r>
      <w:r w:rsidR="00224673" w:rsidRPr="008B73AD">
        <w:rPr>
          <w:noProof/>
          <w:color w:val="auto"/>
          <w:sz w:val="28"/>
          <w:szCs w:val="28"/>
          <w:lang w:val="uk-UA"/>
        </w:rPr>
        <w:t>озділу III</w:t>
      </w:r>
      <w:r w:rsidRPr="008B73AD">
        <w:rPr>
          <w:noProof/>
          <w:color w:val="auto"/>
          <w:sz w:val="28"/>
          <w:szCs w:val="28"/>
          <w:lang w:val="uk-UA"/>
        </w:rPr>
        <w:t xml:space="preserve"> </w:t>
      </w:r>
      <w:r w:rsidR="00D739E0" w:rsidRPr="008B73AD">
        <w:rPr>
          <w:noProof/>
          <w:color w:val="auto"/>
          <w:sz w:val="28"/>
          <w:szCs w:val="28"/>
          <w:lang w:val="uk-UA"/>
        </w:rPr>
        <w:t>«</w:t>
      </w:r>
      <w:r w:rsidR="00224673" w:rsidRPr="008B73AD">
        <w:rPr>
          <w:noProof/>
          <w:color w:val="auto"/>
          <w:sz w:val="28"/>
          <w:szCs w:val="28"/>
          <w:lang w:val="uk-UA"/>
        </w:rPr>
        <w:t>Визначення та оцінка альтернативних способів досягнення цілей</w:t>
      </w:r>
      <w:r w:rsidR="00D739E0" w:rsidRPr="008B73AD">
        <w:rPr>
          <w:noProof/>
          <w:color w:val="auto"/>
          <w:sz w:val="28"/>
          <w:szCs w:val="28"/>
          <w:lang w:val="uk-UA"/>
        </w:rPr>
        <w:t>»</w:t>
      </w:r>
      <w:r w:rsidRPr="008B73AD">
        <w:rPr>
          <w:noProof/>
          <w:color w:val="auto"/>
          <w:sz w:val="28"/>
          <w:szCs w:val="28"/>
          <w:lang w:val="uk-UA"/>
        </w:rPr>
        <w:t xml:space="preserve"> </w:t>
      </w:r>
      <w:r w:rsidR="00D739E0" w:rsidRPr="008B73AD">
        <w:rPr>
          <w:noProof/>
          <w:color w:val="auto"/>
          <w:sz w:val="28"/>
          <w:szCs w:val="28"/>
          <w:lang w:val="uk-UA"/>
        </w:rPr>
        <w:t xml:space="preserve">цього </w:t>
      </w:r>
      <w:r w:rsidRPr="008B73AD">
        <w:rPr>
          <w:noProof/>
          <w:color w:val="auto"/>
          <w:sz w:val="28"/>
          <w:szCs w:val="28"/>
          <w:lang w:val="uk-UA"/>
        </w:rPr>
        <w:t>АРВ</w:t>
      </w:r>
      <w:r w:rsidR="00224673" w:rsidRPr="008B73AD">
        <w:rPr>
          <w:noProof/>
          <w:color w:val="auto"/>
          <w:sz w:val="28"/>
          <w:szCs w:val="28"/>
          <w:lang w:val="uk-UA"/>
        </w:rPr>
        <w:t>.</w:t>
      </w:r>
    </w:p>
    <w:p w:rsidR="00224673" w:rsidRPr="00660F9E" w:rsidRDefault="00224673" w:rsidP="00224673">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Досягнення цілей не передбачає додаткових організаційних заходів.</w:t>
      </w:r>
    </w:p>
    <w:p w:rsidR="00224673" w:rsidRPr="00660F9E" w:rsidRDefault="00224673" w:rsidP="00224673">
      <w:pPr>
        <w:ind w:firstLine="567"/>
        <w:jc w:val="both"/>
      </w:pPr>
      <w:r w:rsidRPr="00660F9E">
        <w:rPr>
          <w:sz w:val="28"/>
          <w:szCs w:val="28"/>
        </w:rPr>
        <w:t>Можлива шкода у разі очікуваних наслідків дії акта не прогнозується.</w:t>
      </w:r>
    </w:p>
    <w:p w:rsidR="00224673" w:rsidRPr="00660F9E" w:rsidRDefault="00224673" w:rsidP="00224673">
      <w:pPr>
        <w:pStyle w:val="a3"/>
        <w:spacing w:before="0" w:beforeAutospacing="0" w:after="0" w:afterAutospacing="0"/>
        <w:ind w:firstLine="567"/>
        <w:jc w:val="both"/>
        <w:rPr>
          <w:noProof/>
          <w:color w:val="auto"/>
          <w:sz w:val="28"/>
          <w:szCs w:val="28"/>
          <w:lang w:val="uk-UA"/>
        </w:rPr>
      </w:pPr>
    </w:p>
    <w:p w:rsidR="008730CD" w:rsidRDefault="008730CD" w:rsidP="00224673">
      <w:pPr>
        <w:pStyle w:val="a3"/>
        <w:spacing w:before="0" w:beforeAutospacing="0" w:after="0" w:afterAutospacing="0"/>
        <w:ind w:firstLine="567"/>
        <w:jc w:val="both"/>
        <w:rPr>
          <w:b/>
          <w:noProof/>
          <w:color w:val="auto"/>
          <w:sz w:val="28"/>
          <w:szCs w:val="28"/>
          <w:lang w:val="uk-UA"/>
        </w:rPr>
      </w:pPr>
    </w:p>
    <w:p w:rsidR="00224673" w:rsidRPr="00660F9E" w:rsidRDefault="00224673" w:rsidP="00224673">
      <w:pPr>
        <w:pStyle w:val="a3"/>
        <w:spacing w:before="0" w:beforeAutospacing="0" w:after="0" w:afterAutospacing="0"/>
        <w:ind w:firstLine="567"/>
        <w:jc w:val="both"/>
        <w:rPr>
          <w:b/>
          <w:noProof/>
          <w:color w:val="auto"/>
          <w:sz w:val="28"/>
          <w:szCs w:val="28"/>
          <w:lang w:val="uk-UA"/>
        </w:rPr>
      </w:pPr>
      <w:r w:rsidRPr="00660F9E">
        <w:rPr>
          <w:b/>
          <w:noProof/>
          <w:color w:val="auto"/>
          <w:sz w:val="28"/>
          <w:szCs w:val="28"/>
          <w:lang w:val="uk-UA"/>
        </w:rPr>
        <w:lastRenderedPageBreak/>
        <w:t>VIІ. Обґрунтування запропонованого строку дії регуляторного акта</w:t>
      </w:r>
    </w:p>
    <w:p w:rsidR="00224673" w:rsidRPr="00660F9E" w:rsidRDefault="00224673" w:rsidP="00224673">
      <w:pPr>
        <w:pStyle w:val="a3"/>
        <w:spacing w:before="0" w:beforeAutospacing="0" w:after="0" w:afterAutospacing="0"/>
        <w:ind w:firstLine="567"/>
        <w:jc w:val="both"/>
        <w:rPr>
          <w:noProof/>
          <w:color w:val="auto"/>
          <w:sz w:val="16"/>
          <w:szCs w:val="16"/>
          <w:lang w:val="uk-UA"/>
        </w:rPr>
      </w:pPr>
    </w:p>
    <w:p w:rsidR="00224673" w:rsidRPr="00660F9E" w:rsidRDefault="00224673" w:rsidP="003D08E4">
      <w:pPr>
        <w:ind w:firstLine="567"/>
        <w:jc w:val="both"/>
        <w:rPr>
          <w:sz w:val="28"/>
          <w:szCs w:val="28"/>
        </w:rPr>
      </w:pPr>
      <w:r w:rsidRPr="00660F9E">
        <w:rPr>
          <w:sz w:val="28"/>
          <w:szCs w:val="28"/>
        </w:rPr>
        <w:t>Строк дії регуляторного акт</w:t>
      </w:r>
      <w:r w:rsidR="005F4C6D" w:rsidRPr="00660F9E">
        <w:rPr>
          <w:sz w:val="28"/>
          <w:szCs w:val="28"/>
        </w:rPr>
        <w:t>а</w:t>
      </w:r>
      <w:r w:rsidRPr="00660F9E">
        <w:rPr>
          <w:sz w:val="28"/>
          <w:szCs w:val="28"/>
        </w:rPr>
        <w:t xml:space="preserve"> запропоновано встановити на необмежений термін дії.</w:t>
      </w:r>
    </w:p>
    <w:p w:rsidR="00224673" w:rsidRPr="00660F9E" w:rsidRDefault="00224673" w:rsidP="003D08E4">
      <w:pPr>
        <w:ind w:firstLine="567"/>
        <w:jc w:val="both"/>
        <w:rPr>
          <w:sz w:val="28"/>
          <w:szCs w:val="28"/>
        </w:rPr>
      </w:pPr>
      <w:r w:rsidRPr="00660F9E">
        <w:rPr>
          <w:sz w:val="28"/>
          <w:szCs w:val="28"/>
        </w:rPr>
        <w:t>Зміна терміну дії акта можлива у разі зміни правових актів, на вимогах яких базується проект регуляторного акт</w:t>
      </w:r>
      <w:r w:rsidR="005F4C6D" w:rsidRPr="00660F9E">
        <w:rPr>
          <w:sz w:val="28"/>
          <w:szCs w:val="28"/>
        </w:rPr>
        <w:t>а</w:t>
      </w:r>
      <w:r w:rsidRPr="00660F9E">
        <w:rPr>
          <w:sz w:val="28"/>
          <w:szCs w:val="28"/>
        </w:rPr>
        <w:t>.</w:t>
      </w:r>
    </w:p>
    <w:p w:rsidR="00224673" w:rsidRPr="00660F9E" w:rsidRDefault="00224673" w:rsidP="00224673">
      <w:pPr>
        <w:pStyle w:val="a3"/>
        <w:spacing w:before="120" w:beforeAutospacing="0" w:after="0" w:afterAutospacing="0"/>
        <w:ind w:firstLine="567"/>
        <w:jc w:val="both"/>
        <w:rPr>
          <w:noProof/>
          <w:color w:val="auto"/>
          <w:sz w:val="28"/>
          <w:szCs w:val="28"/>
          <w:lang w:val="uk-UA"/>
        </w:rPr>
      </w:pPr>
      <w:r w:rsidRPr="00660F9E">
        <w:rPr>
          <w:noProof/>
          <w:color w:val="auto"/>
          <w:sz w:val="28"/>
          <w:szCs w:val="28"/>
          <w:lang w:val="uk-UA"/>
        </w:rPr>
        <w:t>Термін набрання чинності регуляторним актом – відповідно до законодавства після його офіційного оприлюднення.</w:t>
      </w:r>
    </w:p>
    <w:p w:rsidR="00224673" w:rsidRPr="00660F9E" w:rsidRDefault="00224673" w:rsidP="00224673">
      <w:pPr>
        <w:pStyle w:val="a3"/>
        <w:spacing w:before="0" w:beforeAutospacing="0" w:after="0" w:afterAutospacing="0"/>
        <w:ind w:firstLine="567"/>
        <w:jc w:val="both"/>
        <w:rPr>
          <w:b/>
          <w:noProof/>
          <w:color w:val="auto"/>
          <w:sz w:val="28"/>
          <w:szCs w:val="28"/>
          <w:lang w:val="uk-UA"/>
        </w:rPr>
      </w:pPr>
    </w:p>
    <w:p w:rsidR="00224673" w:rsidRPr="00660F9E" w:rsidRDefault="00224673" w:rsidP="00224673">
      <w:pPr>
        <w:pStyle w:val="a3"/>
        <w:spacing w:before="0" w:beforeAutospacing="0" w:after="0" w:afterAutospacing="0"/>
        <w:ind w:firstLine="567"/>
        <w:jc w:val="both"/>
        <w:rPr>
          <w:b/>
          <w:noProof/>
          <w:color w:val="auto"/>
          <w:sz w:val="28"/>
          <w:szCs w:val="28"/>
          <w:lang w:val="uk-UA"/>
        </w:rPr>
      </w:pPr>
      <w:r w:rsidRPr="00660F9E">
        <w:rPr>
          <w:b/>
          <w:noProof/>
          <w:color w:val="auto"/>
          <w:sz w:val="28"/>
          <w:szCs w:val="28"/>
          <w:lang w:val="uk-UA"/>
        </w:rPr>
        <w:t>VIIІ. Визначення показників результативності дії регуляторного акта</w:t>
      </w:r>
    </w:p>
    <w:p w:rsidR="00224673" w:rsidRPr="00660F9E" w:rsidRDefault="00224673" w:rsidP="00224673">
      <w:pPr>
        <w:pStyle w:val="a3"/>
        <w:spacing w:before="0" w:beforeAutospacing="0" w:after="0" w:afterAutospacing="0"/>
        <w:ind w:firstLine="567"/>
        <w:jc w:val="both"/>
        <w:rPr>
          <w:b/>
          <w:noProof/>
          <w:color w:val="auto"/>
          <w:sz w:val="16"/>
          <w:szCs w:val="16"/>
          <w:lang w:val="uk-UA"/>
        </w:rPr>
      </w:pPr>
    </w:p>
    <w:p w:rsidR="00224673" w:rsidRPr="008B73AD" w:rsidRDefault="00224673" w:rsidP="00224673">
      <w:pPr>
        <w:pStyle w:val="22"/>
        <w:spacing w:after="0" w:line="240" w:lineRule="auto"/>
        <w:ind w:left="0" w:firstLine="567"/>
        <w:jc w:val="both"/>
        <w:rPr>
          <w:spacing w:val="-1"/>
          <w:sz w:val="28"/>
          <w:szCs w:val="28"/>
        </w:rPr>
      </w:pPr>
      <w:r w:rsidRPr="00660F9E">
        <w:rPr>
          <w:bCs/>
          <w:sz w:val="28"/>
          <w:szCs w:val="28"/>
        </w:rPr>
        <w:t>Р</w:t>
      </w:r>
      <w:r w:rsidRPr="00660F9E">
        <w:rPr>
          <w:sz w:val="28"/>
          <w:szCs w:val="28"/>
        </w:rPr>
        <w:t xml:space="preserve">озмір надходжень податків і зборів (обов’язкових платежів) до Зведеного бюджету України, пов’язаних з дією регуляторного акта, </w:t>
      </w:r>
      <w:r w:rsidRPr="00660F9E">
        <w:rPr>
          <w:spacing w:val="-1"/>
          <w:sz w:val="28"/>
          <w:szCs w:val="28"/>
        </w:rPr>
        <w:t xml:space="preserve">не обраховується. Загальний розмір надходжень визначається </w:t>
      </w:r>
      <w:r w:rsidRPr="00660F9E">
        <w:rPr>
          <w:sz w:val="28"/>
          <w:szCs w:val="28"/>
        </w:rPr>
        <w:t xml:space="preserve">станом на звітну дату за даними </w:t>
      </w:r>
      <w:r w:rsidR="005F4C6D" w:rsidRPr="008B73AD">
        <w:rPr>
          <w:sz w:val="28"/>
          <w:szCs w:val="28"/>
        </w:rPr>
        <w:t>Казначейства</w:t>
      </w:r>
      <w:r w:rsidRPr="008B73AD">
        <w:rPr>
          <w:sz w:val="28"/>
          <w:szCs w:val="28"/>
        </w:rPr>
        <w:t>.</w:t>
      </w:r>
    </w:p>
    <w:p w:rsidR="008B73AD" w:rsidRDefault="00224673" w:rsidP="00224673">
      <w:pPr>
        <w:ind w:firstLine="567"/>
        <w:jc w:val="both"/>
        <w:rPr>
          <w:sz w:val="28"/>
          <w:szCs w:val="28"/>
        </w:rPr>
      </w:pPr>
      <w:r w:rsidRPr="008B73AD">
        <w:rPr>
          <w:sz w:val="28"/>
          <w:szCs w:val="28"/>
        </w:rPr>
        <w:t>Кількість</w:t>
      </w:r>
      <w:r w:rsidRPr="00660F9E">
        <w:rPr>
          <w:sz w:val="28"/>
          <w:szCs w:val="28"/>
        </w:rPr>
        <w:t xml:space="preserve"> органів ДФС, органів Казначейства, </w:t>
      </w:r>
      <w:r w:rsidRPr="00660F9E">
        <w:rPr>
          <w:bCs/>
          <w:sz w:val="28"/>
          <w:szCs w:val="28"/>
        </w:rPr>
        <w:t>на які поширюватиметься дія регуляторного акта,</w:t>
      </w:r>
      <w:r w:rsidRPr="00660F9E">
        <w:rPr>
          <w:sz w:val="28"/>
          <w:szCs w:val="28"/>
        </w:rPr>
        <w:t xml:space="preserve"> згідно з організаційною структурою таких органів</w:t>
      </w:r>
      <w:r w:rsidR="008B73AD">
        <w:rPr>
          <w:sz w:val="28"/>
          <w:szCs w:val="28"/>
        </w:rPr>
        <w:t xml:space="preserve"> </w:t>
      </w:r>
      <w:r w:rsidRPr="00660F9E">
        <w:rPr>
          <w:sz w:val="28"/>
          <w:szCs w:val="28"/>
        </w:rPr>
        <w:t>розміщено на офіційн</w:t>
      </w:r>
      <w:r w:rsidR="008B73AD">
        <w:rPr>
          <w:sz w:val="28"/>
          <w:szCs w:val="28"/>
        </w:rPr>
        <w:t>их</w:t>
      </w:r>
      <w:r w:rsidRPr="00660F9E">
        <w:rPr>
          <w:sz w:val="28"/>
          <w:szCs w:val="28"/>
        </w:rPr>
        <w:t xml:space="preserve"> веб-портал</w:t>
      </w:r>
      <w:r w:rsidR="008B73AD">
        <w:rPr>
          <w:sz w:val="28"/>
          <w:szCs w:val="28"/>
        </w:rPr>
        <w:t>ах:</w:t>
      </w:r>
    </w:p>
    <w:p w:rsidR="008B73AD" w:rsidRDefault="00224673" w:rsidP="008B73AD">
      <w:pPr>
        <w:jc w:val="both"/>
        <w:rPr>
          <w:sz w:val="28"/>
          <w:szCs w:val="28"/>
        </w:rPr>
      </w:pPr>
      <w:r w:rsidRPr="00660F9E">
        <w:rPr>
          <w:sz w:val="28"/>
          <w:szCs w:val="28"/>
        </w:rPr>
        <w:t>ДФС</w:t>
      </w:r>
      <w:r w:rsidR="008B73AD">
        <w:rPr>
          <w:sz w:val="28"/>
          <w:szCs w:val="28"/>
        </w:rPr>
        <w:t xml:space="preserve"> </w:t>
      </w:r>
      <w:r w:rsidRPr="00660F9E">
        <w:rPr>
          <w:sz w:val="28"/>
          <w:szCs w:val="28"/>
        </w:rPr>
        <w:t>(</w:t>
      </w:r>
      <w:hyperlink r:id="rId9" w:history="1">
        <w:r w:rsidRPr="00660F9E">
          <w:rPr>
            <w:rStyle w:val="afc"/>
            <w:color w:val="auto"/>
            <w:sz w:val="28"/>
            <w:szCs w:val="28"/>
          </w:rPr>
          <w:t>http://sfs.gov.ua/pro-sfs-ukraini/struktura-/teritorialni-organi/</w:t>
        </w:r>
      </w:hyperlink>
      <w:r w:rsidRPr="00660F9E">
        <w:rPr>
          <w:sz w:val="28"/>
          <w:szCs w:val="28"/>
        </w:rPr>
        <w:t>)</w:t>
      </w:r>
      <w:r w:rsidR="008B73AD">
        <w:rPr>
          <w:sz w:val="28"/>
          <w:szCs w:val="28"/>
        </w:rPr>
        <w:t>;</w:t>
      </w:r>
    </w:p>
    <w:p w:rsidR="008B73AD" w:rsidRDefault="00224673" w:rsidP="008B73AD">
      <w:pPr>
        <w:jc w:val="both"/>
        <w:rPr>
          <w:sz w:val="28"/>
          <w:szCs w:val="28"/>
        </w:rPr>
      </w:pPr>
      <w:r w:rsidRPr="00660F9E">
        <w:rPr>
          <w:sz w:val="28"/>
          <w:szCs w:val="28"/>
        </w:rPr>
        <w:t xml:space="preserve">Казначейства </w:t>
      </w:r>
      <w:hyperlink r:id="rId10" w:anchor="territorial-bodies" w:history="1">
        <w:r w:rsidRPr="00660F9E">
          <w:rPr>
            <w:rStyle w:val="afc"/>
            <w:color w:val="auto"/>
            <w:sz w:val="28"/>
            <w:szCs w:val="28"/>
          </w:rPr>
          <w:t>https://www.treasury.gov.ua/ua#territorial-bodies</w:t>
        </w:r>
      </w:hyperlink>
      <w:r w:rsidRPr="00660F9E">
        <w:rPr>
          <w:sz w:val="28"/>
          <w:szCs w:val="28"/>
        </w:rPr>
        <w:t>)</w:t>
      </w:r>
      <w:r w:rsidR="008B73AD">
        <w:rPr>
          <w:sz w:val="28"/>
          <w:szCs w:val="28"/>
        </w:rPr>
        <w:t>.</w:t>
      </w:r>
    </w:p>
    <w:p w:rsidR="00224673" w:rsidRPr="008B73AD" w:rsidRDefault="008B73AD" w:rsidP="00224673">
      <w:pPr>
        <w:ind w:firstLine="567"/>
        <w:jc w:val="both"/>
        <w:rPr>
          <w:bCs/>
          <w:sz w:val="28"/>
          <w:szCs w:val="28"/>
          <w:u w:val="single"/>
        </w:rPr>
      </w:pPr>
      <w:r w:rsidRPr="008B73AD">
        <w:rPr>
          <w:sz w:val="28"/>
          <w:szCs w:val="28"/>
        </w:rPr>
        <w:t>Кількість</w:t>
      </w:r>
      <w:r w:rsidR="00224673" w:rsidRPr="00660F9E">
        <w:rPr>
          <w:sz w:val="28"/>
          <w:szCs w:val="28"/>
        </w:rPr>
        <w:t xml:space="preserve"> банків України та їх філій</w:t>
      </w:r>
      <w:r w:rsidR="00224673" w:rsidRPr="00660F9E">
        <w:rPr>
          <w:bCs/>
          <w:sz w:val="28"/>
          <w:szCs w:val="28"/>
        </w:rPr>
        <w:t xml:space="preserve"> розміще</w:t>
      </w:r>
      <w:r>
        <w:rPr>
          <w:bCs/>
          <w:sz w:val="28"/>
          <w:szCs w:val="28"/>
        </w:rPr>
        <w:t>но</w:t>
      </w:r>
      <w:r w:rsidR="00224673" w:rsidRPr="00660F9E">
        <w:rPr>
          <w:bCs/>
          <w:sz w:val="28"/>
          <w:szCs w:val="28"/>
        </w:rPr>
        <w:t xml:space="preserve"> в інтернет-представництві Н</w:t>
      </w:r>
      <w:r w:rsidR="005F4C6D" w:rsidRPr="00660F9E">
        <w:rPr>
          <w:bCs/>
          <w:sz w:val="28"/>
          <w:szCs w:val="28"/>
        </w:rPr>
        <w:t>аціонального банку</w:t>
      </w:r>
      <w:r w:rsidR="00660F9E" w:rsidRPr="00660F9E">
        <w:rPr>
          <w:sz w:val="28"/>
          <w:szCs w:val="28"/>
        </w:rPr>
        <w:t xml:space="preserve"> України</w:t>
      </w:r>
      <w:r w:rsidR="00224673" w:rsidRPr="00660F9E">
        <w:rPr>
          <w:bCs/>
          <w:sz w:val="28"/>
          <w:szCs w:val="28"/>
        </w:rPr>
        <w:t xml:space="preserve"> </w:t>
      </w:r>
      <w:r w:rsidR="00224673" w:rsidRPr="008B73AD">
        <w:rPr>
          <w:sz w:val="28"/>
          <w:szCs w:val="28"/>
          <w:u w:val="single"/>
        </w:rPr>
        <w:t>(https://bank.gov.ua)</w:t>
      </w:r>
      <w:r w:rsidR="00224673" w:rsidRPr="008B73AD">
        <w:rPr>
          <w:bCs/>
          <w:sz w:val="28"/>
          <w:szCs w:val="28"/>
          <w:u w:val="single"/>
        </w:rPr>
        <w:t>.</w:t>
      </w:r>
    </w:p>
    <w:p w:rsidR="00224673" w:rsidRPr="00660F9E" w:rsidRDefault="00224673" w:rsidP="00224673">
      <w:pPr>
        <w:ind w:firstLine="567"/>
        <w:jc w:val="both"/>
        <w:rPr>
          <w:sz w:val="28"/>
          <w:szCs w:val="28"/>
        </w:rPr>
      </w:pPr>
      <w:r w:rsidRPr="00660F9E">
        <w:rPr>
          <w:sz w:val="28"/>
          <w:szCs w:val="28"/>
        </w:rPr>
        <w:t xml:space="preserve">Кількість платників податків, що обліковуються в органах ДФС, пов’язаних з дією регуляторного акта, </w:t>
      </w:r>
      <w:r w:rsidRPr="00660F9E">
        <w:rPr>
          <w:spacing w:val="-1"/>
          <w:sz w:val="28"/>
          <w:szCs w:val="28"/>
        </w:rPr>
        <w:t xml:space="preserve">не обраховується. Загальна кількість платників – юридичних осіб, що здійснюють діяльність, визначається </w:t>
      </w:r>
      <w:r w:rsidRPr="00660F9E">
        <w:rPr>
          <w:sz w:val="28"/>
          <w:szCs w:val="28"/>
        </w:rPr>
        <w:t>станом на звітну дату відповідно до звіту «Про стан обліку платників».</w:t>
      </w:r>
    </w:p>
    <w:p w:rsidR="00224673" w:rsidRPr="00660F9E" w:rsidRDefault="00224673" w:rsidP="00224673">
      <w:pPr>
        <w:ind w:firstLine="567"/>
        <w:jc w:val="both"/>
        <w:rPr>
          <w:sz w:val="28"/>
          <w:szCs w:val="28"/>
        </w:rPr>
      </w:pPr>
      <w:r w:rsidRPr="00660F9E">
        <w:rPr>
          <w:sz w:val="28"/>
          <w:szCs w:val="28"/>
        </w:rPr>
        <w:t>Розмір коштів і час, що витрачатимуться платниками податків, у зв’язку з виконанням вимог акта не зміниться. У той же час передбачається зменшення витрат коштів і часу сторін інформаційної взаємодії.</w:t>
      </w:r>
    </w:p>
    <w:p w:rsidR="00224673" w:rsidRDefault="00224673" w:rsidP="00224673">
      <w:pPr>
        <w:ind w:firstLine="567"/>
        <w:jc w:val="both"/>
        <w:rPr>
          <w:sz w:val="28"/>
          <w:szCs w:val="28"/>
        </w:rPr>
      </w:pPr>
      <w:r w:rsidRPr="00660F9E">
        <w:rPr>
          <w:sz w:val="28"/>
          <w:szCs w:val="28"/>
        </w:rPr>
        <w:t>Рівень поінформованості суб’єктів господарювання щодо основних положень регуляторного акта є високим. Проект акта розміщено в мережі Інтернет на офіційному веб-порталі Міністерства фінансів України для громадського обговорення. Після державної реєстрації регуляторний акт буде оприлюднен</w:t>
      </w:r>
      <w:r w:rsidR="0011440B" w:rsidRPr="00660F9E">
        <w:rPr>
          <w:sz w:val="28"/>
          <w:szCs w:val="28"/>
        </w:rPr>
        <w:t>о</w:t>
      </w:r>
      <w:r w:rsidRPr="00660F9E">
        <w:rPr>
          <w:sz w:val="28"/>
          <w:szCs w:val="28"/>
        </w:rPr>
        <w:t xml:space="preserve"> в Офіційному віснику України, на офіційному веб-порталі Верховної Ради України (www.rada.gov.ua), на офіційному веб-порталі ДФС (www.sfs.gov.ua), на сторінці Інформаційно-аналітичного центру «ЛІГА» (</w:t>
      </w:r>
      <w:hyperlink r:id="rId11" w:history="1">
        <w:r w:rsidR="00FA5050" w:rsidRPr="00660F9E">
          <w:rPr>
            <w:rStyle w:val="afc"/>
            <w:color w:val="auto"/>
            <w:sz w:val="28"/>
            <w:szCs w:val="28"/>
          </w:rPr>
          <w:t>www.ligazakon.ua</w:t>
        </w:r>
      </w:hyperlink>
      <w:r w:rsidRPr="00660F9E">
        <w:rPr>
          <w:sz w:val="28"/>
          <w:szCs w:val="28"/>
        </w:rPr>
        <w:t>).</w:t>
      </w:r>
    </w:p>
    <w:p w:rsidR="00E81BDE" w:rsidRPr="00E81BDE" w:rsidRDefault="00E81BDE" w:rsidP="00E81BDE">
      <w:pPr>
        <w:ind w:firstLine="567"/>
        <w:jc w:val="both"/>
        <w:rPr>
          <w:noProof/>
          <w:sz w:val="28"/>
          <w:szCs w:val="28"/>
        </w:rPr>
      </w:pPr>
      <w:r w:rsidRPr="00E81BDE">
        <w:rPr>
          <w:noProof/>
          <w:sz w:val="28"/>
          <w:szCs w:val="28"/>
        </w:rPr>
        <w:t>Якісними показниками результативності регуляторного акта є:</w:t>
      </w:r>
    </w:p>
    <w:p w:rsidR="00E81BDE" w:rsidRPr="00E81BDE" w:rsidRDefault="00E81BDE" w:rsidP="00E81BDE">
      <w:pPr>
        <w:tabs>
          <w:tab w:val="left" w:pos="993"/>
        </w:tabs>
        <w:ind w:firstLine="567"/>
        <w:jc w:val="both"/>
        <w:rPr>
          <w:noProof/>
          <w:color w:val="000000"/>
          <w:sz w:val="28"/>
          <w:szCs w:val="28"/>
        </w:rPr>
      </w:pPr>
      <w:bookmarkStart w:id="1" w:name="n36"/>
      <w:bookmarkStart w:id="2" w:name="n37"/>
      <w:bookmarkStart w:id="3" w:name="n38"/>
      <w:bookmarkEnd w:id="1"/>
      <w:bookmarkEnd w:id="2"/>
      <w:bookmarkEnd w:id="3"/>
      <w:r w:rsidRPr="00E81BDE">
        <w:rPr>
          <w:noProof/>
          <w:sz w:val="28"/>
          <w:szCs w:val="28"/>
        </w:rPr>
        <w:t xml:space="preserve">1) загальна кількість основних платників – юридичних осіб, </w:t>
      </w:r>
      <w:r w:rsidRPr="00E81BDE">
        <w:rPr>
          <w:noProof/>
          <w:color w:val="000000"/>
          <w:sz w:val="28"/>
          <w:szCs w:val="28"/>
        </w:rPr>
        <w:t xml:space="preserve">які здійснюють діяльність станом </w:t>
      </w:r>
      <w:r w:rsidRPr="00E81BDE">
        <w:rPr>
          <w:noProof/>
          <w:sz w:val="28"/>
          <w:szCs w:val="28"/>
        </w:rPr>
        <w:t>на відповідну дату</w:t>
      </w:r>
      <w:r w:rsidRPr="00E81BDE">
        <w:rPr>
          <w:noProof/>
          <w:color w:val="000000"/>
          <w:sz w:val="28"/>
          <w:szCs w:val="28"/>
        </w:rPr>
        <w:t>;</w:t>
      </w:r>
    </w:p>
    <w:p w:rsidR="00E81BDE" w:rsidRPr="00E81BDE" w:rsidRDefault="00E81BDE" w:rsidP="00E81BDE">
      <w:pPr>
        <w:ind w:firstLine="567"/>
        <w:jc w:val="both"/>
        <w:rPr>
          <w:noProof/>
          <w:sz w:val="28"/>
          <w:szCs w:val="28"/>
        </w:rPr>
      </w:pPr>
      <w:r w:rsidRPr="00E81BDE">
        <w:rPr>
          <w:noProof/>
          <w:sz w:val="28"/>
          <w:szCs w:val="28"/>
        </w:rPr>
        <w:t>2) сума податкового боргу</w:t>
      </w:r>
      <w:r w:rsidRPr="00E81BDE">
        <w:rPr>
          <w:noProof/>
          <w:color w:val="000000"/>
          <w:sz w:val="28"/>
          <w:szCs w:val="28"/>
        </w:rPr>
        <w:t xml:space="preserve"> платників податків – </w:t>
      </w:r>
      <w:r w:rsidRPr="00E81BDE">
        <w:rPr>
          <w:noProof/>
          <w:sz w:val="28"/>
          <w:szCs w:val="28"/>
        </w:rPr>
        <w:t>юридичних осіб до зведеного бюджету станом на відповідну дату;</w:t>
      </w:r>
    </w:p>
    <w:p w:rsidR="00E81BDE" w:rsidRPr="00E81BDE" w:rsidRDefault="00E81BDE" w:rsidP="00E81BDE">
      <w:pPr>
        <w:ind w:firstLine="567"/>
        <w:jc w:val="both"/>
        <w:rPr>
          <w:noProof/>
          <w:color w:val="000000"/>
          <w:sz w:val="28"/>
          <w:szCs w:val="28"/>
        </w:rPr>
      </w:pPr>
      <w:r w:rsidRPr="00E81BDE">
        <w:rPr>
          <w:noProof/>
          <w:sz w:val="28"/>
          <w:szCs w:val="28"/>
        </w:rPr>
        <w:t>3) з</w:t>
      </w:r>
      <w:r w:rsidRPr="00E81BDE">
        <w:rPr>
          <w:noProof/>
          <w:color w:val="000000"/>
          <w:sz w:val="28"/>
          <w:szCs w:val="28"/>
        </w:rPr>
        <w:t>агальна</w:t>
      </w:r>
      <w:r w:rsidRPr="00E81BDE">
        <w:rPr>
          <w:noProof/>
          <w:sz w:val="28"/>
          <w:szCs w:val="28"/>
        </w:rPr>
        <w:t xml:space="preserve"> кількість юридичних осіб – </w:t>
      </w:r>
      <w:r w:rsidRPr="00E81BDE">
        <w:rPr>
          <w:noProof/>
          <w:color w:val="000000"/>
          <w:sz w:val="28"/>
          <w:szCs w:val="28"/>
        </w:rPr>
        <w:t>платників податків</w:t>
      </w:r>
      <w:r w:rsidRPr="00E81BDE">
        <w:rPr>
          <w:noProof/>
          <w:sz w:val="28"/>
          <w:szCs w:val="28"/>
        </w:rPr>
        <w:t>, що мають податковий борг,</w:t>
      </w:r>
      <w:r w:rsidRPr="00E81BDE">
        <w:rPr>
          <w:noProof/>
          <w:color w:val="000000"/>
          <w:sz w:val="28"/>
          <w:szCs w:val="28"/>
        </w:rPr>
        <w:t xml:space="preserve"> </w:t>
      </w:r>
      <w:r w:rsidRPr="00E81BDE">
        <w:rPr>
          <w:noProof/>
          <w:sz w:val="28"/>
          <w:szCs w:val="28"/>
        </w:rPr>
        <w:t>станом на відповідну дату;</w:t>
      </w:r>
    </w:p>
    <w:p w:rsidR="00E81BDE" w:rsidRPr="00E81BDE" w:rsidRDefault="00E81BDE" w:rsidP="00E81BDE">
      <w:pPr>
        <w:ind w:firstLine="567"/>
        <w:jc w:val="both"/>
        <w:rPr>
          <w:noProof/>
          <w:sz w:val="28"/>
          <w:szCs w:val="28"/>
        </w:rPr>
      </w:pPr>
      <w:r w:rsidRPr="00E81BDE">
        <w:rPr>
          <w:noProof/>
          <w:sz w:val="28"/>
          <w:szCs w:val="28"/>
        </w:rPr>
        <w:lastRenderedPageBreak/>
        <w:t>4) загальна сума податкового боргу платників податків – юридичних осіб до зведеного бюджету, стягнутого з рахунків платників у банках станом на відповідну дату;</w:t>
      </w:r>
    </w:p>
    <w:p w:rsidR="00E81BDE" w:rsidRPr="00E81BDE" w:rsidRDefault="00E81BDE" w:rsidP="00E81BDE">
      <w:pPr>
        <w:ind w:firstLine="567"/>
        <w:jc w:val="both"/>
        <w:rPr>
          <w:noProof/>
          <w:color w:val="000000"/>
          <w:sz w:val="28"/>
          <w:szCs w:val="28"/>
        </w:rPr>
      </w:pPr>
      <w:r w:rsidRPr="00E81BDE">
        <w:rPr>
          <w:noProof/>
          <w:color w:val="000000"/>
          <w:sz w:val="28"/>
          <w:szCs w:val="28"/>
        </w:rPr>
        <w:t>5) кількість: органів ДФС, органів Казначейства, банків;</w:t>
      </w:r>
    </w:p>
    <w:p w:rsidR="00E81BDE" w:rsidRPr="00E81BDE" w:rsidRDefault="00E81BDE" w:rsidP="00E81BDE">
      <w:pPr>
        <w:ind w:firstLine="567"/>
        <w:jc w:val="both"/>
        <w:rPr>
          <w:noProof/>
          <w:color w:val="000000"/>
          <w:sz w:val="28"/>
          <w:szCs w:val="28"/>
        </w:rPr>
      </w:pPr>
      <w:r w:rsidRPr="00E81BDE">
        <w:rPr>
          <w:noProof/>
          <w:color w:val="000000"/>
          <w:sz w:val="28"/>
          <w:szCs w:val="28"/>
        </w:rPr>
        <w:t>6) кількість клієнтів банків – юридичних осіб;</w:t>
      </w:r>
    </w:p>
    <w:p w:rsidR="00E81BDE" w:rsidRPr="00E81BDE" w:rsidRDefault="00E81BDE" w:rsidP="00E81BDE">
      <w:pPr>
        <w:ind w:firstLine="567"/>
        <w:jc w:val="both"/>
        <w:rPr>
          <w:noProof/>
          <w:sz w:val="28"/>
          <w:szCs w:val="28"/>
        </w:rPr>
      </w:pPr>
      <w:r w:rsidRPr="00E81BDE">
        <w:rPr>
          <w:noProof/>
          <w:color w:val="000000"/>
          <w:sz w:val="28"/>
          <w:szCs w:val="28"/>
        </w:rPr>
        <w:t>8) кількість відкритих клієнтами банків – юридичними особами поточних рахунків в національній валюті.</w:t>
      </w:r>
    </w:p>
    <w:p w:rsidR="00E81BDE" w:rsidRPr="00660F9E" w:rsidRDefault="00E81BDE" w:rsidP="00224673">
      <w:pPr>
        <w:ind w:firstLine="567"/>
        <w:jc w:val="both"/>
        <w:rPr>
          <w:sz w:val="28"/>
          <w:szCs w:val="28"/>
        </w:rPr>
      </w:pPr>
    </w:p>
    <w:p w:rsidR="00224673" w:rsidRPr="00660F9E" w:rsidRDefault="00224673" w:rsidP="00224673">
      <w:pPr>
        <w:pStyle w:val="a3"/>
        <w:spacing w:before="0" w:beforeAutospacing="0" w:after="0" w:afterAutospacing="0"/>
        <w:ind w:firstLine="567"/>
        <w:jc w:val="both"/>
        <w:rPr>
          <w:b/>
          <w:noProof/>
          <w:color w:val="auto"/>
          <w:sz w:val="28"/>
          <w:szCs w:val="28"/>
          <w:lang w:val="uk-UA"/>
        </w:rPr>
      </w:pPr>
      <w:r w:rsidRPr="00660F9E">
        <w:rPr>
          <w:b/>
          <w:noProof/>
          <w:color w:val="auto"/>
          <w:sz w:val="28"/>
          <w:szCs w:val="28"/>
          <w:lang w:val="uk-UA"/>
        </w:rPr>
        <w:t>IX. Визначення заходів, за допомогою яких здійснюватиметься відстеження результативності дії регуляторного акта</w:t>
      </w:r>
    </w:p>
    <w:p w:rsidR="00224673" w:rsidRPr="00660F9E" w:rsidRDefault="00224673" w:rsidP="00224673">
      <w:pPr>
        <w:ind w:firstLine="709"/>
        <w:jc w:val="both"/>
        <w:rPr>
          <w:sz w:val="16"/>
          <w:szCs w:val="16"/>
        </w:rPr>
      </w:pPr>
    </w:p>
    <w:p w:rsidR="00224673" w:rsidRPr="00660F9E" w:rsidRDefault="0011440B" w:rsidP="00C4219A">
      <w:pPr>
        <w:pStyle w:val="a3"/>
        <w:spacing w:before="0" w:beforeAutospacing="0" w:after="0" w:afterAutospacing="0"/>
        <w:ind w:firstLine="567"/>
        <w:jc w:val="both"/>
        <w:rPr>
          <w:noProof/>
          <w:color w:val="auto"/>
          <w:sz w:val="28"/>
          <w:szCs w:val="28"/>
          <w:highlight w:val="yellow"/>
          <w:lang w:val="uk-UA"/>
        </w:rPr>
      </w:pPr>
      <w:r w:rsidRPr="00660F9E">
        <w:rPr>
          <w:noProof/>
          <w:color w:val="auto"/>
          <w:sz w:val="28"/>
          <w:szCs w:val="28"/>
          <w:lang w:val="uk-UA"/>
        </w:rPr>
        <w:t>Щод</w:t>
      </w:r>
      <w:r w:rsidR="00224673" w:rsidRPr="00660F9E">
        <w:rPr>
          <w:noProof/>
          <w:color w:val="auto"/>
          <w:sz w:val="28"/>
          <w:szCs w:val="28"/>
          <w:lang w:val="uk-UA"/>
        </w:rPr>
        <w:t xml:space="preserve">о цього регуляторного акта </w:t>
      </w:r>
      <w:r w:rsidRPr="00660F9E">
        <w:rPr>
          <w:noProof/>
          <w:color w:val="auto"/>
          <w:sz w:val="28"/>
          <w:szCs w:val="28"/>
          <w:lang w:val="uk-UA"/>
        </w:rPr>
        <w:t>має</w:t>
      </w:r>
      <w:r w:rsidR="00224673" w:rsidRPr="00660F9E">
        <w:rPr>
          <w:noProof/>
          <w:color w:val="auto"/>
          <w:sz w:val="28"/>
          <w:szCs w:val="28"/>
          <w:lang w:val="uk-UA"/>
        </w:rPr>
        <w:t xml:space="preserve"> послідовно здійснюватися базове, повторне та періодичне відстеження його результативності</w:t>
      </w:r>
      <w:r w:rsidR="00E72185">
        <w:rPr>
          <w:noProof/>
          <w:color w:val="auto"/>
          <w:sz w:val="28"/>
          <w:szCs w:val="28"/>
          <w:lang w:val="uk-UA"/>
        </w:rPr>
        <w:t>, а саме</w:t>
      </w:r>
      <w:r w:rsidR="00224673" w:rsidRPr="00660F9E">
        <w:rPr>
          <w:noProof/>
          <w:color w:val="auto"/>
          <w:sz w:val="28"/>
          <w:szCs w:val="28"/>
          <w:lang w:val="uk-UA"/>
        </w:rPr>
        <w:t>:</w:t>
      </w:r>
    </w:p>
    <w:p w:rsidR="00224673" w:rsidRPr="00660F9E" w:rsidRDefault="00224673" w:rsidP="00C4219A">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базове відстеження результативності дії нормативно-правового акт</w:t>
      </w:r>
      <w:r w:rsidR="0011440B" w:rsidRPr="00660F9E">
        <w:rPr>
          <w:noProof/>
          <w:color w:val="auto"/>
          <w:sz w:val="28"/>
          <w:szCs w:val="28"/>
          <w:lang w:val="uk-UA"/>
        </w:rPr>
        <w:t>а</w:t>
      </w:r>
      <w:r w:rsidRPr="00660F9E">
        <w:rPr>
          <w:noProof/>
          <w:color w:val="auto"/>
          <w:sz w:val="28"/>
          <w:szCs w:val="28"/>
          <w:lang w:val="uk-UA"/>
        </w:rPr>
        <w:t xml:space="preserve"> буде проведено через один рік з дня набрання чинності регуляторним актом;</w:t>
      </w:r>
    </w:p>
    <w:p w:rsidR="00224673" w:rsidRPr="00660F9E" w:rsidRDefault="00224673" w:rsidP="00C4219A">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повторне відстеження результативності – через два роки з дня набрання ним чинності, але не пізніше двох років з дня набрання чинності цим актом;</w:t>
      </w:r>
    </w:p>
    <w:p w:rsidR="00224673" w:rsidRPr="00660F9E" w:rsidRDefault="00224673" w:rsidP="00C4219A">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періодичне відстеження результативності – один раз на кожні три роки</w:t>
      </w:r>
      <w:r w:rsidR="0011440B" w:rsidRPr="00660F9E">
        <w:rPr>
          <w:noProof/>
          <w:color w:val="auto"/>
          <w:sz w:val="28"/>
          <w:szCs w:val="28"/>
          <w:lang w:val="uk-UA"/>
        </w:rPr>
        <w:t>,</w:t>
      </w:r>
      <w:r w:rsidRPr="00660F9E">
        <w:rPr>
          <w:noProof/>
          <w:color w:val="auto"/>
          <w:sz w:val="28"/>
          <w:szCs w:val="28"/>
          <w:lang w:val="uk-UA"/>
        </w:rPr>
        <w:t xml:space="preserve"> починаючи з дня закінчення заходів з повторного відстеження результативності цього акта.</w:t>
      </w:r>
    </w:p>
    <w:p w:rsidR="00224673" w:rsidRPr="00660F9E" w:rsidRDefault="00224673" w:rsidP="00C4219A">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У разі виявлення неврегульованих та проблемних питань, які передбачається встановлювати за допомогою аналізу якісних та кількісних показників цього акта, буде розглядатись можливість їх виправлення шляхом внесення відповідних змін.</w:t>
      </w:r>
    </w:p>
    <w:p w:rsidR="00224673" w:rsidRPr="00660F9E" w:rsidRDefault="00224673" w:rsidP="00C4219A">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 xml:space="preserve">Виконання заходів з відстеження результативності дії регуляторного акта забезпечується </w:t>
      </w:r>
      <w:r w:rsidR="00C4219A" w:rsidRPr="00660F9E">
        <w:rPr>
          <w:noProof/>
          <w:color w:val="auto"/>
          <w:sz w:val="28"/>
          <w:szCs w:val="28"/>
          <w:lang w:val="uk-UA"/>
        </w:rPr>
        <w:t xml:space="preserve">Міністерством фінансів України спільно з </w:t>
      </w:r>
      <w:r w:rsidRPr="00660F9E">
        <w:rPr>
          <w:noProof/>
          <w:color w:val="auto"/>
          <w:sz w:val="28"/>
          <w:szCs w:val="28"/>
          <w:lang w:val="uk-UA"/>
        </w:rPr>
        <w:t>ДФС.</w:t>
      </w:r>
    </w:p>
    <w:p w:rsidR="00224673" w:rsidRPr="00660F9E" w:rsidRDefault="00224673" w:rsidP="00224673">
      <w:pPr>
        <w:pStyle w:val="a3"/>
        <w:spacing w:before="0" w:beforeAutospacing="0" w:after="0" w:afterAutospacing="0"/>
        <w:ind w:firstLine="567"/>
        <w:jc w:val="both"/>
        <w:rPr>
          <w:noProof/>
          <w:color w:val="auto"/>
          <w:sz w:val="28"/>
          <w:szCs w:val="28"/>
          <w:lang w:val="uk-UA"/>
        </w:rPr>
      </w:pPr>
      <w:r w:rsidRPr="00660F9E">
        <w:rPr>
          <w:noProof/>
          <w:color w:val="auto"/>
          <w:sz w:val="28"/>
          <w:szCs w:val="28"/>
          <w:lang w:val="uk-UA"/>
        </w:rPr>
        <w:t xml:space="preserve">Вид даних, за допомогою яких здійснюватиметься відстеження </w:t>
      </w:r>
      <w:r w:rsidRPr="008B73AD">
        <w:rPr>
          <w:noProof/>
          <w:color w:val="auto"/>
          <w:sz w:val="28"/>
          <w:szCs w:val="28"/>
          <w:lang w:val="uk-UA"/>
        </w:rPr>
        <w:t>результативності</w:t>
      </w:r>
      <w:r w:rsidR="0011440B" w:rsidRPr="008B73AD">
        <w:rPr>
          <w:noProof/>
          <w:color w:val="auto"/>
          <w:sz w:val="28"/>
          <w:szCs w:val="28"/>
          <w:lang w:val="uk-UA"/>
        </w:rPr>
        <w:t>,</w:t>
      </w:r>
      <w:r w:rsidRPr="008B73AD">
        <w:rPr>
          <w:noProof/>
          <w:color w:val="auto"/>
          <w:sz w:val="28"/>
          <w:szCs w:val="28"/>
          <w:lang w:val="uk-UA"/>
        </w:rPr>
        <w:t xml:space="preserve"> – статистичні.</w:t>
      </w:r>
    </w:p>
    <w:p w:rsidR="00224673" w:rsidRPr="00660F9E" w:rsidRDefault="00224673" w:rsidP="00224673">
      <w:pPr>
        <w:pStyle w:val="a3"/>
        <w:spacing w:before="0" w:beforeAutospacing="0" w:after="0" w:afterAutospacing="0"/>
        <w:ind w:firstLine="567"/>
        <w:jc w:val="both"/>
        <w:rPr>
          <w:noProof/>
          <w:color w:val="auto"/>
          <w:sz w:val="28"/>
          <w:szCs w:val="28"/>
          <w:lang w:val="uk-UA"/>
        </w:rPr>
      </w:pPr>
    </w:p>
    <w:p w:rsidR="00224673" w:rsidRPr="00660F9E" w:rsidRDefault="00224673" w:rsidP="00224673">
      <w:pPr>
        <w:pStyle w:val="a3"/>
        <w:spacing w:before="0" w:beforeAutospacing="0" w:after="0" w:afterAutospacing="0"/>
        <w:ind w:firstLine="567"/>
        <w:jc w:val="both"/>
        <w:rPr>
          <w:noProof/>
          <w:color w:val="auto"/>
          <w:sz w:val="28"/>
          <w:szCs w:val="28"/>
          <w:lang w:val="uk-UA"/>
        </w:rPr>
      </w:pPr>
    </w:p>
    <w:tbl>
      <w:tblPr>
        <w:tblW w:w="9747" w:type="dxa"/>
        <w:tblLook w:val="01E0" w:firstRow="1" w:lastRow="1" w:firstColumn="1" w:lastColumn="1" w:noHBand="0" w:noVBand="0"/>
      </w:tblPr>
      <w:tblGrid>
        <w:gridCol w:w="4503"/>
        <w:gridCol w:w="5244"/>
      </w:tblGrid>
      <w:tr w:rsidR="00660F9E" w:rsidRPr="00660F9E" w:rsidTr="003718FF">
        <w:tc>
          <w:tcPr>
            <w:tcW w:w="4503" w:type="dxa"/>
            <w:shd w:val="clear" w:color="auto" w:fill="auto"/>
          </w:tcPr>
          <w:p w:rsidR="00224673" w:rsidRPr="00660F9E" w:rsidRDefault="00224673" w:rsidP="003718FF">
            <w:pPr>
              <w:pStyle w:val="a3"/>
              <w:spacing w:before="60" w:beforeAutospacing="0" w:after="60" w:afterAutospacing="0"/>
              <w:jc w:val="both"/>
              <w:rPr>
                <w:noProof/>
                <w:color w:val="auto"/>
                <w:sz w:val="28"/>
                <w:szCs w:val="28"/>
                <w:lang w:val="uk-UA"/>
              </w:rPr>
            </w:pPr>
            <w:r w:rsidRPr="00660F9E">
              <w:rPr>
                <w:b/>
                <w:noProof/>
                <w:color w:val="auto"/>
                <w:sz w:val="28"/>
                <w:szCs w:val="28"/>
                <w:lang w:val="uk-UA"/>
              </w:rPr>
              <w:t>Міністр фінансів України</w:t>
            </w:r>
          </w:p>
        </w:tc>
        <w:tc>
          <w:tcPr>
            <w:tcW w:w="5244" w:type="dxa"/>
            <w:shd w:val="clear" w:color="auto" w:fill="auto"/>
          </w:tcPr>
          <w:p w:rsidR="00224673" w:rsidRPr="00660F9E" w:rsidRDefault="00224673" w:rsidP="003718FF">
            <w:pPr>
              <w:pStyle w:val="a3"/>
              <w:spacing w:before="60" w:beforeAutospacing="0" w:after="60" w:afterAutospacing="0"/>
              <w:jc w:val="right"/>
              <w:rPr>
                <w:noProof/>
                <w:color w:val="auto"/>
                <w:sz w:val="28"/>
                <w:szCs w:val="28"/>
                <w:lang w:val="uk-UA"/>
              </w:rPr>
            </w:pPr>
            <w:r w:rsidRPr="00660F9E">
              <w:rPr>
                <w:b/>
                <w:noProof/>
                <w:color w:val="auto"/>
                <w:sz w:val="28"/>
                <w:szCs w:val="28"/>
                <w:lang w:val="uk-UA"/>
              </w:rPr>
              <w:t>О. МАРКАРОВА</w:t>
            </w:r>
          </w:p>
        </w:tc>
      </w:tr>
      <w:tr w:rsidR="00660F9E" w:rsidRPr="00660F9E" w:rsidTr="003718FF">
        <w:tc>
          <w:tcPr>
            <w:tcW w:w="4503" w:type="dxa"/>
            <w:shd w:val="clear" w:color="auto" w:fill="auto"/>
          </w:tcPr>
          <w:p w:rsidR="00224673" w:rsidRPr="00660F9E" w:rsidRDefault="00224673" w:rsidP="003718FF">
            <w:pPr>
              <w:pStyle w:val="a3"/>
              <w:spacing w:before="60" w:beforeAutospacing="0" w:after="60" w:afterAutospacing="0"/>
              <w:jc w:val="both"/>
              <w:rPr>
                <w:b/>
                <w:noProof/>
                <w:color w:val="auto"/>
                <w:sz w:val="28"/>
                <w:szCs w:val="28"/>
                <w:lang w:val="uk-UA"/>
              </w:rPr>
            </w:pPr>
          </w:p>
        </w:tc>
        <w:tc>
          <w:tcPr>
            <w:tcW w:w="5244" w:type="dxa"/>
            <w:shd w:val="clear" w:color="auto" w:fill="auto"/>
          </w:tcPr>
          <w:p w:rsidR="00224673" w:rsidRPr="00660F9E" w:rsidRDefault="00224673" w:rsidP="003718FF">
            <w:pPr>
              <w:pStyle w:val="a3"/>
              <w:spacing w:before="60" w:beforeAutospacing="0" w:after="60" w:afterAutospacing="0"/>
              <w:jc w:val="both"/>
              <w:rPr>
                <w:b/>
                <w:noProof/>
                <w:color w:val="auto"/>
                <w:sz w:val="28"/>
                <w:szCs w:val="28"/>
                <w:lang w:val="uk-UA"/>
              </w:rPr>
            </w:pPr>
          </w:p>
        </w:tc>
      </w:tr>
      <w:tr w:rsidR="00224673" w:rsidRPr="00660F9E" w:rsidTr="003718FF">
        <w:tc>
          <w:tcPr>
            <w:tcW w:w="4503" w:type="dxa"/>
            <w:shd w:val="clear" w:color="auto" w:fill="auto"/>
          </w:tcPr>
          <w:p w:rsidR="00224673" w:rsidRPr="00660F9E" w:rsidRDefault="00224673" w:rsidP="003718FF">
            <w:pPr>
              <w:pStyle w:val="a3"/>
              <w:spacing w:before="60" w:beforeAutospacing="0" w:after="60" w:afterAutospacing="0"/>
              <w:jc w:val="both"/>
              <w:rPr>
                <w:noProof/>
                <w:color w:val="auto"/>
                <w:sz w:val="28"/>
                <w:szCs w:val="28"/>
                <w:lang w:val="uk-UA"/>
              </w:rPr>
            </w:pPr>
            <w:r w:rsidRPr="00660F9E">
              <w:rPr>
                <w:noProof/>
                <w:color w:val="auto"/>
                <w:sz w:val="28"/>
                <w:szCs w:val="28"/>
                <w:lang w:val="uk-UA"/>
              </w:rPr>
              <w:t>«___» _________ 2019 р.</w:t>
            </w:r>
          </w:p>
        </w:tc>
        <w:tc>
          <w:tcPr>
            <w:tcW w:w="5244" w:type="dxa"/>
            <w:shd w:val="clear" w:color="auto" w:fill="auto"/>
          </w:tcPr>
          <w:p w:rsidR="00224673" w:rsidRPr="00660F9E" w:rsidRDefault="00224673" w:rsidP="003718FF">
            <w:pPr>
              <w:pStyle w:val="a3"/>
              <w:spacing w:before="60" w:beforeAutospacing="0" w:after="60" w:afterAutospacing="0"/>
              <w:jc w:val="both"/>
              <w:rPr>
                <w:noProof/>
                <w:color w:val="auto"/>
                <w:sz w:val="28"/>
                <w:szCs w:val="28"/>
                <w:lang w:val="uk-UA"/>
              </w:rPr>
            </w:pPr>
          </w:p>
        </w:tc>
      </w:tr>
    </w:tbl>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p w:rsidR="00224673" w:rsidRPr="00660F9E" w:rsidRDefault="00224673" w:rsidP="00224673">
      <w:pPr>
        <w:ind w:firstLine="567"/>
        <w:jc w:val="both"/>
        <w:rPr>
          <w:sz w:val="28"/>
          <w:szCs w:val="28"/>
        </w:rPr>
      </w:pPr>
    </w:p>
    <w:sectPr w:rsidR="00224673" w:rsidRPr="00660F9E" w:rsidSect="00F11E64">
      <w:headerReference w:type="even" r:id="rId12"/>
      <w:headerReference w:type="default" r:id="rId13"/>
      <w:pgSz w:w="11906" w:h="16838"/>
      <w:pgMar w:top="1135" w:right="566"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A8" w:rsidRDefault="002304A8">
      <w:r>
        <w:separator/>
      </w:r>
    </w:p>
  </w:endnote>
  <w:endnote w:type="continuationSeparator" w:id="0">
    <w:p w:rsidR="002304A8" w:rsidRDefault="0023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A8" w:rsidRDefault="002304A8">
      <w:r>
        <w:separator/>
      </w:r>
    </w:p>
  </w:footnote>
  <w:footnote w:type="continuationSeparator" w:id="0">
    <w:p w:rsidR="002304A8" w:rsidRDefault="00230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36" w:rsidRDefault="006F138A" w:rsidP="00A209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F7936" w:rsidRDefault="002304A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36" w:rsidRPr="00F11E64" w:rsidRDefault="006F138A" w:rsidP="008C343C">
    <w:pPr>
      <w:pStyle w:val="a7"/>
      <w:framePr w:wrap="around" w:vAnchor="text" w:hAnchor="page" w:x="5981" w:y="-208"/>
      <w:rPr>
        <w:rStyle w:val="a9"/>
        <w:sz w:val="20"/>
        <w:szCs w:val="20"/>
      </w:rPr>
    </w:pPr>
    <w:r w:rsidRPr="00F11E64">
      <w:rPr>
        <w:rStyle w:val="a9"/>
        <w:sz w:val="20"/>
        <w:szCs w:val="20"/>
      </w:rPr>
      <w:fldChar w:fldCharType="begin"/>
    </w:r>
    <w:r w:rsidRPr="00F11E64">
      <w:rPr>
        <w:rStyle w:val="a9"/>
        <w:sz w:val="20"/>
        <w:szCs w:val="20"/>
      </w:rPr>
      <w:instrText xml:space="preserve">PAGE  </w:instrText>
    </w:r>
    <w:r w:rsidRPr="00F11E64">
      <w:rPr>
        <w:rStyle w:val="a9"/>
        <w:sz w:val="20"/>
        <w:szCs w:val="20"/>
      </w:rPr>
      <w:fldChar w:fldCharType="separate"/>
    </w:r>
    <w:r w:rsidR="007B3D6C">
      <w:rPr>
        <w:rStyle w:val="a9"/>
        <w:noProof/>
        <w:sz w:val="20"/>
        <w:szCs w:val="20"/>
      </w:rPr>
      <w:t>11</w:t>
    </w:r>
    <w:r w:rsidRPr="00F11E64">
      <w:rPr>
        <w:rStyle w:val="a9"/>
        <w:sz w:val="20"/>
        <w:szCs w:val="20"/>
      </w:rPr>
      <w:fldChar w:fldCharType="end"/>
    </w:r>
  </w:p>
  <w:p w:rsidR="007F7936" w:rsidRDefault="002304A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68B"/>
    <w:multiLevelType w:val="hybridMultilevel"/>
    <w:tmpl w:val="C1B27C8E"/>
    <w:lvl w:ilvl="0" w:tplc="6F70799C">
      <w:start w:val="1"/>
      <w:numFmt w:val="decimal"/>
      <w:lvlText w:val="%1."/>
      <w:lvlJc w:val="left"/>
      <w:pPr>
        <w:tabs>
          <w:tab w:val="num" w:pos="1365"/>
        </w:tabs>
        <w:ind w:left="1365" w:hanging="82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26F0622"/>
    <w:multiLevelType w:val="hybridMultilevel"/>
    <w:tmpl w:val="CA26B582"/>
    <w:lvl w:ilvl="0" w:tplc="3398AC12">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 w15:restartNumberingAfterBreak="0">
    <w:nsid w:val="09E13EF0"/>
    <w:multiLevelType w:val="hybridMultilevel"/>
    <w:tmpl w:val="9CD8A75A"/>
    <w:lvl w:ilvl="0" w:tplc="F6ACA60C">
      <w:start w:val="1"/>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D0D5096"/>
    <w:multiLevelType w:val="hybridMultilevel"/>
    <w:tmpl w:val="83CC99A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659184B"/>
    <w:multiLevelType w:val="hybridMultilevel"/>
    <w:tmpl w:val="47723E04"/>
    <w:lvl w:ilvl="0" w:tplc="F6ACA60C">
      <w:start w:val="1"/>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AEA328F"/>
    <w:multiLevelType w:val="hybridMultilevel"/>
    <w:tmpl w:val="0218CC94"/>
    <w:lvl w:ilvl="0" w:tplc="C0947D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DF56AC6"/>
    <w:multiLevelType w:val="hybridMultilevel"/>
    <w:tmpl w:val="5E86CA28"/>
    <w:lvl w:ilvl="0" w:tplc="D69217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FCB745E"/>
    <w:multiLevelType w:val="hybridMultilevel"/>
    <w:tmpl w:val="F050DE92"/>
    <w:lvl w:ilvl="0" w:tplc="22127430">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10A2646"/>
    <w:multiLevelType w:val="hybridMultilevel"/>
    <w:tmpl w:val="1464A4CC"/>
    <w:lvl w:ilvl="0" w:tplc="6AD6F3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7B44BA4"/>
    <w:multiLevelType w:val="hybridMultilevel"/>
    <w:tmpl w:val="42869B94"/>
    <w:lvl w:ilvl="0" w:tplc="F7B2EAF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FEA6552"/>
    <w:multiLevelType w:val="hybridMultilevel"/>
    <w:tmpl w:val="D15EBB7E"/>
    <w:lvl w:ilvl="0" w:tplc="A8B6F1F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9AD4FFF"/>
    <w:multiLevelType w:val="hybridMultilevel"/>
    <w:tmpl w:val="4CF0F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D14E7A"/>
    <w:multiLevelType w:val="hybridMultilevel"/>
    <w:tmpl w:val="A914034E"/>
    <w:lvl w:ilvl="0" w:tplc="EF366A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9CD09EE"/>
    <w:multiLevelType w:val="multilevel"/>
    <w:tmpl w:val="83CC99A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C795116"/>
    <w:multiLevelType w:val="hybridMultilevel"/>
    <w:tmpl w:val="1032A58C"/>
    <w:lvl w:ilvl="0" w:tplc="81E4A4B4">
      <w:start w:val="1"/>
      <w:numFmt w:val="bullet"/>
      <w:lvlText w:val=""/>
      <w:lvlJc w:val="left"/>
      <w:pPr>
        <w:tabs>
          <w:tab w:val="num" w:pos="720"/>
        </w:tabs>
        <w:ind w:left="720" w:hanging="360"/>
      </w:pPr>
      <w:rPr>
        <w:rFonts w:ascii="Wingdings" w:hAnsi="Wingdings" w:hint="default"/>
      </w:rPr>
    </w:lvl>
    <w:lvl w:ilvl="1" w:tplc="3ABCB49C" w:tentative="1">
      <w:start w:val="1"/>
      <w:numFmt w:val="bullet"/>
      <w:lvlText w:val=""/>
      <w:lvlJc w:val="left"/>
      <w:pPr>
        <w:tabs>
          <w:tab w:val="num" w:pos="1440"/>
        </w:tabs>
        <w:ind w:left="1440" w:hanging="360"/>
      </w:pPr>
      <w:rPr>
        <w:rFonts w:ascii="Wingdings" w:hAnsi="Wingdings" w:hint="default"/>
      </w:rPr>
    </w:lvl>
    <w:lvl w:ilvl="2" w:tplc="384AC38C" w:tentative="1">
      <w:start w:val="1"/>
      <w:numFmt w:val="bullet"/>
      <w:lvlText w:val=""/>
      <w:lvlJc w:val="left"/>
      <w:pPr>
        <w:tabs>
          <w:tab w:val="num" w:pos="2160"/>
        </w:tabs>
        <w:ind w:left="2160" w:hanging="360"/>
      </w:pPr>
      <w:rPr>
        <w:rFonts w:ascii="Wingdings" w:hAnsi="Wingdings" w:hint="default"/>
      </w:rPr>
    </w:lvl>
    <w:lvl w:ilvl="3" w:tplc="89761B94" w:tentative="1">
      <w:start w:val="1"/>
      <w:numFmt w:val="bullet"/>
      <w:lvlText w:val=""/>
      <w:lvlJc w:val="left"/>
      <w:pPr>
        <w:tabs>
          <w:tab w:val="num" w:pos="2880"/>
        </w:tabs>
        <w:ind w:left="2880" w:hanging="360"/>
      </w:pPr>
      <w:rPr>
        <w:rFonts w:ascii="Wingdings" w:hAnsi="Wingdings" w:hint="default"/>
      </w:rPr>
    </w:lvl>
    <w:lvl w:ilvl="4" w:tplc="7C6A7D8E" w:tentative="1">
      <w:start w:val="1"/>
      <w:numFmt w:val="bullet"/>
      <w:lvlText w:val=""/>
      <w:lvlJc w:val="left"/>
      <w:pPr>
        <w:tabs>
          <w:tab w:val="num" w:pos="3600"/>
        </w:tabs>
        <w:ind w:left="3600" w:hanging="360"/>
      </w:pPr>
      <w:rPr>
        <w:rFonts w:ascii="Wingdings" w:hAnsi="Wingdings" w:hint="default"/>
      </w:rPr>
    </w:lvl>
    <w:lvl w:ilvl="5" w:tplc="27487DF6" w:tentative="1">
      <w:start w:val="1"/>
      <w:numFmt w:val="bullet"/>
      <w:lvlText w:val=""/>
      <w:lvlJc w:val="left"/>
      <w:pPr>
        <w:tabs>
          <w:tab w:val="num" w:pos="4320"/>
        </w:tabs>
        <w:ind w:left="4320" w:hanging="360"/>
      </w:pPr>
      <w:rPr>
        <w:rFonts w:ascii="Wingdings" w:hAnsi="Wingdings" w:hint="default"/>
      </w:rPr>
    </w:lvl>
    <w:lvl w:ilvl="6" w:tplc="B3F088F2" w:tentative="1">
      <w:start w:val="1"/>
      <w:numFmt w:val="bullet"/>
      <w:lvlText w:val=""/>
      <w:lvlJc w:val="left"/>
      <w:pPr>
        <w:tabs>
          <w:tab w:val="num" w:pos="5040"/>
        </w:tabs>
        <w:ind w:left="5040" w:hanging="360"/>
      </w:pPr>
      <w:rPr>
        <w:rFonts w:ascii="Wingdings" w:hAnsi="Wingdings" w:hint="default"/>
      </w:rPr>
    </w:lvl>
    <w:lvl w:ilvl="7" w:tplc="4CC6DA28" w:tentative="1">
      <w:start w:val="1"/>
      <w:numFmt w:val="bullet"/>
      <w:lvlText w:val=""/>
      <w:lvlJc w:val="left"/>
      <w:pPr>
        <w:tabs>
          <w:tab w:val="num" w:pos="5760"/>
        </w:tabs>
        <w:ind w:left="5760" w:hanging="360"/>
      </w:pPr>
      <w:rPr>
        <w:rFonts w:ascii="Wingdings" w:hAnsi="Wingdings" w:hint="default"/>
      </w:rPr>
    </w:lvl>
    <w:lvl w:ilvl="8" w:tplc="F1D295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7E72A4"/>
    <w:multiLevelType w:val="hybridMultilevel"/>
    <w:tmpl w:val="95F67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7E7355"/>
    <w:multiLevelType w:val="hybridMultilevel"/>
    <w:tmpl w:val="C548DB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4A3F96"/>
    <w:multiLevelType w:val="hybridMultilevel"/>
    <w:tmpl w:val="2758D8C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11701C8"/>
    <w:multiLevelType w:val="multilevel"/>
    <w:tmpl w:val="2758D8C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F26C64"/>
    <w:multiLevelType w:val="hybridMultilevel"/>
    <w:tmpl w:val="FF0610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6D84430F"/>
    <w:multiLevelType w:val="hybridMultilevel"/>
    <w:tmpl w:val="D898DA44"/>
    <w:lvl w:ilvl="0" w:tplc="AE64B8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DCF7FD6"/>
    <w:multiLevelType w:val="hybridMultilevel"/>
    <w:tmpl w:val="C3F89A92"/>
    <w:lvl w:ilvl="0" w:tplc="67360276">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754358AF"/>
    <w:multiLevelType w:val="hybridMultilevel"/>
    <w:tmpl w:val="119E4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
  </w:num>
  <w:num w:numId="4">
    <w:abstractNumId w:val="12"/>
  </w:num>
  <w:num w:numId="5">
    <w:abstractNumId w:val="6"/>
  </w:num>
  <w:num w:numId="6">
    <w:abstractNumId w:val="15"/>
  </w:num>
  <w:num w:numId="7">
    <w:abstractNumId w:val="11"/>
  </w:num>
  <w:num w:numId="8">
    <w:abstractNumId w:val="20"/>
  </w:num>
  <w:num w:numId="9">
    <w:abstractNumId w:val="3"/>
  </w:num>
  <w:num w:numId="10">
    <w:abstractNumId w:val="13"/>
  </w:num>
  <w:num w:numId="11">
    <w:abstractNumId w:val="4"/>
  </w:num>
  <w:num w:numId="12">
    <w:abstractNumId w:val="17"/>
  </w:num>
  <w:num w:numId="13">
    <w:abstractNumId w:val="18"/>
  </w:num>
  <w:num w:numId="14">
    <w:abstractNumId w:val="2"/>
  </w:num>
  <w:num w:numId="15">
    <w:abstractNumId w:val="10"/>
  </w:num>
  <w:num w:numId="16">
    <w:abstractNumId w:val="7"/>
  </w:num>
  <w:num w:numId="17">
    <w:abstractNumId w:val="21"/>
  </w:num>
  <w:num w:numId="18">
    <w:abstractNumId w:val="8"/>
  </w:num>
  <w:num w:numId="19">
    <w:abstractNumId w:val="5"/>
  </w:num>
  <w:num w:numId="20">
    <w:abstractNumId w:val="9"/>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73"/>
    <w:rsid w:val="00071302"/>
    <w:rsid w:val="00100C55"/>
    <w:rsid w:val="0011440B"/>
    <w:rsid w:val="00141ABB"/>
    <w:rsid w:val="00183EF2"/>
    <w:rsid w:val="001C455B"/>
    <w:rsid w:val="00207D79"/>
    <w:rsid w:val="00224673"/>
    <w:rsid w:val="00225820"/>
    <w:rsid w:val="002304A8"/>
    <w:rsid w:val="00353B96"/>
    <w:rsid w:val="003A07B5"/>
    <w:rsid w:val="003D08E4"/>
    <w:rsid w:val="0048797F"/>
    <w:rsid w:val="00570FFD"/>
    <w:rsid w:val="005D4D8F"/>
    <w:rsid w:val="005F4C6D"/>
    <w:rsid w:val="00637C6E"/>
    <w:rsid w:val="00660F9E"/>
    <w:rsid w:val="006F138A"/>
    <w:rsid w:val="00736B51"/>
    <w:rsid w:val="007B3D6C"/>
    <w:rsid w:val="00817E98"/>
    <w:rsid w:val="008730CD"/>
    <w:rsid w:val="00892A96"/>
    <w:rsid w:val="008B14AB"/>
    <w:rsid w:val="008B73AD"/>
    <w:rsid w:val="0096042E"/>
    <w:rsid w:val="00997EEC"/>
    <w:rsid w:val="009D5553"/>
    <w:rsid w:val="00AD795D"/>
    <w:rsid w:val="00B217A9"/>
    <w:rsid w:val="00B317DA"/>
    <w:rsid w:val="00BB14EB"/>
    <w:rsid w:val="00C4219A"/>
    <w:rsid w:val="00C73870"/>
    <w:rsid w:val="00D25FD4"/>
    <w:rsid w:val="00D35580"/>
    <w:rsid w:val="00D739E0"/>
    <w:rsid w:val="00E26992"/>
    <w:rsid w:val="00E72185"/>
    <w:rsid w:val="00E81BDE"/>
    <w:rsid w:val="00ED51E4"/>
    <w:rsid w:val="00EE7C48"/>
    <w:rsid w:val="00F077E8"/>
    <w:rsid w:val="00F11E64"/>
    <w:rsid w:val="00FA5050"/>
    <w:rsid w:val="00FB22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C19D8-05DA-49D9-9B9B-7A5FFF71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673"/>
    <w:pPr>
      <w:keepNext/>
      <w:jc w:val="both"/>
      <w:outlineLvl w:val="0"/>
    </w:pPr>
    <w:rPr>
      <w:sz w:val="28"/>
      <w:szCs w:val="20"/>
    </w:rPr>
  </w:style>
  <w:style w:type="paragraph" w:styleId="2">
    <w:name w:val="heading 2"/>
    <w:basedOn w:val="a"/>
    <w:next w:val="a"/>
    <w:link w:val="20"/>
    <w:qFormat/>
    <w:rsid w:val="0022467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24673"/>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673"/>
    <w:rPr>
      <w:rFonts w:ascii="Times New Roman" w:eastAsia="Times New Roman" w:hAnsi="Times New Roman" w:cs="Times New Roman"/>
      <w:noProof/>
      <w:sz w:val="28"/>
      <w:szCs w:val="20"/>
      <w:lang w:eastAsia="ru-RU"/>
    </w:rPr>
  </w:style>
  <w:style w:type="character" w:customStyle="1" w:styleId="20">
    <w:name w:val="Заголовок 2 Знак"/>
    <w:basedOn w:val="a0"/>
    <w:link w:val="2"/>
    <w:rsid w:val="00224673"/>
    <w:rPr>
      <w:rFonts w:ascii="Arial" w:eastAsia="Times New Roman" w:hAnsi="Arial" w:cs="Arial"/>
      <w:b/>
      <w:bCs/>
      <w:i/>
      <w:iCs/>
      <w:noProof/>
      <w:sz w:val="28"/>
      <w:szCs w:val="28"/>
      <w:lang w:eastAsia="ru-RU"/>
    </w:rPr>
  </w:style>
  <w:style w:type="character" w:customStyle="1" w:styleId="30">
    <w:name w:val="Заголовок 3 Знак"/>
    <w:basedOn w:val="a0"/>
    <w:link w:val="3"/>
    <w:rsid w:val="00224673"/>
    <w:rPr>
      <w:rFonts w:ascii="Arial" w:eastAsia="Times New Roman" w:hAnsi="Arial" w:cs="Times New Roman"/>
      <w:b/>
      <w:bCs/>
      <w:sz w:val="26"/>
      <w:szCs w:val="26"/>
      <w:lang w:val="x-none" w:eastAsia="ru-RU"/>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4"/>
    <w:rsid w:val="00224673"/>
    <w:pPr>
      <w:spacing w:before="100" w:beforeAutospacing="1" w:after="100" w:afterAutospacing="1"/>
    </w:pPr>
    <w:rPr>
      <w:color w:val="000000"/>
      <w:lang w:val="ru-RU"/>
    </w:rPr>
  </w:style>
  <w:style w:type="paragraph" w:customStyle="1" w:styleId="a5">
    <w:name w:val="Знак Знак Знак Знак Знак Знак Знак Знак"/>
    <w:basedOn w:val="a"/>
    <w:rsid w:val="00224673"/>
    <w:rPr>
      <w:rFonts w:ascii="Verdana" w:hAnsi="Verdana"/>
      <w:sz w:val="20"/>
      <w:szCs w:val="20"/>
      <w:lang w:val="en-US" w:eastAsia="en-US"/>
    </w:rPr>
  </w:style>
  <w:style w:type="paragraph" w:customStyle="1" w:styleId="a6">
    <w:name w:val="Стандартний"/>
    <w:basedOn w:val="a"/>
    <w:rsid w:val="00224673"/>
    <w:pPr>
      <w:spacing w:before="120"/>
      <w:ind w:firstLine="720"/>
      <w:jc w:val="both"/>
    </w:pPr>
    <w:rPr>
      <w:color w:val="0000FF"/>
      <w:sz w:val="28"/>
      <w:szCs w:val="28"/>
    </w:rPr>
  </w:style>
  <w:style w:type="paragraph" w:customStyle="1" w:styleId="CharCharCharChar">
    <w:name w:val="Char Знак Знак Char Знак Знак Char Знак Знак Char Знак Знак"/>
    <w:basedOn w:val="a"/>
    <w:rsid w:val="00224673"/>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w:basedOn w:val="a"/>
    <w:rsid w:val="00224673"/>
    <w:rPr>
      <w:rFonts w:ascii="Verdana" w:hAnsi="Verdana"/>
      <w:sz w:val="20"/>
      <w:szCs w:val="20"/>
      <w:lang w:val="en-US" w:eastAsia="en-US"/>
    </w:rPr>
  </w:style>
  <w:style w:type="paragraph" w:styleId="a7">
    <w:name w:val="header"/>
    <w:basedOn w:val="a"/>
    <w:link w:val="a8"/>
    <w:rsid w:val="00224673"/>
    <w:pPr>
      <w:tabs>
        <w:tab w:val="center" w:pos="4677"/>
        <w:tab w:val="right" w:pos="9355"/>
      </w:tabs>
    </w:pPr>
  </w:style>
  <w:style w:type="character" w:customStyle="1" w:styleId="a8">
    <w:name w:val="Верхній колонтитул Знак"/>
    <w:basedOn w:val="a0"/>
    <w:link w:val="a7"/>
    <w:rsid w:val="00224673"/>
    <w:rPr>
      <w:rFonts w:ascii="Times New Roman" w:eastAsia="Times New Roman" w:hAnsi="Times New Roman" w:cs="Times New Roman"/>
      <w:noProof/>
      <w:sz w:val="24"/>
      <w:szCs w:val="24"/>
      <w:lang w:eastAsia="ru-RU"/>
    </w:rPr>
  </w:style>
  <w:style w:type="character" w:styleId="a9">
    <w:name w:val="page number"/>
    <w:basedOn w:val="a0"/>
    <w:rsid w:val="00224673"/>
  </w:style>
  <w:style w:type="paragraph" w:styleId="aa">
    <w:name w:val="Balloon Text"/>
    <w:basedOn w:val="a"/>
    <w:link w:val="ab"/>
    <w:semiHidden/>
    <w:rsid w:val="00224673"/>
    <w:rPr>
      <w:rFonts w:ascii="Tahoma" w:hAnsi="Tahoma" w:cs="Tahoma"/>
      <w:sz w:val="16"/>
      <w:szCs w:val="16"/>
    </w:rPr>
  </w:style>
  <w:style w:type="character" w:customStyle="1" w:styleId="ab">
    <w:name w:val="Текст у виносці Знак"/>
    <w:basedOn w:val="a0"/>
    <w:link w:val="aa"/>
    <w:semiHidden/>
    <w:rsid w:val="00224673"/>
    <w:rPr>
      <w:rFonts w:ascii="Tahoma" w:eastAsia="Times New Roman" w:hAnsi="Tahoma" w:cs="Tahoma"/>
      <w:noProof/>
      <w:sz w:val="16"/>
      <w:szCs w:val="16"/>
      <w:lang w:eastAsia="ru-RU"/>
    </w:rPr>
  </w:style>
  <w:style w:type="paragraph" w:styleId="ac">
    <w:name w:val="Document Map"/>
    <w:basedOn w:val="a"/>
    <w:link w:val="ad"/>
    <w:semiHidden/>
    <w:rsid w:val="00224673"/>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224673"/>
    <w:rPr>
      <w:rFonts w:ascii="Tahoma" w:eastAsia="Times New Roman" w:hAnsi="Tahoma" w:cs="Tahoma"/>
      <w:noProof/>
      <w:sz w:val="20"/>
      <w:szCs w:val="20"/>
      <w:shd w:val="clear" w:color="auto" w:fill="000080"/>
      <w:lang w:eastAsia="ru-RU"/>
    </w:rPr>
  </w:style>
  <w:style w:type="paragraph" w:customStyle="1" w:styleId="CharCharCharChar1">
    <w:name w:val="Char Знак Знак Char Знак Знак Char Знак Знак Char Знак Знак Знак"/>
    <w:basedOn w:val="a"/>
    <w:rsid w:val="00224673"/>
    <w:rPr>
      <w:rFonts w:ascii="Verdana" w:hAnsi="Verdana"/>
      <w:sz w:val="20"/>
      <w:szCs w:val="20"/>
      <w:lang w:val="en-US" w:eastAsia="en-US"/>
    </w:rPr>
  </w:style>
  <w:style w:type="paragraph" w:customStyle="1" w:styleId="21">
    <w:name w:val="Знак Знак2"/>
    <w:basedOn w:val="a"/>
    <w:rsid w:val="00224673"/>
    <w:rPr>
      <w:rFonts w:ascii="Verdana" w:hAnsi="Verdana" w:cs="Verdana"/>
      <w:sz w:val="20"/>
      <w:szCs w:val="20"/>
      <w:lang w:val="en-US" w:eastAsia="en-US"/>
    </w:rPr>
  </w:style>
  <w:style w:type="paragraph" w:customStyle="1" w:styleId="ae">
    <w:name w:val="Знак"/>
    <w:basedOn w:val="a"/>
    <w:rsid w:val="00224673"/>
    <w:rPr>
      <w:rFonts w:ascii="Verdana" w:hAnsi="Verdana" w:cs="Verdana"/>
      <w:sz w:val="20"/>
      <w:szCs w:val="20"/>
      <w:lang w:val="en-US" w:eastAsia="en-US"/>
    </w:rPr>
  </w:style>
  <w:style w:type="paragraph" w:customStyle="1" w:styleId="StyleZakonu">
    <w:name w:val="StyleZakonu"/>
    <w:basedOn w:val="a"/>
    <w:uiPriority w:val="99"/>
    <w:rsid w:val="00224673"/>
    <w:pPr>
      <w:spacing w:after="60" w:line="220" w:lineRule="exact"/>
      <w:ind w:firstLine="284"/>
      <w:jc w:val="both"/>
    </w:pPr>
    <w:rPr>
      <w:rFonts w:ascii="Arial" w:hAnsi="Arial" w:cs="Arial"/>
      <w:sz w:val="20"/>
      <w:szCs w:val="20"/>
    </w:rPr>
  </w:style>
  <w:style w:type="paragraph" w:customStyle="1" w:styleId="CharCharCharChar2">
    <w:name w:val="Char Знак Знак Char Знак Знак Char Знак Знак Char Знак Знак Знак Знак Знак"/>
    <w:basedOn w:val="a"/>
    <w:rsid w:val="00224673"/>
    <w:rPr>
      <w:rFonts w:ascii="Verdana" w:hAnsi="Verdana"/>
      <w:sz w:val="20"/>
      <w:szCs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w:basedOn w:val="a"/>
    <w:rsid w:val="00224673"/>
    <w:rPr>
      <w:rFonts w:ascii="Verdana" w:hAnsi="Verdana"/>
      <w:sz w:val="20"/>
      <w:szCs w:val="20"/>
      <w:lang w:val="en-US" w:eastAsia="en-US"/>
    </w:rPr>
  </w:style>
  <w:style w:type="paragraph" w:customStyle="1" w:styleId="af">
    <w:name w:val="Знак Знак Знак Знак Знак Знак Знак Знак Знак"/>
    <w:basedOn w:val="a"/>
    <w:rsid w:val="00224673"/>
    <w:rPr>
      <w:rFonts w:ascii="Verdana" w:hAnsi="Verdana"/>
      <w:sz w:val="20"/>
      <w:szCs w:val="20"/>
      <w:lang w:val="en-US" w:eastAsia="en-US"/>
    </w:rPr>
  </w:style>
  <w:style w:type="paragraph" w:customStyle="1" w:styleId="af0">
    <w:name w:val="Розділ"/>
    <w:basedOn w:val="StyleZakonu"/>
    <w:rsid w:val="00224673"/>
    <w:pPr>
      <w:spacing w:after="0" w:line="240" w:lineRule="auto"/>
      <w:ind w:firstLine="0"/>
      <w:jc w:val="center"/>
    </w:pPr>
    <w:rPr>
      <w:rFonts w:ascii="Times New Roman" w:hAnsi="Times New Roman" w:cs="Times New Roman"/>
      <w:b/>
      <w:sz w:val="28"/>
      <w:szCs w:val="28"/>
    </w:rPr>
  </w:style>
  <w:style w:type="paragraph" w:customStyle="1" w:styleId="11">
    <w:name w:val="Знак Знак1 Знак Знак Знак Знак Знак Знак Знак Знак Знак Знак Знак Знак Знак Знак Знак Знак Знак Знак Знак Знак Знак"/>
    <w:basedOn w:val="a"/>
    <w:rsid w:val="00224673"/>
    <w:rPr>
      <w:rFonts w:ascii="Verdana" w:hAnsi="Verdana"/>
      <w:sz w:val="20"/>
      <w:szCs w:val="20"/>
      <w:lang w:val="en-US" w:eastAsia="en-US"/>
    </w:rPr>
  </w:style>
  <w:style w:type="paragraph" w:customStyle="1" w:styleId="af1">
    <w:name w:val="Стиль"/>
    <w:basedOn w:val="a"/>
    <w:rsid w:val="00224673"/>
    <w:rPr>
      <w:rFonts w:ascii="Verdana" w:hAnsi="Verdana" w:cs="Verdana"/>
      <w:sz w:val="20"/>
      <w:szCs w:val="20"/>
      <w:lang w:val="en-US" w:eastAsia="en-US"/>
    </w:rPr>
  </w:style>
  <w:style w:type="paragraph" w:styleId="af2">
    <w:name w:val="Body Text Indent"/>
    <w:basedOn w:val="a"/>
    <w:link w:val="af3"/>
    <w:rsid w:val="00224673"/>
    <w:pPr>
      <w:spacing w:before="100" w:beforeAutospacing="1" w:after="100" w:afterAutospacing="1"/>
    </w:pPr>
    <w:rPr>
      <w:lang w:val="ru-RU"/>
    </w:rPr>
  </w:style>
  <w:style w:type="character" w:customStyle="1" w:styleId="af3">
    <w:name w:val="Основний текст з відступом Знак"/>
    <w:basedOn w:val="a0"/>
    <w:link w:val="af2"/>
    <w:rsid w:val="00224673"/>
    <w:rPr>
      <w:rFonts w:ascii="Times New Roman" w:eastAsia="Times New Roman" w:hAnsi="Times New Roman" w:cs="Times New Roman"/>
      <w:noProof/>
      <w:sz w:val="24"/>
      <w:szCs w:val="24"/>
      <w:lang w:val="ru-RU" w:eastAsia="ru-RU"/>
    </w:rPr>
  </w:style>
  <w:style w:type="character" w:customStyle="1" w:styleId="spelle">
    <w:name w:val="spelle"/>
    <w:basedOn w:val="a0"/>
    <w:rsid w:val="00224673"/>
  </w:style>
  <w:style w:type="paragraph" w:styleId="22">
    <w:name w:val="Body Text Indent 2"/>
    <w:basedOn w:val="a"/>
    <w:link w:val="23"/>
    <w:rsid w:val="00224673"/>
    <w:pPr>
      <w:widowControl w:val="0"/>
      <w:autoSpaceDE w:val="0"/>
      <w:autoSpaceDN w:val="0"/>
      <w:adjustRightInd w:val="0"/>
      <w:spacing w:after="120" w:line="480" w:lineRule="auto"/>
      <w:ind w:left="283"/>
    </w:pPr>
    <w:rPr>
      <w:sz w:val="20"/>
      <w:szCs w:val="20"/>
    </w:rPr>
  </w:style>
  <w:style w:type="character" w:customStyle="1" w:styleId="23">
    <w:name w:val="Основний текст з відступом 2 Знак"/>
    <w:basedOn w:val="a0"/>
    <w:link w:val="22"/>
    <w:rsid w:val="00224673"/>
    <w:rPr>
      <w:rFonts w:ascii="Times New Roman" w:eastAsia="Times New Roman" w:hAnsi="Times New Roman" w:cs="Times New Roman"/>
      <w:noProof/>
      <w:sz w:val="20"/>
      <w:szCs w:val="20"/>
      <w:lang w:eastAsia="ru-RU"/>
    </w:rPr>
  </w:style>
  <w:style w:type="paragraph" w:styleId="af4">
    <w:name w:val="footer"/>
    <w:basedOn w:val="a"/>
    <w:link w:val="af5"/>
    <w:uiPriority w:val="99"/>
    <w:unhideWhenUsed/>
    <w:rsid w:val="00224673"/>
    <w:pPr>
      <w:tabs>
        <w:tab w:val="center" w:pos="4677"/>
        <w:tab w:val="right" w:pos="9355"/>
      </w:tabs>
    </w:pPr>
    <w:rPr>
      <w:lang w:eastAsia="x-none"/>
    </w:rPr>
  </w:style>
  <w:style w:type="character" w:customStyle="1" w:styleId="af5">
    <w:name w:val="Нижній колонтитул Знак"/>
    <w:basedOn w:val="a0"/>
    <w:link w:val="af4"/>
    <w:uiPriority w:val="99"/>
    <w:rsid w:val="00224673"/>
    <w:rPr>
      <w:rFonts w:ascii="Times New Roman" w:eastAsia="Times New Roman" w:hAnsi="Times New Roman" w:cs="Times New Roman"/>
      <w:sz w:val="24"/>
      <w:szCs w:val="24"/>
      <w:lang w:eastAsia="x-none"/>
    </w:rPr>
  </w:style>
  <w:style w:type="paragraph" w:customStyle="1" w:styleId="CharCharCharChar4">
    <w:name w:val="Char Знак Знак Char Знак Знак Char Знак Знак Char Знак Знак Знак Знак Знак Знак Знак Знак Знак Знак"/>
    <w:basedOn w:val="a"/>
    <w:rsid w:val="00224673"/>
    <w:rPr>
      <w:rFonts w:ascii="Verdana" w:hAnsi="Verdana" w:cs="Verdana"/>
      <w:sz w:val="20"/>
      <w:szCs w:val="20"/>
      <w:lang w:val="en-US" w:eastAsia="en-US"/>
    </w:rPr>
  </w:style>
  <w:style w:type="paragraph" w:customStyle="1" w:styleId="af6">
    <w:name w:val="Знак Знак Знак Знак Знак Знак"/>
    <w:basedOn w:val="a"/>
    <w:rsid w:val="00224673"/>
    <w:rPr>
      <w:rFonts w:ascii="Verdana" w:hAnsi="Verdana"/>
      <w:lang w:val="en-US" w:eastAsia="en-US"/>
    </w:rPr>
  </w:style>
  <w:style w:type="paragraph" w:customStyle="1" w:styleId="12">
    <w:name w:val="Знак1"/>
    <w:basedOn w:val="a"/>
    <w:rsid w:val="00224673"/>
    <w:rPr>
      <w:rFonts w:ascii="Verdana" w:hAnsi="Verdana"/>
      <w:lang w:val="en-US" w:eastAsia="en-US"/>
    </w:rPr>
  </w:style>
  <w:style w:type="table" w:styleId="af7">
    <w:name w:val="Table Grid"/>
    <w:basedOn w:val="a1"/>
    <w:rsid w:val="0022467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224673"/>
    <w:rPr>
      <w:rFonts w:ascii="Times New Roman" w:eastAsia="Times New Roman" w:hAnsi="Times New Roman" w:cs="Times New Roman"/>
      <w:color w:val="000000"/>
      <w:sz w:val="24"/>
      <w:szCs w:val="24"/>
      <w:lang w:val="ru-RU" w:eastAsia="ru-RU"/>
    </w:rPr>
  </w:style>
  <w:style w:type="paragraph" w:styleId="af8">
    <w:name w:val="Body Text"/>
    <w:basedOn w:val="a"/>
    <w:link w:val="af9"/>
    <w:rsid w:val="00224673"/>
    <w:pPr>
      <w:spacing w:after="120"/>
    </w:pPr>
  </w:style>
  <w:style w:type="character" w:customStyle="1" w:styleId="af9">
    <w:name w:val="Основний текст Знак"/>
    <w:basedOn w:val="a0"/>
    <w:link w:val="af8"/>
    <w:rsid w:val="00224673"/>
    <w:rPr>
      <w:rFonts w:ascii="Times New Roman" w:eastAsia="Times New Roman" w:hAnsi="Times New Roman" w:cs="Times New Roman"/>
      <w:noProof/>
      <w:sz w:val="24"/>
      <w:szCs w:val="24"/>
      <w:lang w:eastAsia="ru-RU"/>
    </w:rPr>
  </w:style>
  <w:style w:type="paragraph" w:customStyle="1" w:styleId="afa">
    <w:name w:val="a"/>
    <w:basedOn w:val="a"/>
    <w:rsid w:val="00224673"/>
    <w:pPr>
      <w:spacing w:before="100" w:beforeAutospacing="1" w:after="100" w:afterAutospacing="1"/>
    </w:pPr>
    <w:rPr>
      <w:lang w:val="ru-RU"/>
    </w:rPr>
  </w:style>
  <w:style w:type="paragraph" w:styleId="31">
    <w:name w:val="Body Text 3"/>
    <w:basedOn w:val="a"/>
    <w:link w:val="32"/>
    <w:rsid w:val="00224673"/>
    <w:pPr>
      <w:spacing w:after="120"/>
    </w:pPr>
    <w:rPr>
      <w:sz w:val="16"/>
      <w:szCs w:val="16"/>
      <w:lang w:val="ru-RU"/>
    </w:rPr>
  </w:style>
  <w:style w:type="character" w:customStyle="1" w:styleId="32">
    <w:name w:val="Основний текст 3 Знак"/>
    <w:basedOn w:val="a0"/>
    <w:link w:val="31"/>
    <w:rsid w:val="00224673"/>
    <w:rPr>
      <w:rFonts w:ascii="Times New Roman" w:eastAsia="Times New Roman" w:hAnsi="Times New Roman" w:cs="Times New Roman"/>
      <w:noProof/>
      <w:sz w:val="16"/>
      <w:szCs w:val="16"/>
      <w:lang w:val="ru-RU" w:eastAsia="ru-RU"/>
    </w:rPr>
  </w:style>
  <w:style w:type="paragraph" w:customStyle="1" w:styleId="310">
    <w:name w:val="Основной текст 31"/>
    <w:basedOn w:val="a"/>
    <w:rsid w:val="00224673"/>
    <w:pPr>
      <w:suppressAutoHyphens/>
      <w:spacing w:before="280" w:after="280"/>
    </w:pPr>
    <w:rPr>
      <w:lang w:val="ru-RU" w:eastAsia="ar-SA"/>
    </w:rPr>
  </w:style>
  <w:style w:type="paragraph" w:customStyle="1" w:styleId="220">
    <w:name w:val="Основной текст с отступом 22"/>
    <w:basedOn w:val="a"/>
    <w:rsid w:val="00224673"/>
    <w:pPr>
      <w:widowControl w:val="0"/>
      <w:suppressAutoHyphens/>
      <w:spacing w:before="51" w:after="51"/>
      <w:ind w:firstLine="720"/>
      <w:jc w:val="both"/>
    </w:pPr>
    <w:rPr>
      <w:b/>
      <w:bCs/>
      <w:color w:val="000000"/>
      <w:sz w:val="28"/>
      <w:szCs w:val="28"/>
      <w:lang w:eastAsia="ar-SA"/>
    </w:rPr>
  </w:style>
  <w:style w:type="paragraph" w:customStyle="1" w:styleId="24">
    <w:name w:val="Основной шрифт абзаца2"/>
    <w:aliases w:val=" Знак1"/>
    <w:basedOn w:val="a"/>
    <w:rsid w:val="00224673"/>
    <w:rPr>
      <w:rFonts w:ascii="Verdana" w:hAnsi="Verdana" w:cs="Verdana"/>
      <w:sz w:val="20"/>
      <w:szCs w:val="20"/>
      <w:lang w:val="en-US" w:eastAsia="en-US"/>
    </w:rPr>
  </w:style>
  <w:style w:type="paragraph" w:customStyle="1" w:styleId="13">
    <w:name w:val="заголовок 1"/>
    <w:basedOn w:val="a"/>
    <w:next w:val="a"/>
    <w:uiPriority w:val="99"/>
    <w:rsid w:val="00224673"/>
    <w:pPr>
      <w:keepNext/>
      <w:autoSpaceDE w:val="0"/>
      <w:autoSpaceDN w:val="0"/>
      <w:jc w:val="center"/>
    </w:pPr>
    <w:rPr>
      <w:b/>
      <w:bCs/>
      <w:sz w:val="28"/>
      <w:szCs w:val="28"/>
    </w:rPr>
  </w:style>
  <w:style w:type="character" w:customStyle="1" w:styleId="rvts15">
    <w:name w:val="rvts15"/>
    <w:basedOn w:val="a0"/>
    <w:rsid w:val="00224673"/>
  </w:style>
  <w:style w:type="paragraph" w:customStyle="1" w:styleId="rvps7">
    <w:name w:val="rvps7"/>
    <w:basedOn w:val="a"/>
    <w:rsid w:val="00224673"/>
    <w:pPr>
      <w:spacing w:before="100" w:beforeAutospacing="1" w:after="100" w:afterAutospacing="1"/>
    </w:pPr>
    <w:rPr>
      <w:lang w:val="ru-RU"/>
    </w:rPr>
  </w:style>
  <w:style w:type="paragraph" w:customStyle="1" w:styleId="rvps2">
    <w:name w:val="rvps2"/>
    <w:basedOn w:val="a"/>
    <w:rsid w:val="00224673"/>
    <w:pPr>
      <w:spacing w:before="100" w:beforeAutospacing="1" w:after="100" w:afterAutospacing="1"/>
    </w:pPr>
    <w:rPr>
      <w:rFonts w:eastAsia="Calibri"/>
      <w:lang w:val="ru-RU"/>
    </w:rPr>
  </w:style>
  <w:style w:type="paragraph" w:customStyle="1" w:styleId="rvps14">
    <w:name w:val="rvps14"/>
    <w:basedOn w:val="a"/>
    <w:rsid w:val="00224673"/>
    <w:pPr>
      <w:spacing w:before="100" w:beforeAutospacing="1" w:after="100" w:afterAutospacing="1"/>
    </w:pPr>
    <w:rPr>
      <w:lang w:eastAsia="uk-UA"/>
    </w:rPr>
  </w:style>
  <w:style w:type="paragraph" w:customStyle="1" w:styleId="rvps12">
    <w:name w:val="rvps12"/>
    <w:basedOn w:val="a"/>
    <w:rsid w:val="00224673"/>
    <w:pPr>
      <w:spacing w:before="100" w:beforeAutospacing="1" w:after="100" w:afterAutospacing="1"/>
    </w:pPr>
    <w:rPr>
      <w:lang w:eastAsia="uk-UA"/>
    </w:rPr>
  </w:style>
  <w:style w:type="paragraph" w:styleId="afb">
    <w:name w:val="List Paragraph"/>
    <w:basedOn w:val="a"/>
    <w:uiPriority w:val="34"/>
    <w:qFormat/>
    <w:rsid w:val="00224673"/>
    <w:pPr>
      <w:spacing w:after="200" w:line="276" w:lineRule="auto"/>
      <w:ind w:left="720"/>
      <w:contextualSpacing/>
    </w:pPr>
    <w:rPr>
      <w:rFonts w:ascii="Calibri" w:eastAsia="Calibri" w:hAnsi="Calibri"/>
      <w:sz w:val="22"/>
      <w:szCs w:val="22"/>
      <w:lang w:eastAsia="en-US"/>
    </w:rPr>
  </w:style>
  <w:style w:type="character" w:styleId="afc">
    <w:name w:val="Hyperlink"/>
    <w:uiPriority w:val="99"/>
    <w:unhideWhenUsed/>
    <w:rsid w:val="00224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5218">
      <w:bodyDiv w:val="1"/>
      <w:marLeft w:val="0"/>
      <w:marRight w:val="0"/>
      <w:marTop w:val="0"/>
      <w:marBottom w:val="0"/>
      <w:divBdr>
        <w:top w:val="none" w:sz="0" w:space="0" w:color="auto"/>
        <w:left w:val="none" w:sz="0" w:space="0" w:color="auto"/>
        <w:bottom w:val="none" w:sz="0" w:space="0" w:color="auto"/>
        <w:right w:val="none" w:sz="0" w:space="0" w:color="auto"/>
      </w:divBdr>
    </w:div>
    <w:div w:id="16785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control/uk/publish/article?art_id=66320&amp;cat_id=6631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zakon.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easury.gov.ua/ua" TargetMode="External"/><Relationship Id="rId4" Type="http://schemas.openxmlformats.org/officeDocument/2006/relationships/settings" Target="settings.xml"/><Relationship Id="rId9" Type="http://schemas.openxmlformats.org/officeDocument/2006/relationships/hyperlink" Target="http://sfs.gov.ua/pro-sfs-ukraini/struktura-/teritorialni-orga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5A68-E267-4BF3-B62F-1ED51664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5F337B7A</Template>
  <TotalTime>4</TotalTime>
  <Pages>12</Pages>
  <Words>16309</Words>
  <Characters>9297</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Гаврильчик Олена Володимирівна</cp:lastModifiedBy>
  <cp:revision>5</cp:revision>
  <dcterms:created xsi:type="dcterms:W3CDTF">2019-06-04T14:12:00Z</dcterms:created>
  <dcterms:modified xsi:type="dcterms:W3CDTF">2019-06-04T14:23:00Z</dcterms:modified>
</cp:coreProperties>
</file>