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914" w:rsidRPr="007A0880" w:rsidRDefault="005A5914" w:rsidP="005A5914">
      <w:pPr>
        <w:spacing w:line="240" w:lineRule="auto"/>
        <w:jc w:val="center"/>
        <w:rPr>
          <w:rFonts w:ascii="Times New Roman" w:eastAsia="Times New Roman" w:hAnsi="Times New Roman" w:cs="Times New Roman"/>
          <w:b/>
          <w:sz w:val="28"/>
          <w:szCs w:val="28"/>
        </w:rPr>
      </w:pPr>
      <w:bookmarkStart w:id="0" w:name="_GoBack"/>
      <w:bookmarkEnd w:id="0"/>
      <w:r w:rsidRPr="007A0880">
        <w:rPr>
          <w:rFonts w:ascii="Times New Roman" w:eastAsia="Times New Roman" w:hAnsi="Times New Roman" w:cs="Times New Roman"/>
          <w:b/>
          <w:sz w:val="28"/>
          <w:szCs w:val="28"/>
        </w:rPr>
        <w:t>АНАЛІЗ РЕГУЛЯТОРНОГО ВПЛИВУ</w:t>
      </w:r>
    </w:p>
    <w:p w:rsidR="005A5914" w:rsidRPr="007A0880" w:rsidRDefault="005A5914" w:rsidP="005A5914">
      <w:pPr>
        <w:spacing w:line="240" w:lineRule="auto"/>
        <w:jc w:val="center"/>
        <w:rPr>
          <w:rFonts w:ascii="Times New Roman" w:hAnsi="Times New Roman" w:cs="Times New Roman"/>
          <w:b/>
          <w:sz w:val="28"/>
          <w:szCs w:val="28"/>
        </w:rPr>
      </w:pPr>
      <w:r w:rsidRPr="007A0880">
        <w:rPr>
          <w:rFonts w:ascii="Times New Roman" w:hAnsi="Times New Roman" w:cs="Times New Roman"/>
          <w:b/>
          <w:sz w:val="28"/>
          <w:szCs w:val="28"/>
        </w:rPr>
        <w:t xml:space="preserve">до </w:t>
      </w:r>
      <w:proofErr w:type="spellStart"/>
      <w:r w:rsidRPr="007A0880">
        <w:rPr>
          <w:rFonts w:ascii="Times New Roman" w:hAnsi="Times New Roman" w:cs="Times New Roman"/>
          <w:b/>
          <w:sz w:val="28"/>
          <w:szCs w:val="28"/>
        </w:rPr>
        <w:t>проєкту</w:t>
      </w:r>
      <w:proofErr w:type="spellEnd"/>
      <w:r w:rsidRPr="007A0880">
        <w:rPr>
          <w:rFonts w:ascii="Times New Roman" w:hAnsi="Times New Roman" w:cs="Times New Roman"/>
          <w:b/>
          <w:sz w:val="28"/>
          <w:szCs w:val="28"/>
        </w:rPr>
        <w:t xml:space="preserve"> наказу Міністерства фінансів України</w:t>
      </w:r>
    </w:p>
    <w:p w:rsidR="0028438A" w:rsidRPr="007A0880" w:rsidRDefault="005A5914" w:rsidP="005A5914">
      <w:pPr>
        <w:spacing w:line="240" w:lineRule="auto"/>
        <w:jc w:val="center"/>
        <w:rPr>
          <w:rFonts w:ascii="Times New Roman" w:hAnsi="Times New Roman" w:cs="Times New Roman"/>
          <w:b/>
          <w:sz w:val="28"/>
          <w:szCs w:val="28"/>
        </w:rPr>
      </w:pPr>
      <w:r w:rsidRPr="007A0880">
        <w:rPr>
          <w:rFonts w:ascii="Times New Roman" w:hAnsi="Times New Roman" w:cs="Times New Roman"/>
          <w:b/>
          <w:sz w:val="28"/>
          <w:szCs w:val="28"/>
        </w:rPr>
        <w:t xml:space="preserve">«Про затвердження Порядку розпорядження валютними цінностями </w:t>
      </w:r>
    </w:p>
    <w:p w:rsidR="005A5914" w:rsidRPr="007A0880" w:rsidRDefault="005A5914" w:rsidP="005A5914">
      <w:pPr>
        <w:spacing w:line="240" w:lineRule="auto"/>
        <w:jc w:val="center"/>
        <w:rPr>
          <w:rFonts w:ascii="Times New Roman" w:hAnsi="Times New Roman" w:cs="Times New Roman"/>
          <w:b/>
          <w:sz w:val="28"/>
          <w:szCs w:val="28"/>
        </w:rPr>
      </w:pPr>
      <w:r w:rsidRPr="007A0880">
        <w:rPr>
          <w:rFonts w:ascii="Times New Roman" w:hAnsi="Times New Roman" w:cs="Times New Roman"/>
          <w:b/>
          <w:sz w:val="28"/>
          <w:szCs w:val="28"/>
        </w:rPr>
        <w:t>(крім банківських металів), що переходять у власність держави»</w:t>
      </w:r>
    </w:p>
    <w:p w:rsidR="005A5914" w:rsidRPr="00F04DB9" w:rsidRDefault="005A5914" w:rsidP="005A5914">
      <w:pPr>
        <w:spacing w:line="240" w:lineRule="auto"/>
        <w:ind w:firstLine="567"/>
        <w:jc w:val="center"/>
        <w:rPr>
          <w:rFonts w:ascii="Times New Roman" w:eastAsia="Times New Roman" w:hAnsi="Times New Roman" w:cs="Times New Roman"/>
          <w:b/>
          <w:sz w:val="28"/>
          <w:szCs w:val="28"/>
        </w:rPr>
      </w:pPr>
    </w:p>
    <w:p w:rsidR="005A5914" w:rsidRPr="00F04DB9" w:rsidRDefault="005A5914" w:rsidP="005A5914">
      <w:pPr>
        <w:spacing w:line="240" w:lineRule="auto"/>
        <w:ind w:firstLine="567"/>
        <w:jc w:val="both"/>
        <w:rPr>
          <w:rFonts w:ascii="Times New Roman" w:eastAsia="Times New Roman" w:hAnsi="Times New Roman" w:cs="Times New Roman"/>
          <w:b/>
          <w:sz w:val="28"/>
          <w:szCs w:val="28"/>
        </w:rPr>
      </w:pPr>
      <w:r w:rsidRPr="00F04DB9">
        <w:rPr>
          <w:rFonts w:ascii="Times New Roman" w:eastAsia="Times New Roman" w:hAnsi="Times New Roman" w:cs="Times New Roman"/>
          <w:b/>
          <w:sz w:val="28"/>
          <w:szCs w:val="28"/>
        </w:rPr>
        <w:t>І. Визначення проблеми</w:t>
      </w:r>
    </w:p>
    <w:p w:rsidR="005A5914" w:rsidRPr="007A0880" w:rsidRDefault="005A5914" w:rsidP="00AE631C">
      <w:pPr>
        <w:spacing w:line="240" w:lineRule="auto"/>
        <w:ind w:firstLine="567"/>
        <w:jc w:val="both"/>
        <w:rPr>
          <w:rFonts w:ascii="Times New Roman" w:hAnsi="Times New Roman" w:cs="Times New Roman"/>
          <w:sz w:val="28"/>
          <w:szCs w:val="28"/>
        </w:rPr>
      </w:pPr>
      <w:r w:rsidRPr="007A0880">
        <w:rPr>
          <w:rFonts w:ascii="Times New Roman" w:eastAsia="Times New Roman" w:hAnsi="Times New Roman" w:cs="Times New Roman"/>
          <w:sz w:val="28"/>
          <w:szCs w:val="28"/>
        </w:rPr>
        <w:t xml:space="preserve">На сьогодні діє </w:t>
      </w:r>
      <w:r w:rsidRPr="007A0880">
        <w:rPr>
          <w:rFonts w:ascii="Times New Roman" w:hAnsi="Times New Roman" w:cs="Times New Roman"/>
          <w:sz w:val="28"/>
          <w:szCs w:val="28"/>
        </w:rPr>
        <w:t xml:space="preserve">Порядок розпорядження валютними цінностями </w:t>
      </w:r>
      <w:r w:rsidR="00AE631C" w:rsidRPr="007A0880">
        <w:rPr>
          <w:rFonts w:ascii="Times New Roman" w:hAnsi="Times New Roman" w:cs="Times New Roman"/>
          <w:sz w:val="28"/>
          <w:szCs w:val="28"/>
        </w:rPr>
        <w:br/>
      </w:r>
      <w:r w:rsidRPr="007A0880">
        <w:rPr>
          <w:rFonts w:ascii="Times New Roman" w:hAnsi="Times New Roman" w:cs="Times New Roman"/>
          <w:sz w:val="28"/>
          <w:szCs w:val="28"/>
        </w:rPr>
        <w:t xml:space="preserve">(крім цінних паперів), дорогоцінних металів і дорогоцінним камінням, дорогоцінним камінням органогенного утворення та </w:t>
      </w:r>
      <w:proofErr w:type="spellStart"/>
      <w:r w:rsidR="0028438A" w:rsidRPr="007A0880">
        <w:rPr>
          <w:rFonts w:ascii="Times New Roman" w:hAnsi="Times New Roman" w:cs="Times New Roman"/>
          <w:sz w:val="28"/>
          <w:szCs w:val="28"/>
        </w:rPr>
        <w:t>напівдорогоцін</w:t>
      </w:r>
      <w:r w:rsidRPr="007A0880">
        <w:rPr>
          <w:rFonts w:ascii="Times New Roman" w:hAnsi="Times New Roman" w:cs="Times New Roman"/>
          <w:sz w:val="28"/>
          <w:szCs w:val="28"/>
        </w:rPr>
        <w:t>ного</w:t>
      </w:r>
      <w:proofErr w:type="spellEnd"/>
      <w:r w:rsidRPr="007A0880">
        <w:rPr>
          <w:rFonts w:ascii="Times New Roman" w:hAnsi="Times New Roman" w:cs="Times New Roman"/>
          <w:sz w:val="28"/>
          <w:szCs w:val="28"/>
        </w:rPr>
        <w:t xml:space="preserve"> утворення </w:t>
      </w:r>
      <w:r w:rsidR="0028438A" w:rsidRPr="007A0880">
        <w:rPr>
          <w:rFonts w:ascii="Times New Roman" w:hAnsi="Times New Roman" w:cs="Times New Roman"/>
          <w:sz w:val="28"/>
          <w:szCs w:val="28"/>
        </w:rPr>
        <w:t xml:space="preserve">та </w:t>
      </w:r>
      <w:proofErr w:type="spellStart"/>
      <w:r w:rsidR="0028438A" w:rsidRPr="007A0880">
        <w:rPr>
          <w:rFonts w:ascii="Times New Roman" w:hAnsi="Times New Roman" w:cs="Times New Roman"/>
          <w:sz w:val="28"/>
          <w:szCs w:val="28"/>
        </w:rPr>
        <w:t>напівдорогоцін</w:t>
      </w:r>
      <w:r w:rsidRPr="007A0880">
        <w:rPr>
          <w:rFonts w:ascii="Times New Roman" w:hAnsi="Times New Roman" w:cs="Times New Roman"/>
          <w:sz w:val="28"/>
          <w:szCs w:val="28"/>
        </w:rPr>
        <w:t>ним</w:t>
      </w:r>
      <w:proofErr w:type="spellEnd"/>
      <w:r w:rsidRPr="007A0880">
        <w:rPr>
          <w:rFonts w:ascii="Times New Roman" w:hAnsi="Times New Roman" w:cs="Times New Roman"/>
          <w:sz w:val="28"/>
          <w:szCs w:val="28"/>
        </w:rPr>
        <w:t xml:space="preserve"> камінням, що переходить у власність держави, затверджений наказом Міністерства фінансів України від 13 січня 1999 року № 11 та постановою Правління Національного банку від 31 березня 1999 року </w:t>
      </w:r>
      <w:r w:rsidR="00AE631C" w:rsidRPr="007A0880">
        <w:rPr>
          <w:rFonts w:ascii="Times New Roman" w:hAnsi="Times New Roman" w:cs="Times New Roman"/>
          <w:sz w:val="28"/>
          <w:szCs w:val="28"/>
        </w:rPr>
        <w:br/>
      </w:r>
      <w:r w:rsidRPr="007A0880">
        <w:rPr>
          <w:rFonts w:ascii="Times New Roman" w:hAnsi="Times New Roman" w:cs="Times New Roman"/>
          <w:sz w:val="28"/>
          <w:szCs w:val="28"/>
        </w:rPr>
        <w:t xml:space="preserve">№ 153 (далі – Порядок № 11), зареєстрований у Міністерстві юстиції України </w:t>
      </w:r>
      <w:r w:rsidR="00AE631C" w:rsidRPr="007A0880">
        <w:rPr>
          <w:rFonts w:ascii="Times New Roman" w:hAnsi="Times New Roman" w:cs="Times New Roman"/>
          <w:sz w:val="28"/>
          <w:szCs w:val="28"/>
        </w:rPr>
        <w:br/>
      </w:r>
      <w:r w:rsidRPr="007A0880">
        <w:rPr>
          <w:rFonts w:ascii="Times New Roman" w:hAnsi="Times New Roman" w:cs="Times New Roman"/>
          <w:sz w:val="28"/>
          <w:szCs w:val="28"/>
        </w:rPr>
        <w:t>27 квітня 1999 року за № 261/3554, який був розроблений відповідно до абзацу другого пункту 6 постанови Кабінету Міністрів України від 25 серпня 1998 року № 1340 «Про Порядок обліку, зберігання, оцінки конфіскованого та іншого майна, що переходить у власність держави, і розпорядження ним».</w:t>
      </w:r>
    </w:p>
    <w:p w:rsidR="005A5914" w:rsidRPr="007A0880" w:rsidRDefault="005A5914" w:rsidP="005A5914">
      <w:pPr>
        <w:pStyle w:val="HTML"/>
        <w:ind w:firstLine="567"/>
        <w:jc w:val="both"/>
        <w:rPr>
          <w:rFonts w:ascii="Times New Roman" w:hAnsi="Times New Roman" w:cs="Times New Roman"/>
          <w:sz w:val="28"/>
          <w:szCs w:val="28"/>
        </w:rPr>
      </w:pPr>
      <w:r w:rsidRPr="007A0880">
        <w:rPr>
          <w:rFonts w:ascii="Times New Roman" w:hAnsi="Times New Roman" w:cs="Times New Roman"/>
          <w:sz w:val="28"/>
          <w:szCs w:val="28"/>
        </w:rPr>
        <w:t>Порядком № 11 визначено перелік уповноважених банків для здійснення зберігання та розпорядження валютними цінностями, які вилучені у юридичних і фізичних осіб правоохоронними, податковими та митними органами за порушення законодавства до прийняття судового рішення чи іншого рішення про перехід валютних цінностей згідно з чинним законодавством у власність держави, прийняті митними органами на зберігання у випадках, передбачених законодавством, виявлені будь-якими органами як безхазяйні, знахідки, спадкові, а саме</w:t>
      </w:r>
      <w:r w:rsidR="00AE631C" w:rsidRPr="007A0880">
        <w:rPr>
          <w:rFonts w:ascii="Times New Roman" w:hAnsi="Times New Roman" w:cs="Times New Roman"/>
          <w:sz w:val="28"/>
          <w:szCs w:val="28"/>
        </w:rPr>
        <w:t>:</w:t>
      </w:r>
      <w:r w:rsidRPr="007A0880">
        <w:rPr>
          <w:rFonts w:ascii="Times New Roman" w:hAnsi="Times New Roman" w:cs="Times New Roman"/>
          <w:sz w:val="28"/>
          <w:szCs w:val="28"/>
        </w:rPr>
        <w:t xml:space="preserve"> Державний експортно-імпортний банк (Укрексімбанк), </w:t>
      </w:r>
      <w:proofErr w:type="spellStart"/>
      <w:r w:rsidRPr="007A0880">
        <w:rPr>
          <w:rFonts w:ascii="Times New Roman" w:hAnsi="Times New Roman" w:cs="Times New Roman"/>
          <w:sz w:val="28"/>
          <w:szCs w:val="28"/>
        </w:rPr>
        <w:t>Акціонерно</w:t>
      </w:r>
      <w:proofErr w:type="spellEnd"/>
      <w:r w:rsidRPr="007A0880">
        <w:rPr>
          <w:rFonts w:ascii="Times New Roman" w:hAnsi="Times New Roman" w:cs="Times New Roman"/>
          <w:sz w:val="28"/>
          <w:szCs w:val="28"/>
        </w:rPr>
        <w:t xml:space="preserve">-комерційний агропромисловий банк «Україна», </w:t>
      </w:r>
      <w:proofErr w:type="spellStart"/>
      <w:r w:rsidRPr="007A0880">
        <w:rPr>
          <w:rFonts w:ascii="Times New Roman" w:hAnsi="Times New Roman" w:cs="Times New Roman"/>
          <w:sz w:val="28"/>
          <w:szCs w:val="28"/>
        </w:rPr>
        <w:t>Акціонерно</w:t>
      </w:r>
      <w:proofErr w:type="spellEnd"/>
      <w:r w:rsidRPr="007A0880">
        <w:rPr>
          <w:rFonts w:ascii="Times New Roman" w:hAnsi="Times New Roman" w:cs="Times New Roman"/>
          <w:sz w:val="28"/>
          <w:szCs w:val="28"/>
        </w:rPr>
        <w:t>-комерційний банк соціального розвитку «Укрсоцбанк», Український акціонерний промислово-інвестиційний банк «Промінвестбанк», Державний спеціалізований комерційний ощадний банк, Акціонерн</w:t>
      </w:r>
      <w:r w:rsidR="00AE631C" w:rsidRPr="007A0880">
        <w:rPr>
          <w:rFonts w:ascii="Times New Roman" w:hAnsi="Times New Roman" w:cs="Times New Roman"/>
          <w:sz w:val="28"/>
          <w:szCs w:val="28"/>
        </w:rPr>
        <w:t>ий</w:t>
      </w:r>
      <w:r w:rsidRPr="007A0880">
        <w:rPr>
          <w:rFonts w:ascii="Times New Roman" w:hAnsi="Times New Roman" w:cs="Times New Roman"/>
          <w:sz w:val="28"/>
          <w:szCs w:val="28"/>
        </w:rPr>
        <w:t xml:space="preserve"> поштово-пенсійн</w:t>
      </w:r>
      <w:r w:rsidR="00AE631C" w:rsidRPr="007A0880">
        <w:rPr>
          <w:rFonts w:ascii="Times New Roman" w:hAnsi="Times New Roman" w:cs="Times New Roman"/>
          <w:sz w:val="28"/>
          <w:szCs w:val="28"/>
        </w:rPr>
        <w:t>ий</w:t>
      </w:r>
      <w:r w:rsidRPr="007A0880">
        <w:rPr>
          <w:rFonts w:ascii="Times New Roman" w:hAnsi="Times New Roman" w:cs="Times New Roman"/>
          <w:sz w:val="28"/>
          <w:szCs w:val="28"/>
        </w:rPr>
        <w:t xml:space="preserve"> банку «Аваль», з якими Головним управлінням Державного казначейства </w:t>
      </w:r>
      <w:r w:rsidR="00AE631C" w:rsidRPr="007A0880">
        <w:rPr>
          <w:rFonts w:ascii="Times New Roman" w:hAnsi="Times New Roman" w:cs="Times New Roman"/>
          <w:sz w:val="28"/>
          <w:szCs w:val="28"/>
        </w:rPr>
        <w:t xml:space="preserve">України </w:t>
      </w:r>
      <w:r w:rsidRPr="007A0880">
        <w:rPr>
          <w:rFonts w:ascii="Times New Roman" w:hAnsi="Times New Roman" w:cs="Times New Roman"/>
          <w:sz w:val="28"/>
          <w:szCs w:val="28"/>
        </w:rPr>
        <w:t xml:space="preserve">укладено угоди про обслуговування Державного бюджету України. </w:t>
      </w:r>
      <w:r w:rsidRPr="007A0880">
        <w:rPr>
          <w:rFonts w:ascii="Times New Roman" w:hAnsi="Times New Roman" w:cs="Times New Roman"/>
          <w:sz w:val="28"/>
          <w:szCs w:val="28"/>
          <w:lang w:eastAsia="ru-RU"/>
        </w:rPr>
        <w:t xml:space="preserve">На сьогодні </w:t>
      </w:r>
      <w:r w:rsidRPr="007A0880">
        <w:rPr>
          <w:rFonts w:ascii="Times New Roman" w:hAnsi="Times New Roman" w:cs="Times New Roman"/>
          <w:sz w:val="28"/>
          <w:szCs w:val="28"/>
        </w:rPr>
        <w:t>тільки три банки із переліку зазначених банків можуть здійснювати банківську діяльність та мають право надавати банківські та інші фінансові послуги (крім послуг у сфері страхування), а також здійснювати іншу діяльн</w:t>
      </w:r>
      <w:r w:rsidR="00AE631C" w:rsidRPr="007A0880">
        <w:rPr>
          <w:rFonts w:ascii="Times New Roman" w:hAnsi="Times New Roman" w:cs="Times New Roman"/>
          <w:sz w:val="28"/>
          <w:szCs w:val="28"/>
        </w:rPr>
        <w:t>ість, визначену в законодавстві</w:t>
      </w:r>
      <w:r w:rsidRPr="007A0880">
        <w:rPr>
          <w:rFonts w:ascii="Times New Roman" w:hAnsi="Times New Roman" w:cs="Times New Roman"/>
          <w:sz w:val="28"/>
          <w:szCs w:val="28"/>
        </w:rPr>
        <w:t xml:space="preserve"> як у національній, так і в іноземній валюті, а саме</w:t>
      </w:r>
      <w:r w:rsidR="00AE631C" w:rsidRPr="007A0880">
        <w:rPr>
          <w:rFonts w:ascii="Times New Roman" w:hAnsi="Times New Roman" w:cs="Times New Roman"/>
          <w:sz w:val="28"/>
          <w:szCs w:val="28"/>
        </w:rPr>
        <w:t>:</w:t>
      </w:r>
      <w:r w:rsidRPr="007A0880">
        <w:rPr>
          <w:rFonts w:ascii="Times New Roman" w:hAnsi="Times New Roman" w:cs="Times New Roman"/>
          <w:sz w:val="28"/>
          <w:szCs w:val="28"/>
        </w:rPr>
        <w:t xml:space="preserve"> АТ «Укрексімбанк», АТ «Райффайзен Банк» та АТ «Ощадбанк». </w:t>
      </w:r>
    </w:p>
    <w:p w:rsidR="005A5914" w:rsidRPr="007A0880" w:rsidRDefault="005A5914" w:rsidP="005A5914">
      <w:pPr>
        <w:pStyle w:val="HTML"/>
        <w:ind w:firstLine="567"/>
        <w:jc w:val="both"/>
        <w:rPr>
          <w:rFonts w:ascii="Times New Roman" w:hAnsi="Times New Roman" w:cs="Times New Roman"/>
          <w:sz w:val="28"/>
          <w:szCs w:val="28"/>
          <w:lang w:eastAsia="ru-RU"/>
        </w:rPr>
      </w:pPr>
      <w:r w:rsidRPr="007A0880">
        <w:rPr>
          <w:rFonts w:ascii="Times New Roman" w:hAnsi="Times New Roman" w:cs="Times New Roman"/>
          <w:sz w:val="28"/>
          <w:szCs w:val="28"/>
          <w:lang w:eastAsia="ru-RU"/>
        </w:rPr>
        <w:t xml:space="preserve">Перелік уповноважених банків може бути доповнений тільки за рішенням Кабінету Міністрів України та Національного банку України. </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Водночас постанову Кабінету Міністрів України та Національного банку України від 21 січня 1998 року «Про вдосконалення касового обслуговування касового виконання Державного бюджету України», якою було визначено перелік уповноважених банків та порядок його доповнення, скасовано.</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lastRenderedPageBreak/>
        <w:t xml:space="preserve">Отже, з огляду на зміни, що відбулися у законодавстві, на сьогодні Порядок № 11 потребує оновлення шляхом викладення його в новій редакції. </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eastAsia="Times New Roman" w:hAnsi="Times New Roman" w:cs="Times New Roman"/>
          <w:sz w:val="28"/>
          <w:szCs w:val="28"/>
        </w:rPr>
        <w:t>Також слід зазначити, що з метою єдиного банківського обслуговування, єдиного технічного забезпечення та створення ефективної системи розрахунків з державним бюджетом за податками і зборами, контроль за справлянням яких покладено на митні органи,</w:t>
      </w:r>
      <w:r w:rsidRPr="007A0880">
        <w:rPr>
          <w:rFonts w:ascii="Times New Roman" w:hAnsi="Times New Roman" w:cs="Times New Roman"/>
          <w:sz w:val="28"/>
          <w:szCs w:val="28"/>
        </w:rPr>
        <w:t xml:space="preserve"> уповноваженим банком для митних органів визначається банк, який відповідає вимогам Порядку проведення конкурсу з визначення уповноваженого банку на здійснення розрахунків з державним бюджетом за митними </w:t>
      </w:r>
      <w:proofErr w:type="spellStart"/>
      <w:r w:rsidRPr="007A0880">
        <w:rPr>
          <w:rFonts w:ascii="Times New Roman" w:hAnsi="Times New Roman" w:cs="Times New Roman"/>
          <w:sz w:val="28"/>
          <w:szCs w:val="28"/>
        </w:rPr>
        <w:t>платежами</w:t>
      </w:r>
      <w:proofErr w:type="spellEnd"/>
      <w:r w:rsidRPr="007A0880">
        <w:rPr>
          <w:rFonts w:ascii="Times New Roman" w:hAnsi="Times New Roman" w:cs="Times New Roman"/>
          <w:sz w:val="28"/>
          <w:szCs w:val="28"/>
        </w:rPr>
        <w:t xml:space="preserve">, затвердженого наказом Міністерства фінансів України від 29 вересня 2014 року № 984, зареєстрованим у Міністерстві юстиції України 26 листопада 2014 року за № 1514/26291 (далі – Порядок № 984). На сьогодні уповноваженим банком, який відповідно до Порядку № 984 запропонував повне покриття банківськими послугами визначених </w:t>
      </w:r>
      <w:r w:rsidRPr="007A0880">
        <w:rPr>
          <w:rStyle w:val="rvts0"/>
          <w:rFonts w:ascii="Times New Roman" w:hAnsi="Times New Roman" w:cs="Times New Roman"/>
          <w:sz w:val="28"/>
          <w:szCs w:val="28"/>
        </w:rPr>
        <w:t>Державною митною службою України</w:t>
      </w:r>
      <w:r w:rsidRPr="007A0880">
        <w:rPr>
          <w:rFonts w:ascii="Times New Roman" w:hAnsi="Times New Roman" w:cs="Times New Roman"/>
          <w:sz w:val="28"/>
          <w:szCs w:val="28"/>
        </w:rPr>
        <w:t xml:space="preserve"> місць митного оформлення товарів та транспортних засобів із найменшим обсягом коштів, які необхідно сплатити за надані послуги, є ПАТ АБ «</w:t>
      </w:r>
      <w:proofErr w:type="spellStart"/>
      <w:r w:rsidRPr="007A0880">
        <w:rPr>
          <w:rFonts w:ascii="Times New Roman" w:hAnsi="Times New Roman" w:cs="Times New Roman"/>
          <w:sz w:val="28"/>
          <w:szCs w:val="28"/>
        </w:rPr>
        <w:t>Укргазбанк</w:t>
      </w:r>
      <w:proofErr w:type="spellEnd"/>
      <w:r w:rsidRPr="007A0880">
        <w:rPr>
          <w:rFonts w:ascii="Times New Roman" w:hAnsi="Times New Roman" w:cs="Times New Roman"/>
          <w:sz w:val="28"/>
          <w:szCs w:val="28"/>
        </w:rPr>
        <w:t>». Оскільки зазначений банк не входить до переліку уповноважених банків, визначених Порядком № 11, у нього відсутня можливість забезпечити митні органи повним спектром банківських послуг відповідно до Генеральної угоди між Державною митною службою України та банком.</w:t>
      </w:r>
    </w:p>
    <w:p w:rsidR="005A5914" w:rsidRPr="007A0880" w:rsidRDefault="005A5914" w:rsidP="005A5914">
      <w:pPr>
        <w:spacing w:line="240" w:lineRule="auto"/>
        <w:ind w:firstLine="567"/>
        <w:rPr>
          <w:rFonts w:ascii="Times New Roman" w:eastAsia="Times New Roman" w:hAnsi="Times New Roman" w:cs="Times New Roman"/>
          <w:sz w:val="28"/>
          <w:szCs w:val="28"/>
        </w:rPr>
      </w:pPr>
    </w:p>
    <w:p w:rsidR="005A5914" w:rsidRPr="007A0880" w:rsidRDefault="005A5914" w:rsidP="005A5914">
      <w:pPr>
        <w:spacing w:line="240" w:lineRule="auto"/>
        <w:ind w:firstLine="567"/>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Основні групи, на які проблема справляє вплив:</w:t>
      </w:r>
    </w:p>
    <w:tbl>
      <w:tblPr>
        <w:tblW w:w="9596"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36"/>
        <w:gridCol w:w="2551"/>
        <w:gridCol w:w="2509"/>
      </w:tblGrid>
      <w:tr w:rsidR="007A0880" w:rsidRPr="007A0880" w:rsidTr="00043DFA">
        <w:trPr>
          <w:trHeight w:val="335"/>
        </w:trPr>
        <w:tc>
          <w:tcPr>
            <w:tcW w:w="4536" w:type="dxa"/>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Групи</w:t>
            </w:r>
          </w:p>
        </w:tc>
        <w:tc>
          <w:tcPr>
            <w:tcW w:w="2551" w:type="dxa"/>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Так</w:t>
            </w:r>
          </w:p>
        </w:tc>
        <w:tc>
          <w:tcPr>
            <w:tcW w:w="2509" w:type="dxa"/>
            <w:tcMar>
              <w:top w:w="100" w:type="dxa"/>
              <w:left w:w="100" w:type="dxa"/>
              <w:bottom w:w="100" w:type="dxa"/>
              <w:right w:w="100" w:type="dxa"/>
            </w:tcMar>
            <w:vAlign w:val="center"/>
          </w:tcPr>
          <w:p w:rsidR="005A5914" w:rsidRPr="007A0880" w:rsidRDefault="005A5914" w:rsidP="00043DFA">
            <w:pPr>
              <w:widowControl w:val="0"/>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Ні</w:t>
            </w:r>
          </w:p>
        </w:tc>
      </w:tr>
      <w:tr w:rsidR="007A0880" w:rsidRPr="007A0880" w:rsidTr="00043DFA">
        <w:trPr>
          <w:trHeight w:val="145"/>
        </w:trPr>
        <w:tc>
          <w:tcPr>
            <w:tcW w:w="4536" w:type="dxa"/>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Держава (розпорядники валютних цінностей)</w:t>
            </w:r>
          </w:p>
        </w:tc>
        <w:tc>
          <w:tcPr>
            <w:tcW w:w="2551" w:type="dxa"/>
            <w:tcMar>
              <w:top w:w="100" w:type="dxa"/>
              <w:left w:w="100" w:type="dxa"/>
              <w:bottom w:w="100" w:type="dxa"/>
              <w:right w:w="100" w:type="dxa"/>
            </w:tcMa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w:t>
            </w:r>
          </w:p>
        </w:tc>
        <w:tc>
          <w:tcPr>
            <w:tcW w:w="2509" w:type="dxa"/>
            <w:tcMar>
              <w:top w:w="100" w:type="dxa"/>
              <w:left w:w="100" w:type="dxa"/>
              <w:bottom w:w="100" w:type="dxa"/>
              <w:right w:w="100" w:type="dxa"/>
            </w:tcMar>
          </w:tcPr>
          <w:p w:rsidR="005A5914" w:rsidRPr="007A0880" w:rsidRDefault="005A5914" w:rsidP="00043DFA">
            <w:pPr>
              <w:widowControl w:val="0"/>
              <w:spacing w:line="240" w:lineRule="auto"/>
              <w:jc w:val="center"/>
              <w:rPr>
                <w:rFonts w:ascii="Times New Roman" w:eastAsia="Times New Roman" w:hAnsi="Times New Roman" w:cs="Times New Roman"/>
                <w:b/>
                <w:sz w:val="28"/>
                <w:szCs w:val="28"/>
              </w:rPr>
            </w:pPr>
            <w:r w:rsidRPr="007A0880">
              <w:rPr>
                <w:rFonts w:ascii="Times New Roman" w:eastAsia="Times New Roman" w:hAnsi="Times New Roman" w:cs="Times New Roman"/>
                <w:b/>
                <w:bCs/>
                <w:sz w:val="28"/>
                <w:szCs w:val="28"/>
              </w:rPr>
              <w:t>-</w:t>
            </w:r>
          </w:p>
        </w:tc>
      </w:tr>
      <w:tr w:rsidR="007A0880" w:rsidRPr="007A0880" w:rsidTr="00043DFA">
        <w:trPr>
          <w:trHeight w:val="283"/>
        </w:trPr>
        <w:tc>
          <w:tcPr>
            <w:tcW w:w="4536" w:type="dxa"/>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Суб’єкти господарювання (уповноважені банки)</w:t>
            </w:r>
          </w:p>
        </w:tc>
        <w:tc>
          <w:tcPr>
            <w:tcW w:w="2551" w:type="dxa"/>
            <w:tcMar>
              <w:top w:w="100" w:type="dxa"/>
              <w:left w:w="100" w:type="dxa"/>
              <w:bottom w:w="100" w:type="dxa"/>
              <w:right w:w="100" w:type="dxa"/>
            </w:tcMa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b/>
                <w:bCs/>
                <w:sz w:val="28"/>
                <w:szCs w:val="28"/>
              </w:rPr>
              <w:t>+</w:t>
            </w:r>
          </w:p>
        </w:tc>
        <w:tc>
          <w:tcPr>
            <w:tcW w:w="2509" w:type="dxa"/>
            <w:tcMar>
              <w:top w:w="100" w:type="dxa"/>
              <w:left w:w="100" w:type="dxa"/>
              <w:bottom w:w="100" w:type="dxa"/>
              <w:right w:w="100" w:type="dxa"/>
            </w:tcMa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b/>
                <w:bCs/>
                <w:sz w:val="28"/>
                <w:szCs w:val="28"/>
              </w:rPr>
              <w:t>-</w:t>
            </w:r>
          </w:p>
        </w:tc>
      </w:tr>
      <w:tr w:rsidR="005A5914" w:rsidRPr="007A0880" w:rsidTr="00043DFA">
        <w:trPr>
          <w:trHeight w:val="279"/>
        </w:trPr>
        <w:tc>
          <w:tcPr>
            <w:tcW w:w="4536" w:type="dxa"/>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Громадяни</w:t>
            </w:r>
          </w:p>
        </w:tc>
        <w:tc>
          <w:tcPr>
            <w:tcW w:w="2551" w:type="dxa"/>
            <w:tcMar>
              <w:top w:w="100" w:type="dxa"/>
              <w:left w:w="100" w:type="dxa"/>
              <w:bottom w:w="100" w:type="dxa"/>
              <w:right w:w="100" w:type="dxa"/>
            </w:tcMa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b/>
                <w:bCs/>
                <w:sz w:val="28"/>
                <w:szCs w:val="28"/>
              </w:rPr>
              <w:t>-</w:t>
            </w:r>
          </w:p>
        </w:tc>
        <w:tc>
          <w:tcPr>
            <w:tcW w:w="2509" w:type="dxa"/>
            <w:tcMar>
              <w:top w:w="100" w:type="dxa"/>
              <w:left w:w="100" w:type="dxa"/>
              <w:bottom w:w="100" w:type="dxa"/>
              <w:right w:w="100" w:type="dxa"/>
            </w:tcMa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b/>
                <w:bCs/>
                <w:sz w:val="28"/>
                <w:szCs w:val="28"/>
              </w:rPr>
              <w:t>+</w:t>
            </w:r>
          </w:p>
        </w:tc>
      </w:tr>
    </w:tbl>
    <w:p w:rsidR="005A5914" w:rsidRPr="007A0880" w:rsidRDefault="005A5914" w:rsidP="005A5914">
      <w:pPr>
        <w:spacing w:line="240" w:lineRule="auto"/>
        <w:ind w:firstLine="567"/>
        <w:jc w:val="both"/>
        <w:rPr>
          <w:rFonts w:ascii="Times New Roman" w:hAnsi="Times New Roman" w:cs="Times New Roman"/>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b/>
          <w:sz w:val="28"/>
          <w:szCs w:val="28"/>
        </w:rPr>
      </w:pPr>
      <w:r w:rsidRPr="007A0880">
        <w:rPr>
          <w:rFonts w:ascii="Times New Roman" w:eastAsia="Times New Roman" w:hAnsi="Times New Roman" w:cs="Times New Roman"/>
          <w:b/>
          <w:sz w:val="28"/>
          <w:szCs w:val="28"/>
        </w:rPr>
        <w:t>ІІ. Цілі державного регулювання</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 xml:space="preserve">Ціллю державного регулювання є створення </w:t>
      </w:r>
      <w:r w:rsidRPr="007A0880">
        <w:rPr>
          <w:rFonts w:ascii="Times New Roman" w:hAnsi="Times New Roman" w:cs="Times New Roman"/>
          <w:bCs/>
          <w:sz w:val="28"/>
          <w:szCs w:val="28"/>
        </w:rPr>
        <w:t>єдиних умов щодо розпорядження</w:t>
      </w:r>
      <w:r w:rsidRPr="007A0880">
        <w:rPr>
          <w:rFonts w:ascii="Times New Roman" w:hAnsi="Times New Roman" w:cs="Times New Roman"/>
          <w:sz w:val="28"/>
          <w:szCs w:val="28"/>
        </w:rPr>
        <w:t xml:space="preserve"> валютними цінностями (крім банківських металів), що переходять у власність держави, а також установлення єдиних правил їх обліку та зберігання.</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 xml:space="preserve">Також ціллю державного регулювання є визначення уповноважених банків на право представлення банківських послуг, визначених розпорядником валютних цінностей. Для цього </w:t>
      </w:r>
      <w:proofErr w:type="spellStart"/>
      <w:r w:rsidRPr="007A0880">
        <w:rPr>
          <w:rFonts w:ascii="Times New Roman" w:hAnsi="Times New Roman" w:cs="Times New Roman"/>
          <w:sz w:val="28"/>
          <w:szCs w:val="28"/>
        </w:rPr>
        <w:t>проєктом</w:t>
      </w:r>
      <w:proofErr w:type="spellEnd"/>
      <w:r w:rsidRPr="007A0880">
        <w:rPr>
          <w:rFonts w:ascii="Times New Roman" w:hAnsi="Times New Roman" w:cs="Times New Roman"/>
          <w:sz w:val="28"/>
          <w:szCs w:val="28"/>
        </w:rPr>
        <w:t xml:space="preserve"> наказу передбач</w:t>
      </w:r>
      <w:r w:rsidR="00AE631C" w:rsidRPr="007A0880">
        <w:rPr>
          <w:rFonts w:ascii="Times New Roman" w:hAnsi="Times New Roman" w:cs="Times New Roman"/>
          <w:sz w:val="28"/>
          <w:szCs w:val="28"/>
        </w:rPr>
        <w:t>ено</w:t>
      </w:r>
      <w:r w:rsidRPr="007A0880">
        <w:rPr>
          <w:rFonts w:ascii="Times New Roman" w:hAnsi="Times New Roman" w:cs="Times New Roman"/>
          <w:sz w:val="28"/>
          <w:szCs w:val="28"/>
        </w:rPr>
        <w:t xml:space="preserve"> визначення </w:t>
      </w:r>
      <w:r w:rsidRPr="007A0880">
        <w:rPr>
          <w:rFonts w:ascii="Times New Roman" w:eastAsia="Calibri" w:hAnsi="Times New Roman" w:cs="Times New Roman"/>
          <w:sz w:val="28"/>
          <w:szCs w:val="28"/>
        </w:rPr>
        <w:t>розпорядниками валютних цінностей</w:t>
      </w:r>
      <w:r w:rsidRPr="007A0880">
        <w:rPr>
          <w:rFonts w:ascii="Times New Roman" w:hAnsi="Times New Roman" w:cs="Times New Roman"/>
          <w:sz w:val="28"/>
          <w:szCs w:val="28"/>
        </w:rPr>
        <w:t xml:space="preserve"> уповноважених банків </w:t>
      </w:r>
      <w:r w:rsidR="00AE631C" w:rsidRPr="007A0880">
        <w:rPr>
          <w:rFonts w:ascii="Times New Roman" w:hAnsi="Times New Roman" w:cs="Times New Roman"/>
          <w:sz w:val="28"/>
          <w:szCs w:val="28"/>
        </w:rPr>
        <w:t>і</w:t>
      </w:r>
      <w:r w:rsidRPr="007A0880">
        <w:rPr>
          <w:rFonts w:ascii="Times New Roman" w:hAnsi="Times New Roman" w:cs="Times New Roman"/>
          <w:sz w:val="28"/>
          <w:szCs w:val="28"/>
        </w:rPr>
        <w:t xml:space="preserve">з переліку банків, визначених відповідно до Порядку відбору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затвердженого постановою Кабінету Міністрів України від 26 вересня 2001 року </w:t>
      </w:r>
      <w:r w:rsidRPr="007A0880">
        <w:rPr>
          <w:rFonts w:ascii="Times New Roman" w:hAnsi="Times New Roman" w:cs="Times New Roman"/>
          <w:sz w:val="28"/>
          <w:szCs w:val="28"/>
        </w:rPr>
        <w:lastRenderedPageBreak/>
        <w:t xml:space="preserve">№ 1231 (далі – Порядок   № 1231), що, </w:t>
      </w:r>
      <w:r w:rsidR="00AE631C" w:rsidRPr="007A0880">
        <w:rPr>
          <w:rFonts w:ascii="Times New Roman" w:hAnsi="Times New Roman" w:cs="Times New Roman"/>
          <w:sz w:val="28"/>
          <w:szCs w:val="28"/>
        </w:rPr>
        <w:t>зі свого боку</w:t>
      </w:r>
      <w:r w:rsidRPr="007A0880">
        <w:rPr>
          <w:rFonts w:ascii="Times New Roman" w:hAnsi="Times New Roman" w:cs="Times New Roman"/>
          <w:sz w:val="28"/>
          <w:szCs w:val="28"/>
        </w:rPr>
        <w:t xml:space="preserve">, дасть змогу створити конкурсне середовище серед банків, а отже, відібрати найкращі банки для надання послуг у відповідній сфері. </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 xml:space="preserve">Згідно з </w:t>
      </w:r>
      <w:proofErr w:type="spellStart"/>
      <w:r w:rsidRPr="007A0880">
        <w:rPr>
          <w:rFonts w:ascii="Times New Roman" w:hAnsi="Times New Roman" w:cs="Times New Roman"/>
          <w:sz w:val="28"/>
          <w:szCs w:val="28"/>
        </w:rPr>
        <w:t>проєктом</w:t>
      </w:r>
      <w:proofErr w:type="spellEnd"/>
      <w:r w:rsidRPr="007A0880">
        <w:rPr>
          <w:rFonts w:ascii="Times New Roman" w:hAnsi="Times New Roman" w:cs="Times New Roman"/>
          <w:sz w:val="28"/>
          <w:szCs w:val="28"/>
        </w:rPr>
        <w:t xml:space="preserve"> наказу уповноваженим банком для митних органів є банк, вибраний на конкурсних засадах відповідно до Порядку № 984.</w:t>
      </w:r>
    </w:p>
    <w:p w:rsidR="005A5914" w:rsidRPr="007A0880" w:rsidRDefault="005A5914" w:rsidP="005A5914">
      <w:pPr>
        <w:pStyle w:val="HTML"/>
        <w:ind w:firstLine="567"/>
        <w:jc w:val="both"/>
        <w:rPr>
          <w:rFonts w:ascii="Times New Roman" w:hAnsi="Times New Roman" w:cs="Times New Roman"/>
          <w:spacing w:val="-4"/>
          <w:sz w:val="28"/>
          <w:szCs w:val="28"/>
        </w:rPr>
      </w:pPr>
      <w:r w:rsidRPr="007A0880">
        <w:rPr>
          <w:rFonts w:ascii="Times New Roman" w:hAnsi="Times New Roman" w:cs="Times New Roman"/>
          <w:spacing w:val="-4"/>
          <w:sz w:val="28"/>
          <w:szCs w:val="28"/>
        </w:rPr>
        <w:t xml:space="preserve">Крім того, </w:t>
      </w:r>
      <w:proofErr w:type="spellStart"/>
      <w:r w:rsidRPr="007A0880">
        <w:rPr>
          <w:rFonts w:ascii="Times New Roman" w:hAnsi="Times New Roman" w:cs="Times New Roman"/>
          <w:spacing w:val="-4"/>
          <w:sz w:val="28"/>
          <w:szCs w:val="28"/>
        </w:rPr>
        <w:t>проєктом</w:t>
      </w:r>
      <w:proofErr w:type="spellEnd"/>
      <w:r w:rsidRPr="007A0880">
        <w:rPr>
          <w:rFonts w:ascii="Times New Roman" w:hAnsi="Times New Roman" w:cs="Times New Roman"/>
          <w:spacing w:val="-4"/>
          <w:sz w:val="28"/>
          <w:szCs w:val="28"/>
        </w:rPr>
        <w:t xml:space="preserve"> наказу врегульовано питання розпорядження вилученими з обігу іноземними банкнотами та монетами першої, другої, третьої груп за Класифікатором, що не підлягають обміну в країні-емітенті.   </w:t>
      </w:r>
    </w:p>
    <w:p w:rsidR="005A5914" w:rsidRPr="007A0880" w:rsidRDefault="005A5914" w:rsidP="005A5914">
      <w:pPr>
        <w:spacing w:line="240" w:lineRule="auto"/>
        <w:ind w:firstLine="567"/>
        <w:jc w:val="both"/>
        <w:rPr>
          <w:rFonts w:ascii="Times New Roman" w:eastAsia="Times New Roman" w:hAnsi="Times New Roman" w:cs="Times New Roman"/>
          <w:b/>
          <w:sz w:val="28"/>
          <w:szCs w:val="28"/>
        </w:rPr>
      </w:pPr>
    </w:p>
    <w:p w:rsidR="005A5914" w:rsidRPr="007A0880" w:rsidRDefault="005A5914" w:rsidP="005A5914">
      <w:pPr>
        <w:spacing w:line="240" w:lineRule="auto"/>
        <w:ind w:firstLine="567"/>
        <w:jc w:val="both"/>
        <w:rPr>
          <w:rFonts w:ascii="Times New Roman" w:hAnsi="Times New Roman" w:cs="Times New Roman"/>
          <w:b/>
          <w:sz w:val="28"/>
          <w:szCs w:val="28"/>
        </w:rPr>
      </w:pPr>
      <w:r w:rsidRPr="007A0880">
        <w:rPr>
          <w:rFonts w:ascii="Times New Roman" w:eastAsia="Times New Roman" w:hAnsi="Times New Roman" w:cs="Times New Roman"/>
          <w:b/>
          <w:sz w:val="28"/>
          <w:szCs w:val="28"/>
        </w:rPr>
        <w:t>ІІІ. Визначення та оцінка альтернативних способів досягнення цілей</w:t>
      </w:r>
    </w:p>
    <w:p w:rsidR="005A5914" w:rsidRPr="007A0880" w:rsidRDefault="005A5914" w:rsidP="005A5914">
      <w:pPr>
        <w:pBdr>
          <w:top w:val="nil"/>
          <w:left w:val="nil"/>
          <w:bottom w:val="nil"/>
          <w:right w:val="nil"/>
          <w:between w:val="nil"/>
        </w:pBdr>
        <w:spacing w:line="240" w:lineRule="auto"/>
        <w:ind w:left="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1. Визначення альтернативних способів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49"/>
        <w:gridCol w:w="6482"/>
      </w:tblGrid>
      <w:tr w:rsidR="007A0880" w:rsidRPr="007A0880" w:rsidTr="00043DFA">
        <w:trPr>
          <w:trHeight w:val="520"/>
        </w:trPr>
        <w:tc>
          <w:tcPr>
            <w:tcW w:w="1635"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Вид альтернативи</w:t>
            </w:r>
          </w:p>
        </w:tc>
        <w:tc>
          <w:tcPr>
            <w:tcW w:w="3365"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Опис альтернативи</w:t>
            </w:r>
          </w:p>
        </w:tc>
      </w:tr>
      <w:tr w:rsidR="007A0880" w:rsidRPr="007A0880" w:rsidTr="00043DFA">
        <w:trPr>
          <w:trHeight w:val="311"/>
        </w:trPr>
        <w:tc>
          <w:tcPr>
            <w:tcW w:w="1635"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1</w:t>
            </w:r>
          </w:p>
        </w:tc>
        <w:tc>
          <w:tcPr>
            <w:tcW w:w="3365"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Залишення чинного нормативно-правового акта</w:t>
            </w:r>
          </w:p>
        </w:tc>
      </w:tr>
      <w:tr w:rsidR="005A5914" w:rsidRPr="007A0880" w:rsidTr="00043DFA">
        <w:trPr>
          <w:trHeight w:val="347"/>
        </w:trPr>
        <w:tc>
          <w:tcPr>
            <w:tcW w:w="1635"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Альтернатива 2 </w:t>
            </w:r>
          </w:p>
        </w:tc>
        <w:tc>
          <w:tcPr>
            <w:tcW w:w="3365"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Прийняття розробленого нормативно-правового акта</w:t>
            </w:r>
          </w:p>
        </w:tc>
      </w:tr>
    </w:tbl>
    <w:p w:rsidR="005A5914" w:rsidRPr="007A0880" w:rsidRDefault="005A5914" w:rsidP="005A5914">
      <w:pPr>
        <w:spacing w:line="240" w:lineRule="auto"/>
        <w:ind w:firstLine="567"/>
        <w:jc w:val="both"/>
        <w:rPr>
          <w:rFonts w:ascii="Times New Roman" w:eastAsia="Times New Roman" w:hAnsi="Times New Roman" w:cs="Times New Roman"/>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2. Оцінка впливу на сферу інтересів держави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2"/>
        <w:gridCol w:w="3134"/>
        <w:gridCol w:w="3325"/>
      </w:tblGrid>
      <w:tr w:rsidR="007A0880" w:rsidRPr="007A0880" w:rsidTr="00043DFA">
        <w:trPr>
          <w:trHeight w:val="132"/>
        </w:trPr>
        <w:tc>
          <w:tcPr>
            <w:tcW w:w="1647"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Вид альтернативи</w:t>
            </w:r>
          </w:p>
        </w:tc>
        <w:tc>
          <w:tcPr>
            <w:tcW w:w="1627"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Вигоди</w:t>
            </w:r>
          </w:p>
        </w:tc>
        <w:tc>
          <w:tcPr>
            <w:tcW w:w="1726"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Витрати</w:t>
            </w:r>
          </w:p>
        </w:tc>
      </w:tr>
      <w:tr w:rsidR="007A0880" w:rsidRPr="007A0880" w:rsidTr="00043DFA">
        <w:trPr>
          <w:trHeight w:val="745"/>
        </w:trPr>
        <w:tc>
          <w:tcPr>
            <w:tcW w:w="1647"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1</w:t>
            </w:r>
          </w:p>
          <w:p w:rsidR="005A5914" w:rsidRPr="007A0880" w:rsidRDefault="005A5914" w:rsidP="00043DFA">
            <w:pPr>
              <w:spacing w:line="240" w:lineRule="auto"/>
              <w:rPr>
                <w:rFonts w:ascii="Times New Roman" w:eastAsia="Times New Roman" w:hAnsi="Times New Roman" w:cs="Times New Roman"/>
                <w:sz w:val="28"/>
                <w:szCs w:val="28"/>
              </w:rPr>
            </w:pPr>
          </w:p>
        </w:tc>
        <w:tc>
          <w:tcPr>
            <w:tcW w:w="1627"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Відсутні </w:t>
            </w:r>
          </w:p>
        </w:tc>
        <w:tc>
          <w:tcPr>
            <w:tcW w:w="1726" w:type="pct"/>
            <w:tcMar>
              <w:top w:w="100" w:type="dxa"/>
              <w:left w:w="100" w:type="dxa"/>
              <w:bottom w:w="100" w:type="dxa"/>
              <w:right w:w="100" w:type="dxa"/>
            </w:tcMar>
          </w:tcPr>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Відсутність змоги відібрати найкращі банки для надання послуг зі зберігання валютних цінностей серед уповноважених банків, обраних відповідно до Порядку № 1231.</w:t>
            </w:r>
          </w:p>
          <w:p w:rsidR="005A5914" w:rsidRPr="007A0880" w:rsidRDefault="005A5914" w:rsidP="00043DFA">
            <w:pPr>
              <w:spacing w:line="240" w:lineRule="auto"/>
              <w:rPr>
                <w:rFonts w:ascii="Times New Roman" w:eastAsia="Calibri" w:hAnsi="Times New Roman" w:cs="Times New Roman"/>
                <w:sz w:val="28"/>
                <w:szCs w:val="28"/>
              </w:rPr>
            </w:pP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Times New Roman" w:hAnsi="Times New Roman" w:cs="Times New Roman"/>
                <w:sz w:val="28"/>
                <w:szCs w:val="28"/>
              </w:rPr>
              <w:t xml:space="preserve">Неможливість отримання </w:t>
            </w:r>
            <w:r w:rsidRPr="007A0880">
              <w:rPr>
                <w:rFonts w:ascii="Times New Roman" w:eastAsia="Calibri" w:hAnsi="Times New Roman" w:cs="Times New Roman"/>
                <w:sz w:val="28"/>
                <w:szCs w:val="28"/>
              </w:rPr>
              <w:t>у повному обсязі</w:t>
            </w:r>
            <w:r w:rsidRPr="007A0880">
              <w:rPr>
                <w:rFonts w:ascii="Times New Roman" w:eastAsia="Times New Roman" w:hAnsi="Times New Roman" w:cs="Times New Roman"/>
                <w:sz w:val="28"/>
                <w:szCs w:val="28"/>
              </w:rPr>
              <w:t xml:space="preserve"> митними органами послуг банку, </w:t>
            </w:r>
            <w:r w:rsidRPr="007A0880">
              <w:rPr>
                <w:rFonts w:ascii="Times New Roman" w:eastAsia="Calibri" w:hAnsi="Times New Roman" w:cs="Times New Roman"/>
                <w:sz w:val="28"/>
                <w:szCs w:val="28"/>
              </w:rPr>
              <w:t>обраного відповідно до Порядку № 984.</w:t>
            </w:r>
          </w:p>
          <w:p w:rsidR="005A5914" w:rsidRPr="007A0880" w:rsidRDefault="005A5914" w:rsidP="00043DFA">
            <w:pPr>
              <w:spacing w:line="240" w:lineRule="auto"/>
              <w:rPr>
                <w:rFonts w:ascii="Times New Roman" w:eastAsia="Calibri" w:hAnsi="Times New Roman" w:cs="Times New Roman"/>
                <w:sz w:val="28"/>
                <w:szCs w:val="28"/>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Ненадходження до державного бюджету коштів від реалізації готівкової валюти за окремими видами валют, </w:t>
            </w:r>
            <w:r w:rsidRPr="007A0880">
              <w:rPr>
                <w:rFonts w:ascii="Times New Roman" w:eastAsia="Times New Roman" w:hAnsi="Times New Roman" w:cs="Times New Roman"/>
                <w:sz w:val="28"/>
                <w:szCs w:val="28"/>
              </w:rPr>
              <w:lastRenderedPageBreak/>
              <w:t>що перейшла у власність держави</w:t>
            </w:r>
          </w:p>
        </w:tc>
      </w:tr>
      <w:tr w:rsidR="005A5914" w:rsidRPr="007A0880" w:rsidTr="00043DFA">
        <w:trPr>
          <w:trHeight w:val="547"/>
        </w:trPr>
        <w:tc>
          <w:tcPr>
            <w:tcW w:w="1647"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lastRenderedPageBreak/>
              <w:t>Альтернатива 2</w:t>
            </w:r>
          </w:p>
        </w:tc>
        <w:tc>
          <w:tcPr>
            <w:tcW w:w="1627" w:type="pct"/>
            <w:tcMar>
              <w:top w:w="100" w:type="dxa"/>
              <w:left w:w="100" w:type="dxa"/>
              <w:bottom w:w="100" w:type="dxa"/>
              <w:right w:w="100" w:type="dxa"/>
            </w:tcMar>
          </w:tcPr>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 xml:space="preserve">Реалізація акта дасть </w:t>
            </w:r>
            <w:r w:rsidR="00AE631C" w:rsidRPr="007A0880">
              <w:rPr>
                <w:rFonts w:ascii="Times New Roman" w:eastAsia="Calibri" w:hAnsi="Times New Roman" w:cs="Times New Roman"/>
                <w:sz w:val="28"/>
                <w:szCs w:val="28"/>
              </w:rPr>
              <w:t xml:space="preserve">змогу </w:t>
            </w:r>
            <w:r w:rsidRPr="007A0880">
              <w:rPr>
                <w:rFonts w:ascii="Times New Roman" w:eastAsia="Calibri" w:hAnsi="Times New Roman" w:cs="Times New Roman"/>
                <w:sz w:val="28"/>
                <w:szCs w:val="28"/>
              </w:rPr>
              <w:t>встановити єдині правила обліку, зберігання та розпорядження валютними цінностями (крім банківських металів) та врегулює наявні проблемні питання.</w:t>
            </w:r>
          </w:p>
          <w:p w:rsidR="005A5914" w:rsidRPr="007A0880" w:rsidRDefault="005A5914" w:rsidP="00043DFA">
            <w:pPr>
              <w:spacing w:line="240" w:lineRule="auto"/>
              <w:rPr>
                <w:rFonts w:ascii="Times New Roman" w:eastAsia="Calibri" w:hAnsi="Times New Roman" w:cs="Times New Roman"/>
                <w:sz w:val="16"/>
                <w:szCs w:val="16"/>
              </w:rPr>
            </w:pPr>
          </w:p>
          <w:p w:rsidR="005A5914" w:rsidRPr="007A0880" w:rsidRDefault="00AE631C"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Д</w:t>
            </w:r>
            <w:r w:rsidR="005A5914" w:rsidRPr="007A0880">
              <w:rPr>
                <w:rFonts w:ascii="Times New Roman" w:eastAsia="Calibri" w:hAnsi="Times New Roman" w:cs="Times New Roman"/>
                <w:sz w:val="28"/>
                <w:szCs w:val="28"/>
              </w:rPr>
              <w:t xml:space="preserve">асть змогу відібрати найкращі банки для надання послуг зі зберігання валютних цінностей серед уповноважених банків, обраних відповідно до Порядку № 1231, та підвищити їх імідж за рахунок співпраці з державою та </w:t>
            </w: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якісного надання відповідних послуг.</w:t>
            </w:r>
          </w:p>
          <w:p w:rsidR="005A5914" w:rsidRPr="007A0880" w:rsidRDefault="005A5914" w:rsidP="00043DFA">
            <w:pPr>
              <w:spacing w:line="240" w:lineRule="auto"/>
              <w:rPr>
                <w:rFonts w:ascii="Times New Roman" w:eastAsia="Calibri" w:hAnsi="Times New Roman" w:cs="Times New Roman"/>
                <w:sz w:val="16"/>
                <w:szCs w:val="16"/>
              </w:rPr>
            </w:pP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Отримання у повному обсязі</w:t>
            </w:r>
            <w:r w:rsidRPr="007A0880">
              <w:rPr>
                <w:rFonts w:ascii="Times New Roman" w:eastAsia="Times New Roman" w:hAnsi="Times New Roman" w:cs="Times New Roman"/>
                <w:sz w:val="28"/>
                <w:szCs w:val="28"/>
              </w:rPr>
              <w:t xml:space="preserve"> митними органами послуг банку, </w:t>
            </w:r>
            <w:r w:rsidRPr="007A0880">
              <w:rPr>
                <w:rFonts w:ascii="Times New Roman" w:eastAsia="Calibri" w:hAnsi="Times New Roman" w:cs="Times New Roman"/>
                <w:sz w:val="28"/>
                <w:szCs w:val="28"/>
              </w:rPr>
              <w:t xml:space="preserve">обраного відповідно до Порядку № 984. </w:t>
            </w:r>
          </w:p>
          <w:p w:rsidR="005A5914" w:rsidRPr="007A0880" w:rsidRDefault="005A5914" w:rsidP="00043DFA">
            <w:pPr>
              <w:spacing w:line="240" w:lineRule="auto"/>
              <w:rPr>
                <w:rFonts w:ascii="Times New Roman" w:eastAsia="Calibri" w:hAnsi="Times New Roman" w:cs="Times New Roman"/>
                <w:sz w:val="16"/>
                <w:szCs w:val="16"/>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Надходження до державного бюджету коштів від реалізації готівкової валюти за окремими видами валют, що перейшла у власність держави</w:t>
            </w:r>
          </w:p>
        </w:tc>
        <w:tc>
          <w:tcPr>
            <w:tcW w:w="1726"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hAnsi="Times New Roman" w:cs="Times New Roman"/>
                <w:sz w:val="28"/>
                <w:szCs w:val="28"/>
              </w:rPr>
              <w:t xml:space="preserve">Відсутні </w:t>
            </w:r>
          </w:p>
        </w:tc>
      </w:tr>
    </w:tbl>
    <w:p w:rsidR="005A5914" w:rsidRPr="007A0880" w:rsidRDefault="005A5914" w:rsidP="005A5914">
      <w:pPr>
        <w:spacing w:line="240" w:lineRule="auto"/>
        <w:ind w:firstLine="567"/>
        <w:jc w:val="both"/>
        <w:rPr>
          <w:rFonts w:ascii="Times New Roman" w:eastAsia="Times New Roman" w:hAnsi="Times New Roman" w:cs="Times New Roman"/>
          <w:sz w:val="28"/>
          <w:szCs w:val="28"/>
        </w:rPr>
      </w:pPr>
    </w:p>
    <w:p w:rsidR="00AE631C" w:rsidRPr="007A0880" w:rsidRDefault="00AE631C" w:rsidP="005A5914">
      <w:pPr>
        <w:spacing w:line="240" w:lineRule="auto"/>
        <w:ind w:firstLine="567"/>
        <w:jc w:val="both"/>
        <w:rPr>
          <w:rFonts w:ascii="Times New Roman" w:eastAsia="Times New Roman" w:hAnsi="Times New Roman" w:cs="Times New Roman"/>
          <w:sz w:val="28"/>
          <w:szCs w:val="28"/>
        </w:rPr>
      </w:pPr>
    </w:p>
    <w:p w:rsidR="00AE631C" w:rsidRPr="007A0880" w:rsidRDefault="00AE631C" w:rsidP="005A5914">
      <w:pPr>
        <w:spacing w:line="240" w:lineRule="auto"/>
        <w:ind w:firstLine="567"/>
        <w:jc w:val="both"/>
        <w:rPr>
          <w:rFonts w:ascii="Times New Roman" w:eastAsia="Times New Roman" w:hAnsi="Times New Roman" w:cs="Times New Roman"/>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lastRenderedPageBreak/>
        <w:t>3. Оцінка впливу на сферу інтересів суб’єктів господарювання</w:t>
      </w:r>
    </w:p>
    <w:p w:rsidR="00AE631C" w:rsidRPr="007A0880" w:rsidRDefault="00AE631C" w:rsidP="005A5914">
      <w:pPr>
        <w:spacing w:line="240" w:lineRule="auto"/>
        <w:ind w:firstLine="567"/>
        <w:jc w:val="both"/>
        <w:rPr>
          <w:rFonts w:ascii="Times New Roman" w:eastAsia="Times New Roman" w:hAnsi="Times New Roman" w:cs="Times New Roman"/>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Кількість суб’єктів господарювання, на яких поширюватиметься дія акта </w:t>
      </w:r>
    </w:p>
    <w:p w:rsidR="00AE631C" w:rsidRPr="007A0880" w:rsidRDefault="00AE631C" w:rsidP="005A5914">
      <w:pPr>
        <w:spacing w:line="240" w:lineRule="auto"/>
        <w:ind w:firstLine="567"/>
        <w:jc w:val="both"/>
        <w:rPr>
          <w:rFonts w:ascii="Times New Roman" w:eastAsia="Times New Roman" w:hAnsi="Times New Roman" w:cs="Times New Roman"/>
          <w:sz w:val="28"/>
          <w:szCs w:val="28"/>
        </w:rPr>
      </w:pPr>
    </w:p>
    <w:tbl>
      <w:tblPr>
        <w:tblStyle w:val="a7"/>
        <w:tblW w:w="5000" w:type="pct"/>
        <w:tblLook w:val="0400" w:firstRow="0" w:lastRow="0" w:firstColumn="0" w:lastColumn="0" w:noHBand="0" w:noVBand="1"/>
      </w:tblPr>
      <w:tblGrid>
        <w:gridCol w:w="3948"/>
        <w:gridCol w:w="1136"/>
        <w:gridCol w:w="1279"/>
        <w:gridCol w:w="1136"/>
        <w:gridCol w:w="1136"/>
        <w:gridCol w:w="996"/>
      </w:tblGrid>
      <w:tr w:rsidR="007A0880" w:rsidRPr="007A0880" w:rsidTr="00043DFA">
        <w:trPr>
          <w:trHeight w:val="400"/>
        </w:trPr>
        <w:tc>
          <w:tcPr>
            <w:tcW w:w="2049"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Показник</w:t>
            </w: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Великі</w:t>
            </w:r>
          </w:p>
          <w:p w:rsidR="005A5914" w:rsidRPr="007A0880" w:rsidRDefault="005A5914" w:rsidP="00043DFA">
            <w:pPr>
              <w:jc w:val="center"/>
              <w:rPr>
                <w:rFonts w:ascii="Times New Roman" w:eastAsia="Times New Roman" w:hAnsi="Times New Roman" w:cs="Times New Roman"/>
                <w:sz w:val="20"/>
                <w:szCs w:val="20"/>
                <w:lang w:eastAsia="ko-KR"/>
              </w:rPr>
            </w:pPr>
          </w:p>
        </w:tc>
        <w:tc>
          <w:tcPr>
            <w:tcW w:w="664"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Середні</w:t>
            </w:r>
          </w:p>
          <w:p w:rsidR="005A5914" w:rsidRPr="007A0880" w:rsidRDefault="005A5914" w:rsidP="00043DFA">
            <w:pPr>
              <w:jc w:val="center"/>
              <w:rPr>
                <w:rFonts w:ascii="Times New Roman" w:eastAsia="Times New Roman" w:hAnsi="Times New Roman" w:cs="Times New Roman"/>
                <w:sz w:val="28"/>
                <w:szCs w:val="28"/>
                <w:lang w:eastAsia="ko-KR"/>
              </w:rPr>
            </w:pP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Малі</w:t>
            </w:r>
          </w:p>
          <w:p w:rsidR="005A5914" w:rsidRPr="007A0880" w:rsidRDefault="005A5914" w:rsidP="00043DFA">
            <w:pPr>
              <w:jc w:val="center"/>
              <w:rPr>
                <w:rFonts w:ascii="Times New Roman" w:eastAsia="Times New Roman" w:hAnsi="Times New Roman" w:cs="Times New Roman"/>
                <w:sz w:val="20"/>
                <w:szCs w:val="20"/>
                <w:lang w:eastAsia="ko-KR"/>
              </w:rPr>
            </w:pPr>
          </w:p>
        </w:tc>
        <w:tc>
          <w:tcPr>
            <w:tcW w:w="590" w:type="pct"/>
          </w:tcPr>
          <w:p w:rsidR="005A5914" w:rsidRPr="007A0880" w:rsidRDefault="005A5914" w:rsidP="00043DFA">
            <w:pPr>
              <w:ind w:left="-90" w:right="-135"/>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У т. ч. мікро</w:t>
            </w:r>
          </w:p>
        </w:tc>
        <w:tc>
          <w:tcPr>
            <w:tcW w:w="517"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Разом</w:t>
            </w:r>
          </w:p>
        </w:tc>
      </w:tr>
      <w:tr w:rsidR="007A0880" w:rsidRPr="007A0880" w:rsidTr="00043DFA">
        <w:trPr>
          <w:trHeight w:val="1100"/>
        </w:trPr>
        <w:tc>
          <w:tcPr>
            <w:tcW w:w="2049" w:type="pct"/>
          </w:tcPr>
          <w:p w:rsidR="005A5914" w:rsidRPr="007A0880" w:rsidRDefault="005A5914" w:rsidP="00043DFA">
            <w:pP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Кількість суб’єктів господарювання, що підпадають під дію регулювання*, одиниць</w:t>
            </w: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5</w:t>
            </w:r>
          </w:p>
        </w:tc>
        <w:tc>
          <w:tcPr>
            <w:tcW w:w="664"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10</w:t>
            </w: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31</w:t>
            </w: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0</w:t>
            </w:r>
          </w:p>
        </w:tc>
        <w:tc>
          <w:tcPr>
            <w:tcW w:w="517"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46</w:t>
            </w:r>
          </w:p>
        </w:tc>
      </w:tr>
      <w:tr w:rsidR="007A0880" w:rsidRPr="007A0880" w:rsidTr="00043DFA">
        <w:tc>
          <w:tcPr>
            <w:tcW w:w="2049" w:type="pct"/>
          </w:tcPr>
          <w:p w:rsidR="005A5914" w:rsidRPr="007A0880" w:rsidRDefault="005A5914" w:rsidP="00043DFA">
            <w:pP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Питома вага групи у загальній кількості, відсотків</w:t>
            </w: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10,9</w:t>
            </w:r>
          </w:p>
        </w:tc>
        <w:tc>
          <w:tcPr>
            <w:tcW w:w="664"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21,7</w:t>
            </w: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67,4</w:t>
            </w:r>
          </w:p>
        </w:tc>
        <w:tc>
          <w:tcPr>
            <w:tcW w:w="590"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0</w:t>
            </w:r>
          </w:p>
        </w:tc>
        <w:tc>
          <w:tcPr>
            <w:tcW w:w="517" w:type="pct"/>
          </w:tcPr>
          <w:p w:rsidR="005A5914" w:rsidRPr="007A0880" w:rsidRDefault="005A5914" w:rsidP="00043DFA">
            <w:pPr>
              <w:jc w:val="center"/>
              <w:rPr>
                <w:rFonts w:ascii="Times New Roman" w:eastAsia="Times New Roman" w:hAnsi="Times New Roman" w:cs="Times New Roman"/>
                <w:sz w:val="28"/>
                <w:szCs w:val="28"/>
                <w:lang w:eastAsia="ko-KR"/>
              </w:rPr>
            </w:pPr>
            <w:r w:rsidRPr="007A0880">
              <w:rPr>
                <w:rFonts w:ascii="Times New Roman" w:eastAsia="Times New Roman" w:hAnsi="Times New Roman" w:cs="Times New Roman"/>
                <w:sz w:val="28"/>
                <w:szCs w:val="28"/>
                <w:lang w:eastAsia="ko-KR"/>
              </w:rPr>
              <w:t>100</w:t>
            </w:r>
          </w:p>
        </w:tc>
      </w:tr>
    </w:tbl>
    <w:p w:rsidR="005A5914" w:rsidRPr="007A0880" w:rsidRDefault="005A5914" w:rsidP="005A5914">
      <w:pPr>
        <w:pStyle w:val="a5"/>
        <w:spacing w:before="0" w:beforeAutospacing="0" w:after="0" w:afterAutospacing="0"/>
        <w:ind w:firstLine="567"/>
        <w:jc w:val="both"/>
        <w:rPr>
          <w:rFonts w:eastAsia="Times New Roman"/>
        </w:rPr>
      </w:pPr>
      <w:r w:rsidRPr="007A0880">
        <w:rPr>
          <w:rFonts w:eastAsia="Times New Roman"/>
        </w:rPr>
        <w:t xml:space="preserve">* кількість банків, через які здійснюється виплата пенсій, грошової допомоги, виплат за загальнообов’язковим державним соціальним страхуванням та заробітної плати працівникам бюджетних установ, перелік яких оприлюднено на офіційному </w:t>
      </w:r>
      <w:proofErr w:type="spellStart"/>
      <w:r w:rsidRPr="007A0880">
        <w:rPr>
          <w:rFonts w:eastAsia="Times New Roman"/>
        </w:rPr>
        <w:t>вебсайті</w:t>
      </w:r>
      <w:proofErr w:type="spellEnd"/>
      <w:r w:rsidRPr="007A0880">
        <w:rPr>
          <w:rFonts w:eastAsia="Times New Roman"/>
        </w:rPr>
        <w:t xml:space="preserve"> Міністерства фінансів України.</w:t>
      </w:r>
    </w:p>
    <w:p w:rsidR="005A5914" w:rsidRPr="007A0880" w:rsidRDefault="005A5914" w:rsidP="005A5914">
      <w:pPr>
        <w:spacing w:line="240" w:lineRule="auto"/>
        <w:ind w:firstLine="567"/>
        <w:jc w:val="both"/>
        <w:rPr>
          <w:rFonts w:ascii="Times New Roman" w:eastAsia="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799"/>
        <w:gridCol w:w="3538"/>
        <w:gridCol w:w="3294"/>
      </w:tblGrid>
      <w:tr w:rsidR="007A0880" w:rsidRPr="007A0880" w:rsidTr="00043DFA">
        <w:trPr>
          <w:trHeight w:val="520"/>
        </w:trPr>
        <w:tc>
          <w:tcPr>
            <w:tcW w:w="1453"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Вид альтернативи</w:t>
            </w:r>
          </w:p>
        </w:tc>
        <w:tc>
          <w:tcPr>
            <w:tcW w:w="1837"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Вигоди</w:t>
            </w:r>
          </w:p>
        </w:tc>
        <w:tc>
          <w:tcPr>
            <w:tcW w:w="1710"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Витрати</w:t>
            </w:r>
          </w:p>
        </w:tc>
      </w:tr>
      <w:tr w:rsidR="007A0880" w:rsidRPr="007A0880" w:rsidTr="00043DFA">
        <w:trPr>
          <w:trHeight w:val="365"/>
        </w:trPr>
        <w:tc>
          <w:tcPr>
            <w:tcW w:w="1453"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1</w:t>
            </w:r>
          </w:p>
        </w:tc>
        <w:tc>
          <w:tcPr>
            <w:tcW w:w="1837"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Відсутні</w:t>
            </w:r>
          </w:p>
        </w:tc>
        <w:tc>
          <w:tcPr>
            <w:tcW w:w="1710"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Відсутні</w:t>
            </w:r>
          </w:p>
        </w:tc>
      </w:tr>
      <w:tr w:rsidR="005A5914" w:rsidRPr="007A0880" w:rsidTr="00043DFA">
        <w:trPr>
          <w:trHeight w:val="466"/>
        </w:trPr>
        <w:tc>
          <w:tcPr>
            <w:tcW w:w="1453"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2</w:t>
            </w:r>
          </w:p>
        </w:tc>
        <w:tc>
          <w:tcPr>
            <w:tcW w:w="1837"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Можливість уповноваженим банкам долучитись до співпраці з державою (з розпорядниками валютних цінностей) у частині надання послуг зі зберігання валютних цінностей.</w:t>
            </w:r>
          </w:p>
          <w:p w:rsidR="005A5914" w:rsidRPr="007A0880" w:rsidRDefault="005A5914" w:rsidP="00043DFA">
            <w:pPr>
              <w:spacing w:line="240" w:lineRule="auto"/>
              <w:rPr>
                <w:rFonts w:ascii="Times New Roman" w:eastAsia="Times New Roman" w:hAnsi="Times New Roman" w:cs="Times New Roman"/>
                <w:strike/>
                <w:sz w:val="16"/>
                <w:szCs w:val="16"/>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hAnsi="Times New Roman" w:cs="Times New Roman"/>
                <w:sz w:val="28"/>
                <w:szCs w:val="28"/>
              </w:rPr>
              <w:t xml:space="preserve">Будь-які відносини з уповноваженим банком, у тому числі і щодо зберігання вилученої валюти, будуть регулюватися окремими договорами, якими можуть бути збалансовані всі ризики, вигоди та втрати банків як суб’єктів господарювання, тому </w:t>
            </w:r>
            <w:r w:rsidRPr="007A0880">
              <w:rPr>
                <w:rFonts w:ascii="Times New Roman" w:hAnsi="Times New Roman" w:cs="Times New Roman"/>
                <w:sz w:val="28"/>
                <w:szCs w:val="28"/>
              </w:rPr>
              <w:lastRenderedPageBreak/>
              <w:t>такий спосіб регулювання, як проєкт наказу, не спричинить додаткових незручностей для суб’єктів цієї категорії</w:t>
            </w:r>
          </w:p>
        </w:tc>
        <w:tc>
          <w:tcPr>
            <w:tcW w:w="1710"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lastRenderedPageBreak/>
              <w:t xml:space="preserve">Прогнозуються витрати лише в перший рік впровадження, які пов’язані з необхідністю ознайомлення з новими регуляторними вимогами. Прогнозні витрати на одного суб’єкта господарювання  складатимуть 48 гривень (часу – 1 година; для розрахунку вартості 1 години роботи використано мінімальну заробітну плату у погодинному розмірі, яка відповідно до Закону України «Про Державний бюджет України на 2024 рік» з 1 квітня 2024 року </w:t>
            </w:r>
            <w:r w:rsidRPr="007A0880">
              <w:rPr>
                <w:rFonts w:ascii="Times New Roman" w:eastAsia="Times New Roman" w:hAnsi="Times New Roman" w:cs="Times New Roman"/>
                <w:sz w:val="28"/>
                <w:szCs w:val="28"/>
              </w:rPr>
              <w:lastRenderedPageBreak/>
              <w:t>становитиме – 48 гривень)</w:t>
            </w:r>
          </w:p>
        </w:tc>
      </w:tr>
    </w:tbl>
    <w:p w:rsidR="005A5914" w:rsidRPr="007A0880" w:rsidRDefault="005A5914" w:rsidP="005A5914">
      <w:pPr>
        <w:spacing w:line="240" w:lineRule="auto"/>
        <w:ind w:firstLine="567"/>
        <w:jc w:val="both"/>
        <w:rPr>
          <w:rFonts w:ascii="Times New Roman" w:eastAsia="Times New Roman" w:hAnsi="Times New Roman" w:cs="Times New Roman"/>
          <w:sz w:val="28"/>
          <w:szCs w:val="28"/>
        </w:rPr>
      </w:pP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Будь-які відносини з уповноваженим банком, у тому числі і щодо зберігання вилученої валюти, будуть регулюватися окремими договорами, якими мож</w:t>
      </w:r>
      <w:r w:rsidR="00AE631C" w:rsidRPr="007A0880">
        <w:rPr>
          <w:rFonts w:ascii="Times New Roman" w:hAnsi="Times New Roman" w:cs="Times New Roman"/>
          <w:sz w:val="28"/>
          <w:szCs w:val="28"/>
        </w:rPr>
        <w:t>е</w:t>
      </w:r>
      <w:r w:rsidRPr="007A0880">
        <w:rPr>
          <w:rFonts w:ascii="Times New Roman" w:hAnsi="Times New Roman" w:cs="Times New Roman"/>
          <w:sz w:val="28"/>
          <w:szCs w:val="28"/>
        </w:rPr>
        <w:t xml:space="preserve"> бути збалансован</w:t>
      </w:r>
      <w:r w:rsidR="00AE631C" w:rsidRPr="007A0880">
        <w:rPr>
          <w:rFonts w:ascii="Times New Roman" w:hAnsi="Times New Roman" w:cs="Times New Roman"/>
          <w:sz w:val="28"/>
          <w:szCs w:val="28"/>
        </w:rPr>
        <w:t>о</w:t>
      </w:r>
      <w:r w:rsidRPr="007A0880">
        <w:rPr>
          <w:rFonts w:ascii="Times New Roman" w:hAnsi="Times New Roman" w:cs="Times New Roman"/>
          <w:sz w:val="28"/>
          <w:szCs w:val="28"/>
        </w:rPr>
        <w:t xml:space="preserve"> всі ризики, вигоди та втрати банків як суб’єктів господарювання</w:t>
      </w:r>
      <w:r w:rsidR="00AE631C" w:rsidRPr="007A0880">
        <w:rPr>
          <w:rFonts w:ascii="Times New Roman" w:hAnsi="Times New Roman" w:cs="Times New Roman"/>
          <w:sz w:val="28"/>
          <w:szCs w:val="28"/>
        </w:rPr>
        <w:t>, тому такий спосіб регулювання як проєкт наказу</w:t>
      </w:r>
      <w:r w:rsidRPr="007A0880">
        <w:rPr>
          <w:rFonts w:ascii="Times New Roman" w:hAnsi="Times New Roman" w:cs="Times New Roman"/>
          <w:sz w:val="28"/>
          <w:szCs w:val="28"/>
        </w:rPr>
        <w:t xml:space="preserve"> не спричинить додаткових незручностей для суб’єктів цієї категорії.</w:t>
      </w: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4. Оцінка впливу на сферу інтересів громадян</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Проєкт наказу не впливає на сферу інтересів громадян.</w:t>
      </w:r>
    </w:p>
    <w:p w:rsidR="005A5914" w:rsidRPr="007A0880" w:rsidRDefault="005A5914" w:rsidP="005A5914">
      <w:pPr>
        <w:spacing w:line="240" w:lineRule="auto"/>
        <w:jc w:val="both"/>
        <w:rPr>
          <w:rFonts w:ascii="Times New Roman" w:hAnsi="Times New Roman" w:cs="Times New Roman"/>
          <w:b/>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b/>
          <w:sz w:val="28"/>
          <w:szCs w:val="28"/>
        </w:rPr>
      </w:pPr>
      <w:r w:rsidRPr="007A0880">
        <w:rPr>
          <w:rFonts w:ascii="Times New Roman" w:eastAsia="Times New Roman" w:hAnsi="Times New Roman" w:cs="Times New Roman"/>
          <w:b/>
          <w:sz w:val="28"/>
          <w:szCs w:val="28"/>
        </w:rPr>
        <w:t>ІV. Вибір найбільш оптимального альтернативного способу досягнення цілей</w:t>
      </w: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w:t>
      </w:r>
    </w:p>
    <w:p w:rsidR="005A5914" w:rsidRPr="007A0880" w:rsidRDefault="005A5914" w:rsidP="005A5914">
      <w:pPr>
        <w:spacing w:line="240" w:lineRule="auto"/>
        <w:ind w:firstLine="567"/>
        <w:jc w:val="both"/>
        <w:rPr>
          <w:rFonts w:ascii="Times New Roman" w:eastAsia="Times New Roman" w:hAnsi="Times New Roman" w:cs="Times New Roman"/>
          <w:b/>
          <w:sz w:val="28"/>
          <w:szCs w:val="28"/>
        </w:rPr>
      </w:pPr>
      <w:r w:rsidRPr="007A0880">
        <w:rPr>
          <w:rFonts w:ascii="Times New Roman" w:eastAsia="Times New Roman" w:hAnsi="Times New Roman" w:cs="Times New Roman"/>
          <w:sz w:val="28"/>
          <w:szCs w:val="28"/>
        </w:rPr>
        <w:t>Вартість балів визначається за чотирибальною системою оцінки ступеня досягнення визначених цілей.</w:t>
      </w:r>
    </w:p>
    <w:tbl>
      <w:tblPr>
        <w:tblW w:w="5000" w:type="pct"/>
        <w:tblBorders>
          <w:top w:val="nil"/>
          <w:left w:val="nil"/>
          <w:bottom w:val="nil"/>
          <w:right w:val="nil"/>
          <w:insideH w:val="nil"/>
          <w:insideV w:val="nil"/>
        </w:tblBorders>
        <w:tblLook w:val="0600" w:firstRow="0" w:lastRow="0" w:firstColumn="0" w:lastColumn="0" w:noHBand="1" w:noVBand="1"/>
      </w:tblPr>
      <w:tblGrid>
        <w:gridCol w:w="3118"/>
        <w:gridCol w:w="2823"/>
        <w:gridCol w:w="3682"/>
      </w:tblGrid>
      <w:tr w:rsidR="007A0880" w:rsidRPr="007A0880" w:rsidTr="00043DFA">
        <w:trPr>
          <w:trHeight w:val="454"/>
        </w:trPr>
        <w:tc>
          <w:tcPr>
            <w:tcW w:w="1620" w:type="pct"/>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Рейтинг результативності (досягнення цілей під час вирішення</w:t>
            </w:r>
          </w:p>
        </w:tc>
        <w:tc>
          <w:tcPr>
            <w:tcW w:w="1467"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Бал результативності (за чотирибальною системою оцінки)</w:t>
            </w:r>
          </w:p>
        </w:tc>
        <w:tc>
          <w:tcPr>
            <w:tcW w:w="1913" w:type="pct"/>
            <w:tcBorders>
              <w:top w:val="single" w:sz="7" w:space="0" w:color="000000"/>
              <w:left w:val="nil"/>
              <w:bottom w:val="single" w:sz="7" w:space="0" w:color="000000"/>
              <w:right w:val="single" w:sz="7" w:space="0" w:color="000000"/>
            </w:tcBorders>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Коментарі щодо присвоєння відповідного </w:t>
            </w:r>
            <w:proofErr w:type="spellStart"/>
            <w:r w:rsidRPr="007A0880">
              <w:rPr>
                <w:rFonts w:ascii="Times New Roman" w:eastAsia="Times New Roman" w:hAnsi="Times New Roman" w:cs="Times New Roman"/>
                <w:sz w:val="28"/>
                <w:szCs w:val="28"/>
              </w:rPr>
              <w:t>бала</w:t>
            </w:r>
            <w:proofErr w:type="spellEnd"/>
          </w:p>
        </w:tc>
      </w:tr>
      <w:tr w:rsidR="007A0880" w:rsidRPr="007A0880" w:rsidTr="00043DFA">
        <w:trPr>
          <w:trHeight w:val="910"/>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1</w:t>
            </w: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0</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1 не дає змоги досягнути поставлених цілей державного регулювання</w:t>
            </w:r>
          </w:p>
        </w:tc>
      </w:tr>
      <w:tr w:rsidR="007A0880" w:rsidRPr="007A0880" w:rsidTr="00043DFA">
        <w:trPr>
          <w:trHeight w:val="976"/>
        </w:trPr>
        <w:tc>
          <w:tcPr>
            <w:tcW w:w="1620" w:type="pct"/>
            <w:tcBorders>
              <w:top w:val="nil"/>
              <w:left w:val="single" w:sz="7" w:space="0" w:color="000000"/>
              <w:bottom w:val="single" w:sz="7" w:space="0" w:color="000000"/>
              <w:right w:val="single" w:sz="7" w:space="0" w:color="000000"/>
            </w:tcBorders>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2</w:t>
            </w:r>
          </w:p>
        </w:tc>
        <w:tc>
          <w:tcPr>
            <w:tcW w:w="1467" w:type="pct"/>
            <w:tcBorders>
              <w:top w:val="nil"/>
              <w:left w:val="nil"/>
              <w:bottom w:val="single" w:sz="7" w:space="0" w:color="000000"/>
              <w:right w:val="single" w:sz="7" w:space="0" w:color="000000"/>
            </w:tcBorders>
            <w:tcMar>
              <w:top w:w="100" w:type="dxa"/>
              <w:left w:w="100" w:type="dxa"/>
              <w:bottom w:w="100" w:type="dxa"/>
              <w:right w:w="100" w:type="dxa"/>
            </w:tcMa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4</w:t>
            </w:r>
          </w:p>
        </w:tc>
        <w:tc>
          <w:tcPr>
            <w:tcW w:w="1913" w:type="pct"/>
            <w:tcBorders>
              <w:top w:val="nil"/>
              <w:left w:val="nil"/>
              <w:bottom w:val="single" w:sz="7" w:space="0" w:color="000000"/>
              <w:right w:val="single" w:sz="7" w:space="0" w:color="000000"/>
            </w:tcBorders>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2 дає змогу досягнути поставлених цілей державного регулювання</w:t>
            </w:r>
          </w:p>
        </w:tc>
      </w:tr>
    </w:tbl>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2466"/>
        <w:gridCol w:w="2494"/>
        <w:gridCol w:w="2518"/>
      </w:tblGrid>
      <w:tr w:rsidR="007A0880" w:rsidRPr="007A0880" w:rsidTr="00043DFA">
        <w:trPr>
          <w:trHeight w:val="1249"/>
        </w:trPr>
        <w:tc>
          <w:tcPr>
            <w:tcW w:w="1118"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lastRenderedPageBreak/>
              <w:t xml:space="preserve">Рейтинг </w:t>
            </w:r>
            <w:proofErr w:type="spellStart"/>
            <w:r w:rsidRPr="007A0880">
              <w:rPr>
                <w:rFonts w:ascii="Times New Roman" w:eastAsia="Times New Roman" w:hAnsi="Times New Roman" w:cs="Times New Roman"/>
                <w:sz w:val="28"/>
                <w:szCs w:val="28"/>
              </w:rPr>
              <w:t>результатив-ності</w:t>
            </w:r>
            <w:proofErr w:type="spellEnd"/>
          </w:p>
        </w:tc>
        <w:tc>
          <w:tcPr>
            <w:tcW w:w="1280"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Вигоди</w:t>
            </w:r>
          </w:p>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(підсумок)</w:t>
            </w:r>
          </w:p>
        </w:tc>
        <w:tc>
          <w:tcPr>
            <w:tcW w:w="1295"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Витрати (підсумок)</w:t>
            </w:r>
          </w:p>
        </w:tc>
        <w:tc>
          <w:tcPr>
            <w:tcW w:w="1307"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Обґрунтування відповідного місця альтернативи у рейтингу</w:t>
            </w:r>
          </w:p>
        </w:tc>
      </w:tr>
      <w:tr w:rsidR="007A0880" w:rsidRPr="007A0880" w:rsidTr="00043DFA">
        <w:trPr>
          <w:trHeight w:val="2525"/>
        </w:trPr>
        <w:tc>
          <w:tcPr>
            <w:tcW w:w="1118"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1</w:t>
            </w:r>
          </w:p>
        </w:tc>
        <w:tc>
          <w:tcPr>
            <w:tcW w:w="1280"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Для держави: відсутні.</w:t>
            </w:r>
          </w:p>
          <w:p w:rsidR="005A5914" w:rsidRPr="007A0880" w:rsidRDefault="005A5914" w:rsidP="00043DFA">
            <w:pPr>
              <w:spacing w:line="240" w:lineRule="auto"/>
              <w:rPr>
                <w:rFonts w:ascii="Times New Roman" w:eastAsia="Times New Roman" w:hAnsi="Times New Roman" w:cs="Times New Roman"/>
                <w:sz w:val="16"/>
                <w:szCs w:val="16"/>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Для суб’єктів господарювання:</w:t>
            </w: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відсутні </w:t>
            </w:r>
          </w:p>
          <w:p w:rsidR="005A5914" w:rsidRPr="007A0880" w:rsidRDefault="005A5914" w:rsidP="00043DFA">
            <w:pPr>
              <w:spacing w:line="240" w:lineRule="auto"/>
              <w:rPr>
                <w:rFonts w:ascii="Times New Roman" w:eastAsia="Times New Roman" w:hAnsi="Times New Roman" w:cs="Times New Roman"/>
                <w:sz w:val="28"/>
                <w:szCs w:val="28"/>
              </w:rPr>
            </w:pPr>
          </w:p>
        </w:tc>
        <w:tc>
          <w:tcPr>
            <w:tcW w:w="1295"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Для держави:</w:t>
            </w: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 xml:space="preserve">відсутність змоги відібрати найкращі банки для надання послуг зі зберігання валютних цінностей серед уповноважених банків, обраних відповідно до Порядку № 1231, та підвищити їх імідж за рахунок співпраці з державою та </w:t>
            </w: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якісного надання відповідних послуг;</w:t>
            </w:r>
          </w:p>
          <w:p w:rsidR="005A5914" w:rsidRPr="007A0880" w:rsidRDefault="005A5914" w:rsidP="00043DFA">
            <w:pPr>
              <w:spacing w:line="240" w:lineRule="auto"/>
              <w:rPr>
                <w:rFonts w:ascii="Times New Roman" w:eastAsia="Times New Roman" w:hAnsi="Times New Roman" w:cs="Times New Roman"/>
                <w:sz w:val="28"/>
                <w:szCs w:val="28"/>
              </w:rPr>
            </w:pP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Times New Roman" w:hAnsi="Times New Roman" w:cs="Times New Roman"/>
                <w:sz w:val="28"/>
                <w:szCs w:val="28"/>
              </w:rPr>
              <w:t xml:space="preserve">неможливість отримання </w:t>
            </w:r>
            <w:r w:rsidRPr="007A0880">
              <w:rPr>
                <w:rFonts w:ascii="Times New Roman" w:eastAsia="Calibri" w:hAnsi="Times New Roman" w:cs="Times New Roman"/>
                <w:sz w:val="28"/>
                <w:szCs w:val="28"/>
              </w:rPr>
              <w:t>у повному обсязі</w:t>
            </w:r>
            <w:r w:rsidRPr="007A0880">
              <w:rPr>
                <w:rFonts w:ascii="Times New Roman" w:eastAsia="Times New Roman" w:hAnsi="Times New Roman" w:cs="Times New Roman"/>
                <w:sz w:val="28"/>
                <w:szCs w:val="28"/>
              </w:rPr>
              <w:t xml:space="preserve"> митними органами послуг банку, </w:t>
            </w:r>
            <w:r w:rsidRPr="007A0880">
              <w:rPr>
                <w:rFonts w:ascii="Times New Roman" w:eastAsia="Calibri" w:hAnsi="Times New Roman" w:cs="Times New Roman"/>
                <w:sz w:val="28"/>
                <w:szCs w:val="28"/>
              </w:rPr>
              <w:t>обраного відповідно до Порядку № 984;</w:t>
            </w:r>
          </w:p>
          <w:p w:rsidR="005A5914" w:rsidRPr="007A0880" w:rsidRDefault="005A5914" w:rsidP="00043DFA">
            <w:pPr>
              <w:spacing w:line="240" w:lineRule="auto"/>
              <w:rPr>
                <w:rFonts w:ascii="Times New Roman" w:eastAsia="Times New Roman" w:hAnsi="Times New Roman" w:cs="Times New Roman"/>
                <w:sz w:val="28"/>
                <w:szCs w:val="28"/>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ненадходження до державного бюджету коштів від реалізації готівкової валюти за окремими видами валют, що </w:t>
            </w:r>
            <w:r w:rsidRPr="007A0880">
              <w:rPr>
                <w:rFonts w:ascii="Times New Roman" w:eastAsia="Times New Roman" w:hAnsi="Times New Roman" w:cs="Times New Roman"/>
                <w:sz w:val="28"/>
                <w:szCs w:val="28"/>
              </w:rPr>
              <w:lastRenderedPageBreak/>
              <w:t>перейшла у власність держави.</w:t>
            </w:r>
          </w:p>
          <w:p w:rsidR="005A5914" w:rsidRPr="007A0880" w:rsidRDefault="005A5914" w:rsidP="00043DFA">
            <w:pPr>
              <w:spacing w:line="240" w:lineRule="auto"/>
              <w:rPr>
                <w:rFonts w:ascii="Times New Roman" w:eastAsia="Times New Roman" w:hAnsi="Times New Roman" w:cs="Times New Roman"/>
                <w:sz w:val="28"/>
                <w:szCs w:val="28"/>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Для суб’єктів господарювання:</w:t>
            </w: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відсутні</w:t>
            </w:r>
          </w:p>
        </w:tc>
        <w:tc>
          <w:tcPr>
            <w:tcW w:w="1307" w:type="pct"/>
            <w:tcMar>
              <w:top w:w="100" w:type="dxa"/>
              <w:left w:w="100" w:type="dxa"/>
              <w:bottom w:w="100" w:type="dxa"/>
              <w:right w:w="100" w:type="dxa"/>
            </w:tcMar>
          </w:tcPr>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Times New Roman" w:hAnsi="Times New Roman" w:cs="Times New Roman"/>
                <w:sz w:val="28"/>
                <w:szCs w:val="28"/>
              </w:rPr>
              <w:lastRenderedPageBreak/>
              <w:t>Є найгіршою, оскільки не дає змоги досягнути поставлених цілей державного регулювання</w:t>
            </w:r>
          </w:p>
        </w:tc>
      </w:tr>
      <w:tr w:rsidR="005A5914" w:rsidRPr="007A0880" w:rsidTr="00043DFA">
        <w:trPr>
          <w:trHeight w:val="316"/>
        </w:trPr>
        <w:tc>
          <w:tcPr>
            <w:tcW w:w="1118"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2</w:t>
            </w:r>
          </w:p>
        </w:tc>
        <w:tc>
          <w:tcPr>
            <w:tcW w:w="1280" w:type="pct"/>
            <w:tcMar>
              <w:top w:w="100" w:type="dxa"/>
              <w:left w:w="100" w:type="dxa"/>
              <w:bottom w:w="100" w:type="dxa"/>
              <w:right w:w="100" w:type="dxa"/>
            </w:tcMar>
          </w:tcPr>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Для держави:</w:t>
            </w: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 xml:space="preserve">дасть змогу відібрати найкращі банки для надання послуг зі зберігання валютних цінностей серед уповноважених банків, обраних відповідно до Порядку № 1231, та підвищити їх імідж за рахунок співпраці з державою та </w:t>
            </w: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якісного надання відповідних послуг;</w:t>
            </w:r>
          </w:p>
          <w:p w:rsidR="005A5914" w:rsidRPr="007A0880" w:rsidRDefault="005A5914" w:rsidP="00043DFA">
            <w:pPr>
              <w:spacing w:line="240" w:lineRule="auto"/>
              <w:rPr>
                <w:rFonts w:ascii="Times New Roman" w:eastAsia="Calibri" w:hAnsi="Times New Roman" w:cs="Times New Roman"/>
                <w:sz w:val="16"/>
                <w:szCs w:val="16"/>
              </w:rPr>
            </w:pPr>
          </w:p>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t>отримання у повному обсязі</w:t>
            </w:r>
            <w:r w:rsidRPr="007A0880">
              <w:rPr>
                <w:rFonts w:ascii="Times New Roman" w:eastAsia="Times New Roman" w:hAnsi="Times New Roman" w:cs="Times New Roman"/>
                <w:sz w:val="28"/>
                <w:szCs w:val="28"/>
              </w:rPr>
              <w:t xml:space="preserve"> митними органами послуг банку, </w:t>
            </w:r>
            <w:r w:rsidRPr="007A0880">
              <w:rPr>
                <w:rFonts w:ascii="Times New Roman" w:eastAsia="Calibri" w:hAnsi="Times New Roman" w:cs="Times New Roman"/>
                <w:sz w:val="28"/>
                <w:szCs w:val="28"/>
              </w:rPr>
              <w:t>обраного відповідно до Порядку № 984;</w:t>
            </w:r>
          </w:p>
          <w:p w:rsidR="005A5914" w:rsidRPr="007A0880" w:rsidRDefault="005A5914" w:rsidP="00043DFA">
            <w:pPr>
              <w:spacing w:line="240" w:lineRule="auto"/>
              <w:rPr>
                <w:rFonts w:ascii="Times New Roman" w:eastAsia="Times New Roman" w:hAnsi="Times New Roman" w:cs="Times New Roman"/>
                <w:sz w:val="16"/>
                <w:szCs w:val="16"/>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ненадходження до державного бюджету коштів від реалізації готівкової валюти за окремими </w:t>
            </w:r>
            <w:r w:rsidRPr="007A0880">
              <w:rPr>
                <w:rFonts w:ascii="Times New Roman" w:eastAsia="Times New Roman" w:hAnsi="Times New Roman" w:cs="Times New Roman"/>
                <w:sz w:val="28"/>
                <w:szCs w:val="28"/>
              </w:rPr>
              <w:lastRenderedPageBreak/>
              <w:t>видами валют, що перейшла у власність держави.</w:t>
            </w:r>
          </w:p>
          <w:p w:rsidR="005A5914" w:rsidRPr="007A0880" w:rsidRDefault="005A5914" w:rsidP="00043DFA">
            <w:pPr>
              <w:spacing w:line="240" w:lineRule="auto"/>
              <w:rPr>
                <w:rFonts w:ascii="Times New Roman" w:eastAsia="Times New Roman" w:hAnsi="Times New Roman" w:cs="Times New Roman"/>
                <w:sz w:val="16"/>
                <w:szCs w:val="16"/>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u w:val="single"/>
              </w:rPr>
              <w:t>Для суб’єктів господарювання</w:t>
            </w:r>
            <w:r w:rsidRPr="007A0880">
              <w:rPr>
                <w:rFonts w:ascii="Times New Roman" w:eastAsia="Times New Roman" w:hAnsi="Times New Roman" w:cs="Times New Roman"/>
                <w:sz w:val="28"/>
                <w:szCs w:val="28"/>
              </w:rPr>
              <w:t>:</w:t>
            </w: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Можливість уповноваженим банкам долучитись до співпраці з державою (з розпорядниками валютних цінностей) у частині надання послуг зі зберігання валютних цінностей</w:t>
            </w:r>
          </w:p>
        </w:tc>
        <w:tc>
          <w:tcPr>
            <w:tcW w:w="1295" w:type="pct"/>
            <w:tcMar>
              <w:top w:w="100" w:type="dxa"/>
              <w:left w:w="100" w:type="dxa"/>
              <w:bottom w:w="100" w:type="dxa"/>
              <w:right w:w="100" w:type="dxa"/>
            </w:tcMar>
          </w:tcPr>
          <w:p w:rsidR="005A5914" w:rsidRPr="007A0880" w:rsidRDefault="005A5914" w:rsidP="00043DFA">
            <w:pPr>
              <w:spacing w:line="240" w:lineRule="auto"/>
              <w:rPr>
                <w:rFonts w:ascii="Times New Roman" w:eastAsia="Calibri" w:hAnsi="Times New Roman" w:cs="Times New Roman"/>
                <w:sz w:val="28"/>
                <w:szCs w:val="28"/>
              </w:rPr>
            </w:pPr>
            <w:r w:rsidRPr="007A0880">
              <w:rPr>
                <w:rFonts w:ascii="Times New Roman" w:eastAsia="Calibri" w:hAnsi="Times New Roman" w:cs="Times New Roman"/>
                <w:sz w:val="28"/>
                <w:szCs w:val="28"/>
              </w:rPr>
              <w:lastRenderedPageBreak/>
              <w:t>Для держави:</w:t>
            </w: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Calibri" w:hAnsi="Times New Roman" w:cs="Times New Roman"/>
                <w:sz w:val="28"/>
                <w:szCs w:val="28"/>
              </w:rPr>
              <w:t>Відсутні.</w:t>
            </w:r>
          </w:p>
          <w:p w:rsidR="005A5914" w:rsidRPr="007A0880" w:rsidRDefault="005A5914" w:rsidP="00043DFA">
            <w:pPr>
              <w:spacing w:line="240" w:lineRule="auto"/>
              <w:rPr>
                <w:rFonts w:ascii="Times New Roman" w:eastAsia="Times New Roman" w:hAnsi="Times New Roman" w:cs="Times New Roman"/>
                <w:sz w:val="28"/>
                <w:szCs w:val="28"/>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Для суб’єктів господарювання:</w:t>
            </w: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прогнозуються витрати лише в перший рік впровадження, які пов’язані з необхідністю ознайомлення з новими регуляторними вимогами. Прогнозні витрати на одного суб’єкта господарювання  складатимуть 48 гривень (часу – 1 година; для розрахунку вартості 1 години роботи використано мінімальну заробітну плату у погодинному розмірі, яка відповідно до Закону України «Про Державний бюджет України на 2024 рік» з 1 </w:t>
            </w:r>
            <w:r w:rsidRPr="007A0880">
              <w:rPr>
                <w:rFonts w:ascii="Times New Roman" w:eastAsia="Times New Roman" w:hAnsi="Times New Roman" w:cs="Times New Roman"/>
                <w:sz w:val="28"/>
                <w:szCs w:val="28"/>
              </w:rPr>
              <w:lastRenderedPageBreak/>
              <w:t>квітня 2024 року становитиме – 48 гривень)</w:t>
            </w:r>
          </w:p>
        </w:tc>
        <w:tc>
          <w:tcPr>
            <w:tcW w:w="1307"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lastRenderedPageBreak/>
              <w:t>Ця альтернатива є найбільш оптимальним способом досягнення цілей державного регулювання</w:t>
            </w:r>
          </w:p>
          <w:p w:rsidR="005A5914" w:rsidRPr="007A0880" w:rsidRDefault="005A5914" w:rsidP="00043DFA">
            <w:pPr>
              <w:spacing w:line="240" w:lineRule="auto"/>
              <w:rPr>
                <w:rFonts w:ascii="Times New Roman" w:eastAsia="Calibri" w:hAnsi="Times New Roman" w:cs="Times New Roman"/>
                <w:sz w:val="28"/>
                <w:szCs w:val="28"/>
              </w:rPr>
            </w:pP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Calibri" w:hAnsi="Times New Roman" w:cs="Times New Roman"/>
                <w:sz w:val="28"/>
                <w:szCs w:val="28"/>
              </w:rPr>
              <w:t>Призведе до встановлення єдиних правил обліку, зберігання та розпорядження валютними цінностями (крім банківських металів) та врегулює проблемні питання у зазначеному напрямі</w:t>
            </w:r>
          </w:p>
        </w:tc>
      </w:tr>
    </w:tbl>
    <w:p w:rsidR="005A5914" w:rsidRPr="007A0880" w:rsidRDefault="005A5914" w:rsidP="005A5914">
      <w:pPr>
        <w:widowControl w:val="0"/>
        <w:pBdr>
          <w:top w:val="nil"/>
          <w:left w:val="nil"/>
          <w:bottom w:val="nil"/>
          <w:right w:val="nil"/>
          <w:between w:val="nil"/>
        </w:pBdr>
        <w:spacing w:line="240" w:lineRule="auto"/>
        <w:ind w:firstLine="567"/>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30"/>
        <w:gridCol w:w="4099"/>
        <w:gridCol w:w="3402"/>
      </w:tblGrid>
      <w:tr w:rsidR="007A0880" w:rsidRPr="007A0880" w:rsidTr="00043DFA">
        <w:trPr>
          <w:trHeight w:val="1030"/>
        </w:trPr>
        <w:tc>
          <w:tcPr>
            <w:tcW w:w="1106"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Рейтинг</w:t>
            </w:r>
          </w:p>
        </w:tc>
        <w:tc>
          <w:tcPr>
            <w:tcW w:w="2128"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Аргумент щодо переваг обраної альтернативи</w:t>
            </w:r>
            <w:r w:rsidR="00AE631C" w:rsidRPr="007A0880">
              <w:rPr>
                <w:rFonts w:ascii="Times New Roman" w:eastAsia="Times New Roman" w:hAnsi="Times New Roman" w:cs="Times New Roman"/>
                <w:sz w:val="28"/>
                <w:szCs w:val="28"/>
              </w:rPr>
              <w:t> </w:t>
            </w:r>
            <w:r w:rsidRPr="007A0880">
              <w:rPr>
                <w:rFonts w:ascii="Times New Roman" w:eastAsia="Times New Roman" w:hAnsi="Times New Roman" w:cs="Times New Roman"/>
                <w:sz w:val="28"/>
                <w:szCs w:val="28"/>
              </w:rPr>
              <w:t>/</w:t>
            </w:r>
            <w:r w:rsidR="00AE631C" w:rsidRPr="007A0880">
              <w:rPr>
                <w:rFonts w:ascii="Times New Roman" w:eastAsia="Times New Roman" w:hAnsi="Times New Roman" w:cs="Times New Roman"/>
                <w:sz w:val="28"/>
                <w:szCs w:val="28"/>
              </w:rPr>
              <w:t> </w:t>
            </w:r>
            <w:r w:rsidRPr="007A0880">
              <w:rPr>
                <w:rFonts w:ascii="Times New Roman" w:eastAsia="Times New Roman" w:hAnsi="Times New Roman" w:cs="Times New Roman"/>
                <w:sz w:val="28"/>
                <w:szCs w:val="28"/>
              </w:rPr>
              <w:t>причини відмови від альтернативи</w:t>
            </w:r>
          </w:p>
        </w:tc>
        <w:tc>
          <w:tcPr>
            <w:tcW w:w="1766" w:type="pct"/>
            <w:tcMar>
              <w:top w:w="100" w:type="dxa"/>
              <w:left w:w="100" w:type="dxa"/>
              <w:bottom w:w="100" w:type="dxa"/>
              <w:right w:w="100" w:type="dxa"/>
            </w:tcMar>
            <w:vAlign w:val="center"/>
          </w:tcPr>
          <w:p w:rsidR="005A5914" w:rsidRPr="007A0880" w:rsidRDefault="005A5914" w:rsidP="00043DFA">
            <w:pPr>
              <w:spacing w:line="240" w:lineRule="auto"/>
              <w:jc w:val="center"/>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Оцінка ризику зовнішніх чинників на дію запропонованого регуляторного акта</w:t>
            </w:r>
          </w:p>
        </w:tc>
      </w:tr>
      <w:tr w:rsidR="007A0880" w:rsidRPr="007A0880" w:rsidTr="00043DFA">
        <w:trPr>
          <w:trHeight w:val="5057"/>
        </w:trPr>
        <w:tc>
          <w:tcPr>
            <w:tcW w:w="1106"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Альтернатива 1</w:t>
            </w: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 </w:t>
            </w:r>
          </w:p>
        </w:tc>
        <w:tc>
          <w:tcPr>
            <w:tcW w:w="2128"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Цей альтернативний спосіб досягнення цілей не може бути застосований, оскільки для </w:t>
            </w:r>
            <w:r w:rsidRPr="007A0880">
              <w:rPr>
                <w:rFonts w:ascii="Times New Roman" w:hAnsi="Times New Roman" w:cs="Times New Roman"/>
                <w:sz w:val="28"/>
                <w:szCs w:val="28"/>
              </w:rPr>
              <w:t xml:space="preserve">забезпечення митних органів повним спектром банківських послуг відповідно до вимог Порядку № 984 уповноважений банк </w:t>
            </w:r>
            <w:r w:rsidRPr="007A0880">
              <w:rPr>
                <w:rFonts w:ascii="Times New Roman" w:hAnsi="Times New Roman" w:cs="Times New Roman"/>
                <w:sz w:val="28"/>
                <w:szCs w:val="28"/>
                <w:lang w:eastAsia="ru-RU"/>
              </w:rPr>
              <w:t>потрібно додати за рішенням Кабінету Міністрів України та Національного банку України</w:t>
            </w:r>
            <w:r w:rsidRPr="007A0880">
              <w:rPr>
                <w:rFonts w:ascii="Times New Roman" w:hAnsi="Times New Roman" w:cs="Times New Roman"/>
                <w:sz w:val="28"/>
                <w:szCs w:val="28"/>
              </w:rPr>
              <w:t xml:space="preserve"> до переліку уповноважених банків, визначеного Порядком № 11</w:t>
            </w:r>
            <w:r w:rsidRPr="007A0880">
              <w:rPr>
                <w:rFonts w:ascii="Times New Roman" w:hAnsi="Times New Roman" w:cs="Times New Roman"/>
                <w:sz w:val="28"/>
                <w:szCs w:val="28"/>
                <w:lang w:eastAsia="ru-RU"/>
              </w:rPr>
              <w:t>. Такі взаємовідносини не можуть існувати в чинному правовому полі</w:t>
            </w:r>
          </w:p>
        </w:tc>
        <w:tc>
          <w:tcPr>
            <w:tcW w:w="1766"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Ризик зовнішніх чинників відсутній</w:t>
            </w:r>
          </w:p>
        </w:tc>
      </w:tr>
      <w:tr w:rsidR="005A5914" w:rsidRPr="007A0880" w:rsidTr="00043DFA">
        <w:trPr>
          <w:trHeight w:val="1132"/>
        </w:trPr>
        <w:tc>
          <w:tcPr>
            <w:tcW w:w="1106"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lastRenderedPageBreak/>
              <w:t>Альтернатива 2</w:t>
            </w:r>
          </w:p>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 </w:t>
            </w:r>
          </w:p>
        </w:tc>
        <w:tc>
          <w:tcPr>
            <w:tcW w:w="2128" w:type="pct"/>
            <w:tcMar>
              <w:top w:w="100" w:type="dxa"/>
              <w:left w:w="100" w:type="dxa"/>
              <w:bottom w:w="100" w:type="dxa"/>
              <w:right w:w="100" w:type="dxa"/>
            </w:tcMar>
          </w:tcPr>
          <w:p w:rsidR="005A5914" w:rsidRPr="007A0880" w:rsidRDefault="005A5914" w:rsidP="00043DFA">
            <w:pPr>
              <w:pStyle w:val="a8"/>
              <w:rPr>
                <w:rFonts w:ascii="Times New Roman" w:hAnsi="Times New Roman" w:cs="Times New Roman"/>
                <w:sz w:val="28"/>
                <w:szCs w:val="28"/>
              </w:rPr>
            </w:pPr>
            <w:r w:rsidRPr="007A0880">
              <w:rPr>
                <w:rFonts w:ascii="Times New Roman" w:eastAsia="Times New Roman" w:hAnsi="Times New Roman" w:cs="Times New Roman"/>
                <w:sz w:val="28"/>
                <w:szCs w:val="28"/>
              </w:rPr>
              <w:t xml:space="preserve">Розробка </w:t>
            </w:r>
            <w:proofErr w:type="spellStart"/>
            <w:r w:rsidRPr="007A0880">
              <w:rPr>
                <w:rFonts w:ascii="Times New Roman" w:eastAsia="Times New Roman" w:hAnsi="Times New Roman" w:cs="Times New Roman"/>
                <w:sz w:val="28"/>
                <w:szCs w:val="28"/>
              </w:rPr>
              <w:t>проєкту</w:t>
            </w:r>
            <w:proofErr w:type="spellEnd"/>
            <w:r w:rsidRPr="007A0880">
              <w:rPr>
                <w:rFonts w:ascii="Times New Roman" w:eastAsia="Times New Roman" w:hAnsi="Times New Roman" w:cs="Times New Roman"/>
                <w:sz w:val="28"/>
                <w:szCs w:val="28"/>
              </w:rPr>
              <w:t xml:space="preserve"> наказу є єдиним оптимальним способом у досягненні зазначених цілей, такий спосіб дасть змогу надання уповноваженими банками якісних послуг</w:t>
            </w:r>
          </w:p>
        </w:tc>
        <w:tc>
          <w:tcPr>
            <w:tcW w:w="1766" w:type="pct"/>
            <w:tcMar>
              <w:top w:w="100" w:type="dxa"/>
              <w:left w:w="100" w:type="dxa"/>
              <w:bottom w:w="100" w:type="dxa"/>
              <w:right w:w="100" w:type="dxa"/>
            </w:tcMar>
          </w:tcPr>
          <w:p w:rsidR="005A5914" w:rsidRPr="007A0880" w:rsidRDefault="005A5914" w:rsidP="00043DFA">
            <w:pPr>
              <w:spacing w:line="240" w:lineRule="auto"/>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Ризик зовнішніх чинників відсутній</w:t>
            </w:r>
          </w:p>
        </w:tc>
      </w:tr>
    </w:tbl>
    <w:p w:rsidR="005A5914" w:rsidRPr="007A0880" w:rsidRDefault="005A5914" w:rsidP="005A5914">
      <w:pPr>
        <w:spacing w:line="240" w:lineRule="auto"/>
        <w:jc w:val="both"/>
        <w:rPr>
          <w:rFonts w:ascii="Times New Roman" w:hAnsi="Times New Roman" w:cs="Times New Roman"/>
          <w:b/>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b/>
          <w:sz w:val="28"/>
          <w:szCs w:val="28"/>
        </w:rPr>
      </w:pPr>
      <w:r w:rsidRPr="007A0880">
        <w:rPr>
          <w:rFonts w:ascii="Times New Roman" w:eastAsia="Times New Roman" w:hAnsi="Times New Roman" w:cs="Times New Roman"/>
          <w:b/>
          <w:sz w:val="28"/>
          <w:szCs w:val="28"/>
        </w:rPr>
        <w:t>V. Механізм та заходи, які забезпечать розв’язання визначеної проблеми</w:t>
      </w:r>
    </w:p>
    <w:p w:rsidR="005A5914" w:rsidRPr="007A0880" w:rsidRDefault="005A5914" w:rsidP="005A5914">
      <w:pPr>
        <w:spacing w:line="240" w:lineRule="auto"/>
        <w:ind w:firstLine="567"/>
        <w:jc w:val="both"/>
        <w:rPr>
          <w:rFonts w:ascii="Times New Roman" w:eastAsia="Times New Roman" w:hAnsi="Times New Roman" w:cs="Times New Roman"/>
          <w:i/>
          <w:sz w:val="28"/>
          <w:szCs w:val="28"/>
        </w:rPr>
      </w:pP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Механізм дії регуляторного акта</w:t>
      </w:r>
    </w:p>
    <w:p w:rsidR="005A5914" w:rsidRPr="007A0880" w:rsidRDefault="005A5914" w:rsidP="005A5914">
      <w:pPr>
        <w:spacing w:line="240" w:lineRule="auto"/>
        <w:ind w:firstLine="567"/>
        <w:jc w:val="both"/>
        <w:rPr>
          <w:rFonts w:ascii="Times New Roman" w:eastAsia="Times New Roman" w:hAnsi="Times New Roman" w:cs="Times New Roman"/>
          <w:sz w:val="16"/>
          <w:szCs w:val="16"/>
        </w:rPr>
      </w:pPr>
    </w:p>
    <w:p w:rsidR="005A5914" w:rsidRPr="007A0880" w:rsidRDefault="005A5914" w:rsidP="005A5914">
      <w:pPr>
        <w:spacing w:line="240" w:lineRule="auto"/>
        <w:ind w:firstLine="567"/>
        <w:jc w:val="both"/>
        <w:rPr>
          <w:rFonts w:ascii="Times New Roman" w:eastAsia="Times New Roman" w:hAnsi="Times New Roman" w:cs="Times New Roman"/>
          <w:sz w:val="28"/>
          <w:szCs w:val="28"/>
        </w:rPr>
      </w:pPr>
      <w:r w:rsidRPr="007A0880">
        <w:rPr>
          <w:rFonts w:ascii="Times New Roman" w:eastAsia="Times New Roman" w:hAnsi="Times New Roman" w:cs="Times New Roman"/>
          <w:sz w:val="28"/>
          <w:szCs w:val="28"/>
        </w:rPr>
        <w:t xml:space="preserve">Основним механізмом для розв’язання визначеної проблеми є прийняття </w:t>
      </w:r>
      <w:proofErr w:type="spellStart"/>
      <w:r w:rsidRPr="007A0880">
        <w:rPr>
          <w:rFonts w:ascii="Times New Roman" w:eastAsia="Times New Roman" w:hAnsi="Times New Roman" w:cs="Times New Roman"/>
          <w:sz w:val="28"/>
          <w:szCs w:val="28"/>
        </w:rPr>
        <w:t>проєкту</w:t>
      </w:r>
      <w:proofErr w:type="spellEnd"/>
      <w:r w:rsidRPr="007A0880">
        <w:rPr>
          <w:rFonts w:ascii="Times New Roman" w:eastAsia="Times New Roman" w:hAnsi="Times New Roman" w:cs="Times New Roman"/>
          <w:sz w:val="28"/>
          <w:szCs w:val="28"/>
        </w:rPr>
        <w:t xml:space="preserve"> регуляторного акта.</w:t>
      </w:r>
    </w:p>
    <w:p w:rsidR="005A5914" w:rsidRPr="007A0880" w:rsidRDefault="005A5914" w:rsidP="005A5914">
      <w:pPr>
        <w:spacing w:line="240" w:lineRule="auto"/>
        <w:ind w:firstLine="567"/>
        <w:jc w:val="both"/>
        <w:rPr>
          <w:rFonts w:ascii="Times New Roman" w:eastAsia="Calibri" w:hAnsi="Times New Roman" w:cs="Times New Roman"/>
          <w:sz w:val="28"/>
          <w:szCs w:val="28"/>
        </w:rPr>
      </w:pPr>
      <w:r w:rsidRPr="007A0880">
        <w:rPr>
          <w:rFonts w:ascii="Times New Roman" w:eastAsia="Times New Roman" w:hAnsi="Times New Roman" w:cs="Times New Roman"/>
          <w:sz w:val="28"/>
          <w:szCs w:val="28"/>
        </w:rPr>
        <w:t>Проєктом наказу передбач</w:t>
      </w:r>
      <w:r w:rsidR="00AE631C" w:rsidRPr="007A0880">
        <w:rPr>
          <w:rFonts w:ascii="Times New Roman" w:eastAsia="Times New Roman" w:hAnsi="Times New Roman" w:cs="Times New Roman"/>
          <w:sz w:val="28"/>
          <w:szCs w:val="28"/>
        </w:rPr>
        <w:t xml:space="preserve">ено </w:t>
      </w:r>
      <w:r w:rsidRPr="007A0880">
        <w:rPr>
          <w:rFonts w:ascii="Times New Roman" w:eastAsia="Times New Roman" w:hAnsi="Times New Roman" w:cs="Times New Roman"/>
          <w:sz w:val="28"/>
          <w:szCs w:val="28"/>
        </w:rPr>
        <w:t xml:space="preserve">затвердження </w:t>
      </w:r>
      <w:r w:rsidRPr="007A0880">
        <w:rPr>
          <w:rFonts w:ascii="Times New Roman" w:hAnsi="Times New Roman" w:cs="Times New Roman"/>
          <w:sz w:val="28"/>
          <w:szCs w:val="28"/>
        </w:rPr>
        <w:t xml:space="preserve">Порядку розпорядження валютними цінностями (крім банківських металів), що переходять у власність держави, що </w:t>
      </w:r>
      <w:r w:rsidRPr="007A0880">
        <w:rPr>
          <w:rFonts w:ascii="Times New Roman" w:eastAsia="Calibri" w:hAnsi="Times New Roman" w:cs="Times New Roman"/>
          <w:sz w:val="28"/>
          <w:szCs w:val="28"/>
        </w:rPr>
        <w:t xml:space="preserve">призведе до встановлення єдиних правил обліку, зберігання та розпорядження валютними цінностями (крім </w:t>
      </w:r>
      <w:r w:rsidRPr="007A0880">
        <w:rPr>
          <w:rFonts w:ascii="Times New Roman" w:hAnsi="Times New Roman" w:cs="Times New Roman"/>
          <w:sz w:val="28"/>
          <w:szCs w:val="28"/>
        </w:rPr>
        <w:t>банківських металів</w:t>
      </w:r>
      <w:r w:rsidRPr="007A0880">
        <w:rPr>
          <w:rFonts w:ascii="Times New Roman" w:eastAsia="Calibri" w:hAnsi="Times New Roman" w:cs="Times New Roman"/>
          <w:sz w:val="28"/>
          <w:szCs w:val="28"/>
        </w:rPr>
        <w:t>).</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 xml:space="preserve">Визначення розпорядниками валютних цінностей уповноваженого банку здійснюється серед банків, які відповідають вимогам Порядку № 1231, що дасть змогу відібрати найкращі банки для якісного надання відповідних послуг. Для митних органів уповноваженим банком буде банк, який вибраний відповідно Порядку № 984, що </w:t>
      </w:r>
      <w:r w:rsidR="00AE631C" w:rsidRPr="007A0880">
        <w:rPr>
          <w:rFonts w:ascii="Times New Roman" w:hAnsi="Times New Roman" w:cs="Times New Roman"/>
          <w:sz w:val="28"/>
          <w:szCs w:val="28"/>
        </w:rPr>
        <w:t xml:space="preserve">дасть змогу </w:t>
      </w:r>
      <w:r w:rsidRPr="007A0880">
        <w:rPr>
          <w:rFonts w:ascii="Times New Roman" w:hAnsi="Times New Roman" w:cs="Times New Roman"/>
          <w:sz w:val="28"/>
          <w:szCs w:val="28"/>
        </w:rPr>
        <w:t>забезпечити митні органи повним спектром банківських послуг.</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 xml:space="preserve"> </w:t>
      </w:r>
    </w:p>
    <w:p w:rsidR="005A5914" w:rsidRPr="007A0880" w:rsidRDefault="005A5914" w:rsidP="005A5914">
      <w:pPr>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Організаційні заходи впровадження регуляторного акта в дію</w:t>
      </w:r>
    </w:p>
    <w:p w:rsidR="005A5914" w:rsidRPr="007A0880" w:rsidRDefault="005A5914" w:rsidP="005A5914">
      <w:pPr>
        <w:spacing w:line="240" w:lineRule="auto"/>
        <w:ind w:firstLine="567"/>
        <w:jc w:val="both"/>
        <w:rPr>
          <w:rFonts w:ascii="Times New Roman" w:hAnsi="Times New Roman" w:cs="Times New Roman"/>
          <w:sz w:val="16"/>
          <w:szCs w:val="16"/>
        </w:rPr>
      </w:pPr>
    </w:p>
    <w:p w:rsidR="005A5914" w:rsidRPr="007A0880" w:rsidRDefault="005A5914" w:rsidP="005A5914">
      <w:pPr>
        <w:pStyle w:val="a5"/>
        <w:spacing w:before="0" w:beforeAutospacing="0" w:after="0" w:afterAutospacing="0"/>
        <w:ind w:firstLine="567"/>
        <w:jc w:val="both"/>
        <w:rPr>
          <w:sz w:val="28"/>
          <w:szCs w:val="28"/>
        </w:rPr>
      </w:pPr>
      <w:r w:rsidRPr="007A0880">
        <w:rPr>
          <w:sz w:val="28"/>
          <w:szCs w:val="28"/>
        </w:rPr>
        <w:t xml:space="preserve">Для впровадження цього регуляторного акта необхідно забезпечити інформування громадськості про вимоги регуляторного акта шляхом його оприлюднення в засобах масової інформації та на офіційному </w:t>
      </w:r>
      <w:proofErr w:type="spellStart"/>
      <w:r w:rsidRPr="007A0880">
        <w:rPr>
          <w:sz w:val="28"/>
          <w:szCs w:val="28"/>
        </w:rPr>
        <w:t>вебсайті</w:t>
      </w:r>
      <w:proofErr w:type="spellEnd"/>
      <w:r w:rsidRPr="007A0880">
        <w:rPr>
          <w:sz w:val="28"/>
          <w:szCs w:val="28"/>
        </w:rPr>
        <w:t xml:space="preserve"> Міністерства фінансів України. </w:t>
      </w:r>
    </w:p>
    <w:p w:rsidR="005A5914" w:rsidRPr="007A0880" w:rsidRDefault="005A5914" w:rsidP="005A5914">
      <w:pPr>
        <w:pStyle w:val="a5"/>
        <w:shd w:val="clear" w:color="auto" w:fill="FFFFFF" w:themeFill="background1"/>
        <w:spacing w:before="0" w:beforeAutospacing="0" w:after="0" w:afterAutospacing="0"/>
        <w:ind w:firstLine="567"/>
        <w:jc w:val="both"/>
        <w:rPr>
          <w:sz w:val="28"/>
          <w:szCs w:val="28"/>
        </w:rPr>
      </w:pPr>
      <w:r w:rsidRPr="007A0880">
        <w:rPr>
          <w:sz w:val="28"/>
          <w:szCs w:val="28"/>
        </w:rPr>
        <w:t>Ризику впливу зовнішніх факторів на дію регуляторного акта немає.</w:t>
      </w:r>
    </w:p>
    <w:p w:rsidR="005A5914" w:rsidRPr="007A0880" w:rsidRDefault="005A5914" w:rsidP="005A5914">
      <w:pPr>
        <w:pStyle w:val="a5"/>
        <w:shd w:val="clear" w:color="auto" w:fill="FFFFFF" w:themeFill="background1"/>
        <w:spacing w:before="0" w:beforeAutospacing="0" w:after="0" w:afterAutospacing="0"/>
        <w:ind w:firstLine="567"/>
        <w:jc w:val="both"/>
        <w:rPr>
          <w:sz w:val="28"/>
          <w:szCs w:val="28"/>
        </w:rPr>
      </w:pPr>
      <w:r w:rsidRPr="007A0880">
        <w:rPr>
          <w:sz w:val="28"/>
          <w:szCs w:val="28"/>
        </w:rPr>
        <w:t>Досягнення цілей не передбачає додаткових організаційних заходів.</w:t>
      </w:r>
    </w:p>
    <w:p w:rsidR="005A5914" w:rsidRPr="007A0880" w:rsidRDefault="005A5914" w:rsidP="005A5914">
      <w:pPr>
        <w:pStyle w:val="a5"/>
        <w:shd w:val="clear" w:color="auto" w:fill="FFFFFF" w:themeFill="background1"/>
        <w:spacing w:before="0" w:beforeAutospacing="0" w:after="0" w:afterAutospacing="0"/>
        <w:ind w:firstLine="567"/>
        <w:jc w:val="both"/>
        <w:rPr>
          <w:sz w:val="28"/>
          <w:szCs w:val="28"/>
        </w:rPr>
      </w:pPr>
      <w:r w:rsidRPr="007A0880">
        <w:rPr>
          <w:sz w:val="28"/>
          <w:szCs w:val="28"/>
        </w:rPr>
        <w:t xml:space="preserve">Прийняття </w:t>
      </w:r>
      <w:proofErr w:type="spellStart"/>
      <w:r w:rsidRPr="007A0880">
        <w:rPr>
          <w:sz w:val="28"/>
          <w:szCs w:val="28"/>
        </w:rPr>
        <w:t>проєкту</w:t>
      </w:r>
      <w:proofErr w:type="spellEnd"/>
      <w:r w:rsidRPr="007A0880">
        <w:rPr>
          <w:sz w:val="28"/>
          <w:szCs w:val="28"/>
        </w:rPr>
        <w:t xml:space="preserve"> наказу не призведе до неочікуваних результатів і не потребує додаткових витрат з державного бюджету.</w:t>
      </w:r>
    </w:p>
    <w:p w:rsidR="005A5914" w:rsidRPr="007A0880" w:rsidRDefault="005A5914" w:rsidP="005A5914">
      <w:pPr>
        <w:pStyle w:val="a5"/>
        <w:shd w:val="clear" w:color="auto" w:fill="FFFFFF" w:themeFill="background1"/>
        <w:spacing w:before="0" w:beforeAutospacing="0" w:after="0" w:afterAutospacing="0"/>
        <w:ind w:firstLine="567"/>
        <w:jc w:val="both"/>
        <w:rPr>
          <w:sz w:val="28"/>
          <w:szCs w:val="28"/>
        </w:rPr>
      </w:pPr>
      <w:r w:rsidRPr="007A0880">
        <w:rPr>
          <w:sz w:val="28"/>
          <w:szCs w:val="28"/>
        </w:rPr>
        <w:t xml:space="preserve">Можлива шкода </w:t>
      </w:r>
      <w:r w:rsidR="00AE631C" w:rsidRPr="007A0880">
        <w:rPr>
          <w:sz w:val="28"/>
          <w:szCs w:val="28"/>
        </w:rPr>
        <w:t xml:space="preserve">в </w:t>
      </w:r>
      <w:r w:rsidRPr="007A0880">
        <w:rPr>
          <w:sz w:val="28"/>
          <w:szCs w:val="28"/>
        </w:rPr>
        <w:t>разі очікуваних наслідків дії акта не прогнозується.</w:t>
      </w:r>
    </w:p>
    <w:p w:rsidR="005A5914" w:rsidRPr="007A0880" w:rsidRDefault="005A5914" w:rsidP="005A5914">
      <w:pPr>
        <w:pStyle w:val="a5"/>
        <w:shd w:val="clear" w:color="auto" w:fill="FFFFFF" w:themeFill="background1"/>
        <w:spacing w:before="0" w:beforeAutospacing="0" w:after="0" w:afterAutospacing="0"/>
        <w:ind w:firstLine="567"/>
        <w:jc w:val="both"/>
        <w:rPr>
          <w:rFonts w:eastAsia="Times New Roman"/>
          <w:i/>
          <w:sz w:val="28"/>
          <w:szCs w:val="28"/>
          <w:lang w:eastAsia="ko-KR"/>
        </w:rPr>
      </w:pPr>
      <w:r w:rsidRPr="007A0880">
        <w:rPr>
          <w:sz w:val="28"/>
          <w:szCs w:val="28"/>
        </w:rPr>
        <w:t xml:space="preserve">З боку банків відсутня необхідність вчинення додаткових дій, оскільки проєкт акта не спричиняє додаткових регуляторних бар’єрів щодо здійснення банківської діяльності. Банкам </w:t>
      </w:r>
      <w:r w:rsidRPr="007A0880">
        <w:rPr>
          <w:rFonts w:eastAsia="Times New Roman"/>
          <w:sz w:val="28"/>
          <w:szCs w:val="28"/>
        </w:rPr>
        <w:t xml:space="preserve">необхідно лише </w:t>
      </w:r>
      <w:r w:rsidRPr="007A0880">
        <w:rPr>
          <w:rFonts w:eastAsia="Times New Roman"/>
          <w:sz w:val="28"/>
          <w:szCs w:val="28"/>
          <w:lang w:eastAsia="ko-KR"/>
        </w:rPr>
        <w:t>отримати первинну інформацію про вимоги регулювання (ознайомитись з положеннями нормативно-правового акта).</w:t>
      </w:r>
    </w:p>
    <w:p w:rsidR="005A5914" w:rsidRPr="007A0880" w:rsidRDefault="005A5914" w:rsidP="005A5914">
      <w:pPr>
        <w:spacing w:line="240" w:lineRule="auto"/>
        <w:ind w:firstLine="567"/>
        <w:jc w:val="center"/>
        <w:rPr>
          <w:rFonts w:ascii="Times New Roman" w:hAnsi="Times New Roman" w:cs="Times New Roman"/>
          <w:b/>
          <w:sz w:val="28"/>
          <w:szCs w:val="28"/>
        </w:rPr>
      </w:pPr>
    </w:p>
    <w:p w:rsidR="00AE631C" w:rsidRPr="007A0880" w:rsidRDefault="00AE631C" w:rsidP="005A5914">
      <w:pPr>
        <w:pStyle w:val="rvps12"/>
        <w:shd w:val="clear" w:color="auto" w:fill="FFFFFF" w:themeFill="background1"/>
        <w:spacing w:before="0" w:beforeAutospacing="0" w:after="0" w:afterAutospacing="0"/>
        <w:ind w:firstLine="567"/>
        <w:jc w:val="both"/>
        <w:rPr>
          <w:rStyle w:val="rvts15"/>
          <w:b/>
          <w:sz w:val="28"/>
          <w:szCs w:val="28"/>
        </w:rPr>
      </w:pPr>
    </w:p>
    <w:p w:rsidR="005A5914" w:rsidRPr="007A0880" w:rsidRDefault="005A5914" w:rsidP="005A5914">
      <w:pPr>
        <w:pStyle w:val="rvps12"/>
        <w:shd w:val="clear" w:color="auto" w:fill="FFFFFF" w:themeFill="background1"/>
        <w:spacing w:before="0" w:beforeAutospacing="0" w:after="0" w:afterAutospacing="0"/>
        <w:ind w:firstLine="567"/>
        <w:jc w:val="both"/>
        <w:rPr>
          <w:rStyle w:val="rvts15"/>
          <w:sz w:val="28"/>
          <w:szCs w:val="28"/>
        </w:rPr>
      </w:pPr>
      <w:r w:rsidRPr="007A0880">
        <w:rPr>
          <w:rStyle w:val="rvts15"/>
          <w:b/>
          <w:sz w:val="28"/>
          <w:szCs w:val="28"/>
        </w:rPr>
        <w:lastRenderedPageBreak/>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rsidR="005A5914" w:rsidRPr="007A0880" w:rsidRDefault="005A5914" w:rsidP="005A5914">
      <w:pPr>
        <w:shd w:val="clear" w:color="auto" w:fill="FFFFFF" w:themeFill="background1"/>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 xml:space="preserve">Реалізація </w:t>
      </w:r>
      <w:proofErr w:type="spellStart"/>
      <w:r w:rsidRPr="007A0880">
        <w:rPr>
          <w:rFonts w:ascii="Times New Roman" w:hAnsi="Times New Roman" w:cs="Times New Roman"/>
          <w:sz w:val="28"/>
          <w:szCs w:val="28"/>
        </w:rPr>
        <w:t>проєкту</w:t>
      </w:r>
      <w:proofErr w:type="spellEnd"/>
      <w:r w:rsidRPr="007A0880">
        <w:rPr>
          <w:rFonts w:ascii="Times New Roman" w:hAnsi="Times New Roman" w:cs="Times New Roman"/>
          <w:sz w:val="28"/>
          <w:szCs w:val="28"/>
        </w:rPr>
        <w:t xml:space="preserve"> наказу не передбачає фінансових витрат </w:t>
      </w:r>
      <w:r w:rsidR="00AE631C" w:rsidRPr="007A0880">
        <w:rPr>
          <w:rFonts w:ascii="Times New Roman" w:hAnsi="Times New Roman" w:cs="Times New Roman"/>
          <w:sz w:val="28"/>
          <w:szCs w:val="28"/>
        </w:rPr>
        <w:t>і</w:t>
      </w:r>
      <w:r w:rsidRPr="007A0880">
        <w:rPr>
          <w:rFonts w:ascii="Times New Roman" w:hAnsi="Times New Roman" w:cs="Times New Roman"/>
          <w:sz w:val="28"/>
          <w:szCs w:val="28"/>
        </w:rPr>
        <w:t>з боку державних органів та, відповідно, додаткових видатків бюджету.</w:t>
      </w:r>
    </w:p>
    <w:p w:rsidR="005A5914" w:rsidRPr="007A0880" w:rsidRDefault="005A5914" w:rsidP="005A5914">
      <w:pPr>
        <w:shd w:val="clear" w:color="auto" w:fill="FFFFFF" w:themeFill="background1"/>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Державне регулювання не передбачає утворення нового державного органу (або нового структурного підрозділу діючого органу).</w:t>
      </w:r>
    </w:p>
    <w:p w:rsidR="005A5914" w:rsidRPr="007A0880" w:rsidRDefault="005A5914" w:rsidP="005A5914">
      <w:pPr>
        <w:shd w:val="clear" w:color="auto" w:fill="FFFFFF" w:themeFill="background1"/>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 xml:space="preserve">М-Тест не проводився у зв’язку з тим, що дія </w:t>
      </w:r>
      <w:proofErr w:type="spellStart"/>
      <w:r w:rsidRPr="007A0880">
        <w:rPr>
          <w:rFonts w:ascii="Times New Roman" w:hAnsi="Times New Roman" w:cs="Times New Roman"/>
          <w:sz w:val="28"/>
          <w:szCs w:val="28"/>
        </w:rPr>
        <w:t>проєкту</w:t>
      </w:r>
      <w:proofErr w:type="spellEnd"/>
      <w:r w:rsidRPr="007A0880">
        <w:rPr>
          <w:rFonts w:ascii="Times New Roman" w:hAnsi="Times New Roman" w:cs="Times New Roman"/>
          <w:sz w:val="28"/>
          <w:szCs w:val="28"/>
        </w:rPr>
        <w:t xml:space="preserve"> наказу однаково впливає на всі банки незалежно від форми власності.</w:t>
      </w:r>
    </w:p>
    <w:p w:rsidR="005A5914" w:rsidRPr="007A0880" w:rsidRDefault="005A5914" w:rsidP="005A5914">
      <w:pPr>
        <w:shd w:val="clear" w:color="auto" w:fill="FFFFFF" w:themeFill="background1"/>
        <w:spacing w:line="240" w:lineRule="auto"/>
        <w:ind w:firstLine="567"/>
        <w:rPr>
          <w:rFonts w:ascii="Times New Roman" w:hAnsi="Times New Roman" w:cs="Times New Roman"/>
          <w:sz w:val="28"/>
          <w:szCs w:val="28"/>
        </w:rPr>
      </w:pPr>
    </w:p>
    <w:p w:rsidR="005A5914" w:rsidRPr="007A0880" w:rsidRDefault="005A5914" w:rsidP="005A5914">
      <w:pPr>
        <w:shd w:val="clear" w:color="auto" w:fill="FFFFFF" w:themeFill="background1"/>
        <w:spacing w:line="240" w:lineRule="auto"/>
        <w:ind w:firstLine="567"/>
        <w:jc w:val="both"/>
        <w:rPr>
          <w:rFonts w:ascii="Times New Roman" w:hAnsi="Times New Roman" w:cs="Times New Roman"/>
          <w:b/>
          <w:sz w:val="28"/>
          <w:szCs w:val="28"/>
        </w:rPr>
      </w:pPr>
      <w:r w:rsidRPr="007A0880">
        <w:rPr>
          <w:rFonts w:ascii="Times New Roman" w:hAnsi="Times New Roman" w:cs="Times New Roman"/>
          <w:b/>
          <w:sz w:val="28"/>
          <w:szCs w:val="28"/>
        </w:rPr>
        <w:t>VII. Обґрунтування запропонованого строку дії регуляторного акта</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lang w:eastAsia="ru-RU"/>
        </w:rPr>
      </w:pPr>
      <w:bookmarkStart w:id="1" w:name="n167"/>
      <w:bookmarkStart w:id="2" w:name="n168"/>
      <w:bookmarkEnd w:id="1"/>
      <w:bookmarkEnd w:id="2"/>
      <w:r w:rsidRPr="007A0880">
        <w:rPr>
          <w:sz w:val="28"/>
          <w:szCs w:val="28"/>
          <w:lang w:eastAsia="ru-RU"/>
        </w:rPr>
        <w:t xml:space="preserve">Термін дії є необмеженим, оскільки </w:t>
      </w:r>
      <w:r w:rsidRPr="007A0880">
        <w:rPr>
          <w:sz w:val="28"/>
          <w:szCs w:val="28"/>
        </w:rPr>
        <w:t>постанови Кабінету Міністрів України від 25 серпня 1998 року № 1340 «Про Порядок обліку, зберігання, оцінки конфіскованого та іншого майна, що переходить у власність держави, і розпорядження ним» та від 26 грудня 2001 року № 1724 «Про порядок обліку, зберігання, оцінки вилученого митницями майна, щодо якого винесено рішення суду про конфіскацію, передачі його органам державної виконавчої служби і розпорядження ним»</w:t>
      </w:r>
      <w:r w:rsidRPr="007A0880">
        <w:rPr>
          <w:sz w:val="28"/>
          <w:szCs w:val="28"/>
          <w:lang w:eastAsia="ru-RU"/>
        </w:rPr>
        <w:t>, на виконання вимог яких розроблено проєкт наказу, мають необмежений термін дії.</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lang w:eastAsia="ru-RU"/>
        </w:rPr>
      </w:pPr>
      <w:r w:rsidRPr="007A0880">
        <w:rPr>
          <w:sz w:val="28"/>
          <w:szCs w:val="28"/>
          <w:lang w:eastAsia="ru-RU"/>
        </w:rPr>
        <w:t xml:space="preserve">Приведення у відповідність та зміна терміну дії акта можливі у разі зміни правових актів, на виконання вимог яких </w:t>
      </w:r>
      <w:r w:rsidR="00AE631C" w:rsidRPr="007A0880">
        <w:rPr>
          <w:sz w:val="28"/>
          <w:szCs w:val="28"/>
          <w:lang w:eastAsia="ru-RU"/>
        </w:rPr>
        <w:t xml:space="preserve">розроблено </w:t>
      </w:r>
      <w:r w:rsidRPr="007A0880">
        <w:rPr>
          <w:sz w:val="28"/>
          <w:szCs w:val="28"/>
          <w:lang w:eastAsia="ru-RU"/>
        </w:rPr>
        <w:t>проєкт</w:t>
      </w:r>
      <w:r w:rsidR="00AE631C" w:rsidRPr="007A0880">
        <w:rPr>
          <w:sz w:val="28"/>
          <w:szCs w:val="28"/>
          <w:lang w:eastAsia="ru-RU"/>
        </w:rPr>
        <w:t xml:space="preserve"> акта</w:t>
      </w:r>
      <w:r w:rsidRPr="007A0880">
        <w:rPr>
          <w:sz w:val="28"/>
          <w:szCs w:val="28"/>
          <w:lang w:eastAsia="ru-RU"/>
        </w:rPr>
        <w:t>.</w:t>
      </w:r>
    </w:p>
    <w:p w:rsidR="005A5914" w:rsidRPr="007A0880" w:rsidRDefault="005A5914" w:rsidP="005A5914">
      <w:pPr>
        <w:pStyle w:val="a5"/>
        <w:spacing w:before="0" w:beforeAutospacing="0" w:after="0" w:afterAutospacing="0"/>
        <w:ind w:firstLine="567"/>
        <w:jc w:val="both"/>
        <w:rPr>
          <w:sz w:val="28"/>
          <w:szCs w:val="28"/>
        </w:rPr>
      </w:pPr>
      <w:r w:rsidRPr="007A0880">
        <w:rPr>
          <w:sz w:val="28"/>
          <w:szCs w:val="28"/>
          <w:lang w:eastAsia="ru-RU"/>
        </w:rPr>
        <w:t xml:space="preserve">Термін набрання чинності регуляторним актом – </w:t>
      </w:r>
      <w:r w:rsidRPr="007A0880">
        <w:rPr>
          <w:sz w:val="28"/>
          <w:szCs w:val="28"/>
        </w:rPr>
        <w:t>через десять днів з дня його офіційного опублікування.</w:t>
      </w:r>
    </w:p>
    <w:p w:rsidR="005A5914" w:rsidRPr="007A0880" w:rsidRDefault="005A5914" w:rsidP="005A5914">
      <w:pPr>
        <w:pStyle w:val="rvps12"/>
        <w:shd w:val="clear" w:color="auto" w:fill="FFFFFF" w:themeFill="background1"/>
        <w:spacing w:before="0" w:beforeAutospacing="0" w:after="0" w:afterAutospacing="0"/>
        <w:ind w:firstLine="567"/>
        <w:jc w:val="both"/>
        <w:rPr>
          <w:rStyle w:val="rvts15"/>
          <w:b/>
          <w:sz w:val="28"/>
          <w:szCs w:val="28"/>
        </w:rPr>
      </w:pPr>
    </w:p>
    <w:p w:rsidR="005A5914" w:rsidRPr="007A0880" w:rsidRDefault="005A5914" w:rsidP="005A5914">
      <w:pPr>
        <w:pStyle w:val="rvps12"/>
        <w:shd w:val="clear" w:color="auto" w:fill="FFFFFF" w:themeFill="background1"/>
        <w:spacing w:before="0" w:beforeAutospacing="0" w:after="0" w:afterAutospacing="0"/>
        <w:ind w:firstLine="567"/>
        <w:jc w:val="center"/>
        <w:rPr>
          <w:rStyle w:val="rvts15"/>
          <w:b/>
          <w:sz w:val="28"/>
          <w:szCs w:val="28"/>
        </w:rPr>
      </w:pPr>
      <w:r w:rsidRPr="007A0880">
        <w:rPr>
          <w:rStyle w:val="rvts15"/>
          <w:b/>
          <w:sz w:val="28"/>
          <w:szCs w:val="28"/>
        </w:rPr>
        <w:t>VIII. Визначення показників результативності дії регуляторного акта</w:t>
      </w:r>
    </w:p>
    <w:p w:rsidR="005A5914" w:rsidRPr="007A0880" w:rsidRDefault="005A5914" w:rsidP="005A5914">
      <w:pPr>
        <w:shd w:val="clear" w:color="auto" w:fill="FFFFFF" w:themeFill="background1"/>
        <w:spacing w:line="240" w:lineRule="auto"/>
        <w:ind w:firstLine="567"/>
        <w:jc w:val="both"/>
        <w:rPr>
          <w:rFonts w:ascii="Times New Roman" w:hAnsi="Times New Roman" w:cs="Times New Roman"/>
          <w:sz w:val="28"/>
          <w:szCs w:val="28"/>
        </w:rPr>
      </w:pPr>
      <w:r w:rsidRPr="007A0880">
        <w:rPr>
          <w:rFonts w:ascii="Times New Roman" w:hAnsi="Times New Roman" w:cs="Times New Roman"/>
          <w:sz w:val="28"/>
          <w:szCs w:val="28"/>
        </w:rPr>
        <w:t>Прогнозними значеннями показників результативності запровадження регуляторного акта з огляду на його цілі слугуватимуть:</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rPr>
      </w:pPr>
      <w:r w:rsidRPr="007A0880">
        <w:rPr>
          <w:sz w:val="28"/>
          <w:szCs w:val="28"/>
        </w:rPr>
        <w:t>розмір надходжень до державного та місцевих бюджетів і державних цільових фондів, пов’язаних з дією акта;</w:t>
      </w:r>
    </w:p>
    <w:p w:rsidR="005A5914" w:rsidRPr="007A0880" w:rsidRDefault="005A5914" w:rsidP="005A5914">
      <w:pPr>
        <w:pStyle w:val="rvps12"/>
        <w:shd w:val="clear" w:color="auto" w:fill="FFFFFF" w:themeFill="background1"/>
        <w:spacing w:before="0" w:beforeAutospacing="0" w:after="0" w:afterAutospacing="0"/>
        <w:ind w:firstLine="567"/>
        <w:jc w:val="both"/>
        <w:rPr>
          <w:spacing w:val="-4"/>
          <w:sz w:val="28"/>
          <w:szCs w:val="28"/>
        </w:rPr>
      </w:pPr>
      <w:r w:rsidRPr="007A0880">
        <w:rPr>
          <w:spacing w:val="-4"/>
          <w:sz w:val="28"/>
          <w:szCs w:val="28"/>
        </w:rPr>
        <w:t xml:space="preserve">кількість суб’єктів господарювання, на яких поширюватиметься дія регуляторного акта; </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rPr>
      </w:pPr>
      <w:r w:rsidRPr="007A0880">
        <w:rPr>
          <w:sz w:val="28"/>
          <w:szCs w:val="28"/>
        </w:rPr>
        <w:t xml:space="preserve">розмір коштів і час, що витрачатиметься суб’єктами господарювання, пов’язаний з виконанням вимог акта; </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rPr>
      </w:pPr>
      <w:r w:rsidRPr="007A0880">
        <w:rPr>
          <w:sz w:val="28"/>
          <w:szCs w:val="28"/>
        </w:rPr>
        <w:t>розмір надходжень до державного бюджету з реалізації валюти другої та третьої груп</w:t>
      </w:r>
      <w:r w:rsidRPr="007A0880">
        <w:rPr>
          <w:sz w:val="28"/>
          <w:szCs w:val="28"/>
          <w:shd w:val="clear" w:color="auto" w:fill="FFFFFF" w:themeFill="background1"/>
        </w:rPr>
        <w:t xml:space="preserve"> за Класифікатором іноземних валют та банківських металів, затвердженим постановою Правління Національного банку України від 04 лютого 1998 року № 34 (зі змінами) (далі – Класифікатор)</w:t>
      </w:r>
      <w:r w:rsidRPr="007A0880">
        <w:rPr>
          <w:sz w:val="28"/>
          <w:szCs w:val="28"/>
        </w:rPr>
        <w:t>;</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rPr>
      </w:pPr>
      <w:r w:rsidRPr="007A0880">
        <w:rPr>
          <w:sz w:val="28"/>
          <w:szCs w:val="28"/>
        </w:rPr>
        <w:t>кількість вилучених з обігу інозем</w:t>
      </w:r>
      <w:r w:rsidR="00AE631C" w:rsidRPr="007A0880">
        <w:rPr>
          <w:sz w:val="28"/>
          <w:szCs w:val="28"/>
        </w:rPr>
        <w:t>них банкнот та/або монет груп 1–</w:t>
      </w:r>
      <w:r w:rsidRPr="007A0880">
        <w:rPr>
          <w:sz w:val="28"/>
          <w:szCs w:val="28"/>
        </w:rPr>
        <w:t>3 за Класифікатором, що не підлягають обміну в країні-емітенті, якими здійснено розпорядження розпорядниками валютних цінностей;</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rPr>
      </w:pPr>
      <w:r w:rsidRPr="007A0880">
        <w:rPr>
          <w:sz w:val="28"/>
          <w:szCs w:val="28"/>
        </w:rPr>
        <w:t xml:space="preserve">рівень поінформованості суб’єктів господарювання з основних положень регуляторного акта високий. Проєкт акта оприлюднено на офіційній сторінці </w:t>
      </w:r>
      <w:r w:rsidRPr="007A0880">
        <w:rPr>
          <w:sz w:val="28"/>
          <w:szCs w:val="28"/>
        </w:rPr>
        <w:lastRenderedPageBreak/>
        <w:t>Міністерства фінансів України в мережі інтернет (https://mof.gov.ua) для громадського обговорення.</w:t>
      </w:r>
    </w:p>
    <w:p w:rsidR="005A5914" w:rsidRPr="007A0880" w:rsidRDefault="005A5914" w:rsidP="005A5914">
      <w:pPr>
        <w:pStyle w:val="rvps12"/>
        <w:shd w:val="clear" w:color="auto" w:fill="FFFFFF" w:themeFill="background1"/>
        <w:spacing w:before="0" w:beforeAutospacing="0" w:after="0" w:afterAutospacing="0"/>
        <w:ind w:firstLine="567"/>
        <w:jc w:val="both"/>
        <w:rPr>
          <w:sz w:val="28"/>
          <w:szCs w:val="28"/>
        </w:rPr>
      </w:pPr>
    </w:p>
    <w:p w:rsidR="005A5914" w:rsidRPr="007A0880" w:rsidRDefault="005A5914" w:rsidP="005A5914">
      <w:pPr>
        <w:pStyle w:val="rvps12"/>
        <w:shd w:val="clear" w:color="auto" w:fill="FFFFFF" w:themeFill="background1"/>
        <w:spacing w:before="0" w:beforeAutospacing="0" w:after="0" w:afterAutospacing="0"/>
        <w:ind w:firstLine="567"/>
        <w:jc w:val="both"/>
        <w:rPr>
          <w:rStyle w:val="rvts15"/>
          <w:b/>
          <w:sz w:val="28"/>
          <w:szCs w:val="28"/>
        </w:rPr>
      </w:pPr>
      <w:r w:rsidRPr="007A0880">
        <w:rPr>
          <w:rStyle w:val="rvts15"/>
          <w:b/>
          <w:sz w:val="28"/>
          <w:szCs w:val="28"/>
        </w:rPr>
        <w:t>IX. Визначення заходів, за допомогою яких здійснюватиметься відстеження результативності дії регуляторного акта</w:t>
      </w:r>
    </w:p>
    <w:p w:rsidR="005A5914" w:rsidRPr="007A0880" w:rsidRDefault="005A5914" w:rsidP="005A5914">
      <w:pPr>
        <w:widowControl w:val="0"/>
        <w:spacing w:line="240" w:lineRule="auto"/>
        <w:ind w:firstLine="567"/>
        <w:jc w:val="both"/>
        <w:rPr>
          <w:rFonts w:ascii="Times New Roman" w:hAnsi="Times New Roman" w:cs="Times New Roman"/>
          <w:sz w:val="28"/>
          <w:szCs w:val="28"/>
        </w:rPr>
      </w:pPr>
      <w:r w:rsidRPr="007A0880">
        <w:rPr>
          <w:rFonts w:ascii="Times New Roman" w:hAnsi="Times New Roman" w:cs="Times New Roman"/>
          <w:bCs/>
          <w:iCs/>
          <w:sz w:val="28"/>
          <w:szCs w:val="28"/>
        </w:rPr>
        <w:t xml:space="preserve">Відстеження результативності дії регуляторного акта буде проводитись статистичним методом шляхом аналізу </w:t>
      </w:r>
      <w:r w:rsidRPr="007A0880">
        <w:rPr>
          <w:rFonts w:ascii="Times New Roman" w:hAnsi="Times New Roman" w:cs="Times New Roman"/>
          <w:sz w:val="28"/>
          <w:szCs w:val="28"/>
        </w:rPr>
        <w:t>інформації митних органів з порушеного питання.</w:t>
      </w:r>
    </w:p>
    <w:p w:rsidR="005A5914" w:rsidRPr="007A0880" w:rsidRDefault="005A5914" w:rsidP="005A5914">
      <w:pPr>
        <w:spacing w:line="240" w:lineRule="auto"/>
        <w:ind w:firstLine="567"/>
        <w:jc w:val="both"/>
        <w:rPr>
          <w:rFonts w:ascii="Times New Roman" w:hAnsi="Times New Roman" w:cs="Times New Roman"/>
          <w:spacing w:val="-2"/>
          <w:sz w:val="28"/>
          <w:szCs w:val="28"/>
        </w:rPr>
      </w:pPr>
      <w:r w:rsidRPr="007A0880">
        <w:rPr>
          <w:rFonts w:ascii="Times New Roman" w:hAnsi="Times New Roman" w:cs="Times New Roman"/>
          <w:spacing w:val="-2"/>
          <w:sz w:val="28"/>
          <w:szCs w:val="28"/>
        </w:rPr>
        <w:t xml:space="preserve">Базове відстеження результативності регуляторного акта </w:t>
      </w:r>
      <w:r w:rsidR="00AE631C" w:rsidRPr="007A0880">
        <w:rPr>
          <w:rFonts w:ascii="Times New Roman" w:hAnsi="Times New Roman" w:cs="Times New Roman"/>
          <w:spacing w:val="-2"/>
          <w:sz w:val="28"/>
          <w:szCs w:val="28"/>
        </w:rPr>
        <w:t xml:space="preserve">буде здійснено </w:t>
      </w:r>
      <w:r w:rsidRPr="007A0880">
        <w:rPr>
          <w:rFonts w:ascii="Times New Roman" w:hAnsi="Times New Roman" w:cs="Times New Roman"/>
          <w:spacing w:val="-2"/>
          <w:sz w:val="28"/>
          <w:szCs w:val="28"/>
        </w:rPr>
        <w:t xml:space="preserve">через рік після набрання ним чинності. </w:t>
      </w:r>
    </w:p>
    <w:p w:rsidR="005A5914" w:rsidRPr="007A0880" w:rsidRDefault="005A5914" w:rsidP="005A5914">
      <w:pPr>
        <w:spacing w:line="240" w:lineRule="auto"/>
        <w:ind w:firstLine="567"/>
        <w:jc w:val="both"/>
        <w:rPr>
          <w:rFonts w:ascii="Times New Roman" w:hAnsi="Times New Roman" w:cs="Times New Roman"/>
          <w:spacing w:val="-2"/>
          <w:sz w:val="28"/>
          <w:szCs w:val="28"/>
        </w:rPr>
      </w:pPr>
      <w:r w:rsidRPr="007A0880">
        <w:rPr>
          <w:rFonts w:ascii="Times New Roman" w:hAnsi="Times New Roman" w:cs="Times New Roman"/>
          <w:spacing w:val="-2"/>
          <w:sz w:val="28"/>
          <w:szCs w:val="28"/>
        </w:rPr>
        <w:t>Повторне відстеження результативності буде здійснено через рік після проведення базового відстеження.</w:t>
      </w:r>
    </w:p>
    <w:p w:rsidR="005A5914" w:rsidRPr="007A0880" w:rsidRDefault="005A5914" w:rsidP="005A5914">
      <w:pPr>
        <w:spacing w:line="240" w:lineRule="auto"/>
        <w:ind w:firstLine="567"/>
        <w:jc w:val="both"/>
        <w:rPr>
          <w:rFonts w:ascii="Times New Roman" w:hAnsi="Times New Roman" w:cs="Times New Roman"/>
          <w:spacing w:val="-2"/>
          <w:sz w:val="28"/>
          <w:szCs w:val="28"/>
        </w:rPr>
      </w:pPr>
      <w:r w:rsidRPr="007A0880">
        <w:rPr>
          <w:rFonts w:ascii="Times New Roman" w:hAnsi="Times New Roman" w:cs="Times New Roman"/>
          <w:spacing w:val="-2"/>
          <w:sz w:val="28"/>
          <w:szCs w:val="28"/>
        </w:rPr>
        <w:t>Періодичне відстеження здійснюватиметься кожні три роки після повторного.</w:t>
      </w:r>
    </w:p>
    <w:p w:rsidR="005A5914" w:rsidRPr="007A0880" w:rsidRDefault="005A5914" w:rsidP="005A5914">
      <w:pPr>
        <w:spacing w:line="240" w:lineRule="auto"/>
        <w:ind w:firstLine="567"/>
        <w:jc w:val="both"/>
        <w:rPr>
          <w:rFonts w:ascii="Times New Roman" w:hAnsi="Times New Roman" w:cs="Times New Roman"/>
          <w:spacing w:val="-2"/>
          <w:sz w:val="28"/>
          <w:szCs w:val="28"/>
        </w:rPr>
      </w:pPr>
      <w:r w:rsidRPr="007A0880">
        <w:rPr>
          <w:rFonts w:ascii="Times New Roman" w:hAnsi="Times New Roman" w:cs="Times New Roman"/>
          <w:spacing w:val="-2"/>
          <w:sz w:val="28"/>
          <w:szCs w:val="28"/>
        </w:rPr>
        <w:t>Відстеження результативності регуляторного акта буде здійснювати Міністерство фінансів України.</w:t>
      </w:r>
    </w:p>
    <w:p w:rsidR="005A5914" w:rsidRPr="007A0880" w:rsidRDefault="005A5914" w:rsidP="005A5914">
      <w:pPr>
        <w:spacing w:line="240" w:lineRule="auto"/>
        <w:rPr>
          <w:rFonts w:ascii="Times New Roman" w:hAnsi="Times New Roman" w:cs="Times New Roman"/>
          <w:sz w:val="28"/>
          <w:szCs w:val="28"/>
        </w:rPr>
      </w:pPr>
    </w:p>
    <w:p w:rsidR="005A5914" w:rsidRPr="007A0880" w:rsidRDefault="005A5914" w:rsidP="005A5914">
      <w:pPr>
        <w:spacing w:line="240" w:lineRule="auto"/>
        <w:rPr>
          <w:rFonts w:ascii="Times New Roman" w:hAnsi="Times New Roman" w:cs="Times New Roman"/>
          <w:sz w:val="28"/>
          <w:szCs w:val="28"/>
        </w:rPr>
      </w:pPr>
    </w:p>
    <w:p w:rsidR="005A5914" w:rsidRPr="007A0880" w:rsidRDefault="005A5914" w:rsidP="005A5914">
      <w:pPr>
        <w:shd w:val="clear" w:color="auto" w:fill="FFFFFF" w:themeFill="background1"/>
        <w:tabs>
          <w:tab w:val="right" w:pos="9639"/>
        </w:tabs>
        <w:spacing w:line="240" w:lineRule="auto"/>
        <w:jc w:val="both"/>
        <w:rPr>
          <w:rFonts w:ascii="Times New Roman" w:eastAsia="Times New Roman" w:hAnsi="Times New Roman" w:cs="Times New Roman"/>
          <w:b/>
          <w:sz w:val="28"/>
          <w:szCs w:val="28"/>
        </w:rPr>
      </w:pPr>
      <w:r w:rsidRPr="007A0880">
        <w:rPr>
          <w:rFonts w:ascii="Times New Roman" w:hAnsi="Times New Roman" w:cs="Times New Roman"/>
          <w:b/>
          <w:sz w:val="28"/>
          <w:szCs w:val="28"/>
        </w:rPr>
        <w:t>Міністр фінансів України</w:t>
      </w:r>
      <w:r w:rsidRPr="007A0880">
        <w:rPr>
          <w:rFonts w:ascii="Times New Roman" w:hAnsi="Times New Roman" w:cs="Times New Roman"/>
          <w:b/>
          <w:sz w:val="28"/>
          <w:szCs w:val="28"/>
        </w:rPr>
        <w:tab/>
        <w:t>Сергій МАРЧЕНКО</w:t>
      </w:r>
    </w:p>
    <w:p w:rsidR="00043DFA" w:rsidRPr="007A0880" w:rsidRDefault="00043DFA"/>
    <w:sectPr w:rsidR="00043DFA" w:rsidRPr="007A0880" w:rsidSect="0028438A">
      <w:headerReference w:type="default" r:id="rId6"/>
      <w:headerReference w:type="first" r:id="rId7"/>
      <w:pgSz w:w="11909" w:h="16834"/>
      <w:pgMar w:top="1134" w:right="567" w:bottom="1588" w:left="1701" w:header="25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C3" w:rsidRDefault="00401FC3">
      <w:pPr>
        <w:spacing w:line="240" w:lineRule="auto"/>
      </w:pPr>
      <w:r>
        <w:separator/>
      </w:r>
    </w:p>
  </w:endnote>
  <w:endnote w:type="continuationSeparator" w:id="0">
    <w:p w:rsidR="00401FC3" w:rsidRDefault="00401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C3" w:rsidRDefault="00401FC3">
      <w:pPr>
        <w:spacing w:line="240" w:lineRule="auto"/>
      </w:pPr>
      <w:r>
        <w:separator/>
      </w:r>
    </w:p>
  </w:footnote>
  <w:footnote w:type="continuationSeparator" w:id="0">
    <w:p w:rsidR="00401FC3" w:rsidRDefault="00401F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191445"/>
      <w:docPartObj>
        <w:docPartGallery w:val="Page Numbers (Top of Page)"/>
        <w:docPartUnique/>
      </w:docPartObj>
    </w:sdtPr>
    <w:sdtEndPr>
      <w:rPr>
        <w:rFonts w:ascii="Times New Roman" w:hAnsi="Times New Roman" w:cs="Times New Roman"/>
        <w:sz w:val="24"/>
        <w:szCs w:val="24"/>
      </w:rPr>
    </w:sdtEndPr>
    <w:sdtContent>
      <w:p w:rsidR="00043DFA" w:rsidRDefault="00043DFA">
        <w:pPr>
          <w:pStyle w:val="a3"/>
          <w:jc w:val="center"/>
        </w:pPr>
      </w:p>
      <w:p w:rsidR="00043DFA" w:rsidRPr="007A0880" w:rsidRDefault="005A5914">
        <w:pPr>
          <w:pStyle w:val="a3"/>
          <w:jc w:val="center"/>
          <w:rPr>
            <w:rFonts w:ascii="Times New Roman" w:hAnsi="Times New Roman" w:cs="Times New Roman"/>
            <w:sz w:val="24"/>
            <w:szCs w:val="24"/>
          </w:rPr>
        </w:pPr>
        <w:r w:rsidRPr="007A0880">
          <w:rPr>
            <w:rFonts w:ascii="Times New Roman" w:hAnsi="Times New Roman" w:cs="Times New Roman"/>
            <w:sz w:val="24"/>
            <w:szCs w:val="24"/>
          </w:rPr>
          <w:fldChar w:fldCharType="begin"/>
        </w:r>
        <w:r w:rsidRPr="007A0880">
          <w:rPr>
            <w:rFonts w:ascii="Times New Roman" w:hAnsi="Times New Roman" w:cs="Times New Roman"/>
            <w:sz w:val="24"/>
            <w:szCs w:val="24"/>
          </w:rPr>
          <w:instrText>PAGE   \* MERGEFORMAT</w:instrText>
        </w:r>
        <w:r w:rsidRPr="007A0880">
          <w:rPr>
            <w:rFonts w:ascii="Times New Roman" w:hAnsi="Times New Roman" w:cs="Times New Roman"/>
            <w:sz w:val="24"/>
            <w:szCs w:val="24"/>
          </w:rPr>
          <w:fldChar w:fldCharType="separate"/>
        </w:r>
        <w:r w:rsidR="00F11E3B">
          <w:rPr>
            <w:rFonts w:ascii="Times New Roman" w:hAnsi="Times New Roman" w:cs="Times New Roman"/>
            <w:noProof/>
            <w:sz w:val="24"/>
            <w:szCs w:val="24"/>
          </w:rPr>
          <w:t>12</w:t>
        </w:r>
        <w:r w:rsidRPr="007A0880">
          <w:rPr>
            <w:rFonts w:ascii="Times New Roman" w:hAnsi="Times New Roman" w:cs="Times New Roman"/>
            <w:sz w:val="24"/>
            <w:szCs w:val="24"/>
          </w:rPr>
          <w:fldChar w:fldCharType="end"/>
        </w:r>
      </w:p>
    </w:sdtContent>
  </w:sdt>
  <w:p w:rsidR="00043DFA" w:rsidRDefault="00043D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DFA" w:rsidRDefault="00043DFA">
    <w:pPr>
      <w:pStyle w:val="a3"/>
      <w:jc w:val="center"/>
    </w:pPr>
  </w:p>
  <w:p w:rsidR="00043DFA" w:rsidRDefault="00043D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14"/>
    <w:rsid w:val="00043DFA"/>
    <w:rsid w:val="000443B3"/>
    <w:rsid w:val="00104AEF"/>
    <w:rsid w:val="00122736"/>
    <w:rsid w:val="00277259"/>
    <w:rsid w:val="0028438A"/>
    <w:rsid w:val="00401FC3"/>
    <w:rsid w:val="00512FB4"/>
    <w:rsid w:val="005A5914"/>
    <w:rsid w:val="006052BD"/>
    <w:rsid w:val="007463C2"/>
    <w:rsid w:val="007A0880"/>
    <w:rsid w:val="007A341A"/>
    <w:rsid w:val="00891195"/>
    <w:rsid w:val="008D2455"/>
    <w:rsid w:val="00A91225"/>
    <w:rsid w:val="00AE631C"/>
    <w:rsid w:val="00B25862"/>
    <w:rsid w:val="00C12F02"/>
    <w:rsid w:val="00D22AFB"/>
    <w:rsid w:val="00D60E2D"/>
    <w:rsid w:val="00DD15C8"/>
    <w:rsid w:val="00E26BBE"/>
    <w:rsid w:val="00E34A1F"/>
    <w:rsid w:val="00E90981"/>
    <w:rsid w:val="00EA56F4"/>
    <w:rsid w:val="00F05490"/>
    <w:rsid w:val="00F11E3B"/>
    <w:rsid w:val="00F74CF9"/>
    <w:rsid w:val="00F80038"/>
    <w:rsid w:val="00FD6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9BDBB-BDC9-4158-91F3-A2359EFCF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A5914"/>
    <w:pPr>
      <w:spacing w:after="0" w:line="276" w:lineRule="auto"/>
    </w:pPr>
    <w:rPr>
      <w:rFonts w:ascii="Arial" w:eastAsia="Arial" w:hAnsi="Arial" w:cs="Arial"/>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5A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rsid w:val="005A5914"/>
    <w:rPr>
      <w:rFonts w:ascii="Courier New" w:eastAsia="Times New Roman" w:hAnsi="Courier New" w:cs="Courier New"/>
      <w:sz w:val="20"/>
      <w:szCs w:val="20"/>
      <w:lang w:eastAsia="uk-UA"/>
    </w:rPr>
  </w:style>
  <w:style w:type="paragraph" w:styleId="a3">
    <w:name w:val="header"/>
    <w:basedOn w:val="a"/>
    <w:link w:val="a4"/>
    <w:uiPriority w:val="99"/>
    <w:unhideWhenUsed/>
    <w:rsid w:val="005A5914"/>
    <w:pPr>
      <w:tabs>
        <w:tab w:val="center" w:pos="4819"/>
        <w:tab w:val="right" w:pos="9639"/>
      </w:tabs>
      <w:spacing w:line="240" w:lineRule="auto"/>
    </w:pPr>
  </w:style>
  <w:style w:type="character" w:customStyle="1" w:styleId="a4">
    <w:name w:val="Верхній колонтитул Знак"/>
    <w:basedOn w:val="a0"/>
    <w:link w:val="a3"/>
    <w:uiPriority w:val="99"/>
    <w:rsid w:val="005A5914"/>
    <w:rPr>
      <w:rFonts w:ascii="Arial" w:eastAsia="Arial" w:hAnsi="Arial" w:cs="Arial"/>
      <w:lang w:eastAsia="uk-UA"/>
    </w:rPr>
  </w:style>
  <w:style w:type="paragraph" w:styleId="a5">
    <w:name w:val="Normal (Web)"/>
    <w:basedOn w:val="a"/>
    <w:link w:val="a6"/>
    <w:uiPriority w:val="99"/>
    <w:unhideWhenUsed/>
    <w:qFormat/>
    <w:rsid w:val="005A5914"/>
    <w:pPr>
      <w:spacing w:before="100" w:beforeAutospacing="1" w:after="100" w:afterAutospacing="1" w:line="240" w:lineRule="auto"/>
    </w:pPr>
    <w:rPr>
      <w:rFonts w:ascii="Times New Roman" w:eastAsiaTheme="minorHAnsi" w:hAnsi="Times New Roman" w:cs="Times New Roman"/>
      <w:sz w:val="24"/>
      <w:szCs w:val="24"/>
    </w:rPr>
  </w:style>
  <w:style w:type="table" w:styleId="a7">
    <w:name w:val="Table Grid"/>
    <w:basedOn w:val="a1"/>
    <w:uiPriority w:val="39"/>
    <w:rsid w:val="005A5914"/>
    <w:pPr>
      <w:spacing w:after="0" w:line="240" w:lineRule="auto"/>
    </w:pPr>
    <w:rPr>
      <w:rFonts w:ascii="Arial" w:eastAsia="Arial" w:hAnsi="Arial" w:cs="Arial"/>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A5914"/>
  </w:style>
  <w:style w:type="paragraph" w:styleId="a8">
    <w:name w:val="No Spacing"/>
    <w:uiPriority w:val="1"/>
    <w:qFormat/>
    <w:rsid w:val="005A5914"/>
    <w:pPr>
      <w:spacing w:after="0" w:line="240" w:lineRule="auto"/>
    </w:pPr>
    <w:rPr>
      <w:rFonts w:ascii="Arial" w:eastAsia="Arial" w:hAnsi="Arial" w:cs="Arial"/>
      <w:lang w:eastAsia="uk-UA"/>
    </w:rPr>
  </w:style>
  <w:style w:type="character" w:customStyle="1" w:styleId="a6">
    <w:name w:val="Звичайний (веб) Знак"/>
    <w:link w:val="a5"/>
    <w:uiPriority w:val="99"/>
    <w:rsid w:val="005A5914"/>
    <w:rPr>
      <w:rFonts w:ascii="Times New Roman" w:hAnsi="Times New Roman" w:cs="Times New Roman"/>
      <w:sz w:val="24"/>
      <w:szCs w:val="24"/>
      <w:lang w:eastAsia="uk-UA"/>
    </w:rPr>
  </w:style>
  <w:style w:type="paragraph" w:customStyle="1" w:styleId="rvps12">
    <w:name w:val="rvps12"/>
    <w:basedOn w:val="a"/>
    <w:rsid w:val="005A59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5A5914"/>
  </w:style>
  <w:style w:type="paragraph" w:styleId="a9">
    <w:name w:val="footer"/>
    <w:basedOn w:val="a"/>
    <w:link w:val="aa"/>
    <w:uiPriority w:val="99"/>
    <w:unhideWhenUsed/>
    <w:rsid w:val="00AE631C"/>
    <w:pPr>
      <w:tabs>
        <w:tab w:val="center" w:pos="4819"/>
        <w:tab w:val="right" w:pos="9639"/>
      </w:tabs>
      <w:spacing w:line="240" w:lineRule="auto"/>
    </w:pPr>
  </w:style>
  <w:style w:type="character" w:customStyle="1" w:styleId="aa">
    <w:name w:val="Нижній колонтитул Знак"/>
    <w:basedOn w:val="a0"/>
    <w:link w:val="a9"/>
    <w:uiPriority w:val="99"/>
    <w:rsid w:val="00AE631C"/>
    <w:rPr>
      <w:rFonts w:ascii="Arial" w:eastAsia="Arial" w:hAnsi="Arial" w:cs="Arial"/>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11622</Words>
  <Characters>6625</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Хоружий Владислав Васильович</dc:creator>
  <cp:keywords/>
  <dc:description/>
  <cp:lastModifiedBy>Хоружий Владислав Васильович</cp:lastModifiedBy>
  <cp:revision>2</cp:revision>
  <dcterms:created xsi:type="dcterms:W3CDTF">2024-11-05T12:34:00Z</dcterms:created>
  <dcterms:modified xsi:type="dcterms:W3CDTF">2024-11-05T12:34:00Z</dcterms:modified>
</cp:coreProperties>
</file>