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D2" w:rsidRPr="00927F64" w:rsidRDefault="005F78D2" w:rsidP="005F7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27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АНАЛІЗ РЕГУЛЯТОРНОГО ВПЛИВУ</w:t>
      </w:r>
    </w:p>
    <w:p w:rsidR="005F78D2" w:rsidRPr="00927F64" w:rsidRDefault="005F78D2" w:rsidP="005F78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27F64"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проєкту </w:t>
      </w:r>
      <w:r w:rsidRPr="00927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наказу Міністерства фінансів України  </w:t>
      </w:r>
    </w:p>
    <w:p w:rsidR="005F78D2" w:rsidRPr="00927F64" w:rsidRDefault="00C86C5D" w:rsidP="005F78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F78D2" w:rsidRPr="0092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форм бланків фінансових гарантій та порядку </w:t>
      </w:r>
    </w:p>
    <w:p w:rsidR="005F78D2" w:rsidRPr="005F78D2" w:rsidRDefault="00C86C5D" w:rsidP="005F78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їх заповнення»</w:t>
      </w:r>
    </w:p>
    <w:p w:rsidR="005F78D2" w:rsidRPr="005F78D2" w:rsidRDefault="005F78D2" w:rsidP="005F7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8D2" w:rsidRPr="005F78D2" w:rsidRDefault="005F78D2" w:rsidP="005F7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</w:t>
      </w:r>
      <w:r w:rsidRPr="005F78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5F7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Визначення проблеми</w:t>
      </w:r>
    </w:p>
    <w:p w:rsidR="005F78D2" w:rsidRPr="005F78D2" w:rsidRDefault="005F78D2" w:rsidP="005F7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3E6E" w:rsidRPr="002D3E6E" w:rsidRDefault="00357FE8" w:rsidP="00357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Частиною першою статті 305 </w:t>
      </w:r>
      <w:r w:rsidRPr="00602ACE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зділу Х Митного кодексу України (далі –Кодекс) встановлено, що </w:t>
      </w:r>
      <w:r w:rsidR="002D3E6E">
        <w:rPr>
          <w:rFonts w:ascii="Times New Roman" w:hAnsi="Times New Roman" w:cs="Times New Roman"/>
          <w:sz w:val="28"/>
          <w:szCs w:val="28"/>
        </w:rPr>
        <w:t>у</w:t>
      </w:r>
      <w:r w:rsidR="002D3E6E" w:rsidRPr="002D3E6E">
        <w:rPr>
          <w:rFonts w:ascii="Times New Roman" w:hAnsi="Times New Roman" w:cs="Times New Roman"/>
          <w:sz w:val="28"/>
          <w:szCs w:val="28"/>
        </w:rPr>
        <w:t xml:space="preserve"> випадках, визначених цим Кодексом, виконання зобов’язань осіб, що </w:t>
      </w:r>
      <w:r w:rsidR="00BB07DB">
        <w:rPr>
          <w:rFonts w:ascii="Times New Roman" w:hAnsi="Times New Roman" w:cs="Times New Roman"/>
          <w:sz w:val="28"/>
          <w:szCs w:val="28"/>
        </w:rPr>
        <w:t>пов’язані</w:t>
      </w:r>
      <w:r w:rsidR="002D3E6E" w:rsidRPr="002D3E6E">
        <w:rPr>
          <w:rFonts w:ascii="Times New Roman" w:hAnsi="Times New Roman" w:cs="Times New Roman"/>
          <w:sz w:val="28"/>
          <w:szCs w:val="28"/>
        </w:rPr>
        <w:t xml:space="preserve"> з митни</w:t>
      </w:r>
      <w:r w:rsidR="00BB07DB">
        <w:rPr>
          <w:rFonts w:ascii="Times New Roman" w:hAnsi="Times New Roman" w:cs="Times New Roman"/>
          <w:sz w:val="28"/>
          <w:szCs w:val="28"/>
        </w:rPr>
        <w:t>ми</w:t>
      </w:r>
      <w:r w:rsidR="002D3E6E" w:rsidRPr="002D3E6E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BB07DB">
        <w:rPr>
          <w:rFonts w:ascii="Times New Roman" w:hAnsi="Times New Roman" w:cs="Times New Roman"/>
          <w:sz w:val="28"/>
          <w:szCs w:val="28"/>
        </w:rPr>
        <w:t>ами</w:t>
      </w:r>
      <w:r w:rsidR="002D3E6E" w:rsidRPr="002D3E6E">
        <w:rPr>
          <w:rFonts w:ascii="Times New Roman" w:hAnsi="Times New Roman" w:cs="Times New Roman"/>
          <w:sz w:val="28"/>
          <w:szCs w:val="28"/>
        </w:rPr>
        <w:t>, забезпечуються шляхом надання митним органам забезпечення сплати митних платежів у способи, передбачені для відповідної митної процедури.</w:t>
      </w:r>
    </w:p>
    <w:p w:rsidR="008E5D9D" w:rsidRPr="00924F92" w:rsidRDefault="008E5D9D" w:rsidP="008E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вимог частини першої статті 311 Кодексу м</w:t>
      </w:r>
      <w:r w:rsidRPr="008E5D9D">
        <w:rPr>
          <w:rFonts w:ascii="Times New Roman" w:hAnsi="Times New Roman" w:cs="Times New Roman"/>
          <w:sz w:val="28"/>
          <w:szCs w:val="28"/>
        </w:rPr>
        <w:t>итні органи як забезпечення сплати митних платежів приймають фінансові гарантії, видані гарантами, включеними до реєстру гарантів, який ведеться центральним органом виконавчої влади, що реалізує державну митну політику.</w:t>
      </w:r>
    </w:p>
    <w:p w:rsidR="003B73D7" w:rsidRDefault="00357FE8" w:rsidP="00357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з положеннями </w:t>
      </w:r>
      <w:r w:rsidRPr="0096100C">
        <w:rPr>
          <w:rFonts w:ascii="Times New Roman" w:hAnsi="Times New Roman" w:cs="Times New Roman"/>
          <w:sz w:val="28"/>
          <w:szCs w:val="28"/>
        </w:rPr>
        <w:t xml:space="preserve">частини другої статті 311 Кодексу </w:t>
      </w:r>
      <w:r w:rsidR="003B73D7">
        <w:rPr>
          <w:rFonts w:ascii="Times New Roman" w:hAnsi="Times New Roman" w:cs="Times New Roman"/>
          <w:sz w:val="28"/>
          <w:szCs w:val="28"/>
        </w:rPr>
        <w:t>ф</w:t>
      </w:r>
      <w:r w:rsidR="003B73D7" w:rsidRPr="003B73D7">
        <w:rPr>
          <w:rFonts w:ascii="Times New Roman" w:hAnsi="Times New Roman" w:cs="Times New Roman"/>
          <w:sz w:val="28"/>
          <w:szCs w:val="28"/>
        </w:rPr>
        <w:t>інансова гарантія, що надається у вигляді документа, є безвідкличним зобов’язанням гаранта, внесеного до реєстру гарантів, виплатити на вимогу митного органу кошти в межах певної суми у разі невиконання забезпечених цією гарантією зобов’язань із сплати митних платежів.</w:t>
      </w:r>
    </w:p>
    <w:p w:rsidR="001D6CFF" w:rsidRDefault="001D6CFF" w:rsidP="00357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частини другої статті 309 Кодексу ф</w:t>
      </w:r>
      <w:r w:rsidRPr="001D6CFF">
        <w:rPr>
          <w:rFonts w:ascii="Times New Roman" w:hAnsi="Times New Roman" w:cs="Times New Roman"/>
          <w:sz w:val="28"/>
          <w:szCs w:val="28"/>
        </w:rPr>
        <w:t>інансова гарантія може бути індивідуальною (одноразовою), багаторазовою та загальною.</w:t>
      </w:r>
    </w:p>
    <w:p w:rsidR="00357FE8" w:rsidRDefault="00357FE8" w:rsidP="00357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02ACE">
        <w:rPr>
          <w:rFonts w:ascii="Times New Roman" w:hAnsi="Times New Roman" w:cs="Times New Roman"/>
          <w:sz w:val="28"/>
          <w:szCs w:val="28"/>
        </w:rPr>
        <w:t xml:space="preserve">астиною третьою статті 311 </w:t>
      </w:r>
      <w:r>
        <w:rPr>
          <w:rFonts w:ascii="Times New Roman" w:hAnsi="Times New Roman" w:cs="Times New Roman"/>
          <w:sz w:val="28"/>
          <w:szCs w:val="28"/>
        </w:rPr>
        <w:t xml:space="preserve">Кодексу </w:t>
      </w:r>
      <w:r w:rsidRPr="00602ACE">
        <w:rPr>
          <w:rFonts w:ascii="Times New Roman" w:hAnsi="Times New Roman" w:cs="Times New Roman"/>
          <w:sz w:val="28"/>
          <w:szCs w:val="28"/>
        </w:rPr>
        <w:t>встановлен</w:t>
      </w:r>
      <w:r>
        <w:rPr>
          <w:rFonts w:ascii="Times New Roman" w:hAnsi="Times New Roman" w:cs="Times New Roman"/>
          <w:sz w:val="28"/>
          <w:szCs w:val="28"/>
        </w:rPr>
        <w:t>о, що</w:t>
      </w:r>
      <w:r w:rsidR="00F57697">
        <w:rPr>
          <w:rFonts w:ascii="Times New Roman" w:hAnsi="Times New Roman" w:cs="Times New Roman"/>
          <w:sz w:val="28"/>
          <w:szCs w:val="28"/>
        </w:rPr>
        <w:t xml:space="preserve"> ф</w:t>
      </w:r>
      <w:r w:rsidR="00F57697" w:rsidRPr="00F57697">
        <w:rPr>
          <w:rFonts w:ascii="Times New Roman" w:hAnsi="Times New Roman" w:cs="Times New Roman"/>
          <w:sz w:val="28"/>
          <w:szCs w:val="28"/>
        </w:rPr>
        <w:t>орми бланків фінансових гарантій та порядок їх заповнення встановлюються центральним органом виконавчої влади, що забезпечує формування та реалізує державну фінансову політику.</w:t>
      </w:r>
    </w:p>
    <w:p w:rsidR="00357FE8" w:rsidRDefault="00357FE8" w:rsidP="00357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Реалізувати</w:t>
      </w:r>
      <w:r w:rsidRPr="00602ACE">
        <w:rPr>
          <w:rFonts w:ascii="Times New Roman" w:hAnsi="Times New Roman" w:cs="Times New Roman"/>
          <w:sz w:val="28"/>
          <w:szCs w:val="28"/>
        </w:rPr>
        <w:t xml:space="preserve"> зазначен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2ACE">
        <w:rPr>
          <w:rFonts w:ascii="Times New Roman" w:hAnsi="Times New Roman" w:cs="Times New Roman"/>
          <w:sz w:val="28"/>
          <w:szCs w:val="28"/>
        </w:rPr>
        <w:t xml:space="preserve"> вимог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2ACE">
        <w:rPr>
          <w:rFonts w:ascii="Times New Roman" w:hAnsi="Times New Roman" w:cs="Times New Roman"/>
          <w:sz w:val="28"/>
          <w:szCs w:val="28"/>
        </w:rPr>
        <w:t xml:space="preserve"> Кодексу </w:t>
      </w:r>
      <w:r>
        <w:rPr>
          <w:rFonts w:ascii="Times New Roman" w:hAnsi="Times New Roman" w:cs="Times New Roman"/>
          <w:sz w:val="28"/>
          <w:szCs w:val="28"/>
        </w:rPr>
        <w:t xml:space="preserve">можливо </w:t>
      </w:r>
      <w:r w:rsidRPr="00602ACE">
        <w:rPr>
          <w:rFonts w:ascii="Times New Roman" w:hAnsi="Times New Roman" w:cs="Times New Roman"/>
          <w:sz w:val="28"/>
          <w:szCs w:val="28"/>
        </w:rPr>
        <w:t xml:space="preserve">шляхом прийняття наказу Міністерства фінансів України </w:t>
      </w:r>
      <w:r w:rsidR="002843AE">
        <w:rPr>
          <w:rFonts w:ascii="Times New Roman" w:hAnsi="Times New Roman" w:cs="Times New Roman"/>
          <w:sz w:val="28"/>
          <w:szCs w:val="28"/>
        </w:rPr>
        <w:t>«</w:t>
      </w:r>
      <w:r w:rsidR="002843AE" w:rsidRPr="00284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форм бланків фінансових гарантій та порядку їх заповнення</w:t>
      </w:r>
      <w:r w:rsidR="002843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43AE" w:rsidRPr="0028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 – проєкт наказу)</w:t>
      </w:r>
      <w:r w:rsidRPr="00602ACE">
        <w:rPr>
          <w:rFonts w:ascii="Times New Roman" w:hAnsi="Times New Roman" w:cs="Times New Roman"/>
          <w:sz w:val="28"/>
          <w:szCs w:val="28"/>
        </w:rPr>
        <w:t>.</w:t>
      </w:r>
    </w:p>
    <w:p w:rsidR="002843AE" w:rsidRPr="002843AE" w:rsidRDefault="00CA6880" w:rsidP="00284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Варто зазначити, що з</w:t>
      </w:r>
      <w:r w:rsidR="002843AE" w:rsidRPr="002843AE">
        <w:rPr>
          <w:rFonts w:ascii="Times New Roman" w:eastAsia="Times New Roman" w:hAnsi="Times New Roman" w:cs="Times New Roman"/>
          <w:bCs/>
          <w:sz w:val="28"/>
          <w:szCs w:val="28"/>
        </w:rPr>
        <w:t xml:space="preserve">атверджена наказом </w:t>
      </w:r>
      <w:r w:rsidR="002843AE" w:rsidRPr="002843A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 фінансів України від 09 січня 2019 року №</w:t>
      </w:r>
      <w:r w:rsidR="002843AE" w:rsidRPr="00284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843AE" w:rsidRPr="0028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843AE" w:rsidRPr="002843AE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бланка фінансової гарантії, що </w:t>
      </w:r>
      <w:r w:rsidR="002843AE" w:rsidRPr="0028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застосовується для забезпечення сплати митних платежів, вже не враховує останні зміни до Кодексу, </w:t>
      </w:r>
      <w:r w:rsidR="00445D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43AE" w:rsidRPr="0028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несені </w:t>
      </w:r>
      <w:r w:rsidR="002843AE" w:rsidRPr="002843A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Законом України </w:t>
      </w:r>
      <w:r w:rsidR="00E547B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843AE" w:rsidRPr="002843AE">
        <w:rPr>
          <w:rFonts w:ascii="Times New Roman" w:eastAsia="Times New Roman" w:hAnsi="Times New Roman" w:cs="Times New Roman"/>
          <w:bCs/>
          <w:sz w:val="28"/>
          <w:szCs w:val="28"/>
        </w:rPr>
        <w:t>Про внесення змін до Митного кодексу України щодо деяких питань функціонування авторизованих економічних операторів</w:t>
      </w:r>
      <w:r w:rsidR="00E547B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1211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 </w:t>
      </w:r>
      <w:r w:rsidR="00F12118" w:rsidRPr="00F12118">
        <w:rPr>
          <w:rFonts w:ascii="Times New Roman" w:eastAsia="Times New Roman" w:hAnsi="Times New Roman" w:cs="Times New Roman"/>
          <w:bCs/>
          <w:sz w:val="28"/>
          <w:szCs w:val="28"/>
        </w:rPr>
        <w:t xml:space="preserve"> 2 жовтня 2019 року </w:t>
      </w:r>
      <w:r w:rsidR="00F12118">
        <w:rPr>
          <w:rFonts w:ascii="Times New Roman" w:eastAsia="Times New Roman" w:hAnsi="Times New Roman" w:cs="Times New Roman"/>
          <w:bCs/>
          <w:sz w:val="28"/>
          <w:szCs w:val="28"/>
        </w:rPr>
        <w:t>№ </w:t>
      </w:r>
      <w:r w:rsidR="00F12118" w:rsidRPr="00F12118">
        <w:rPr>
          <w:rFonts w:ascii="Times New Roman" w:eastAsia="Times New Roman" w:hAnsi="Times New Roman" w:cs="Times New Roman"/>
          <w:bCs/>
          <w:sz w:val="28"/>
          <w:szCs w:val="28"/>
        </w:rPr>
        <w:t>141-IX</w:t>
      </w:r>
      <w:r w:rsidR="00F325DE">
        <w:rPr>
          <w:rFonts w:ascii="Times New Roman" w:eastAsia="Times New Roman" w:hAnsi="Times New Roman" w:cs="Times New Roman"/>
          <w:bCs/>
          <w:sz w:val="28"/>
          <w:szCs w:val="28"/>
        </w:rPr>
        <w:t>, а також не містить порядку заповнення форм бланків фінансових гарантій.</w:t>
      </w:r>
    </w:p>
    <w:p w:rsidR="002843AE" w:rsidRPr="002843AE" w:rsidRDefault="002843AE" w:rsidP="00284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Проєктом наказу передбачено визнання таким, що втратив чинність</w:t>
      </w:r>
      <w:r w:rsidR="00BB07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фінансів України від 09 січня 2019 року №</w:t>
      </w:r>
      <w:r w:rsidRPr="00284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8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E54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4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форми бланка фінансової гарантії</w:t>
      </w:r>
      <w:r w:rsidR="00E54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зареєстрований </w:t>
      </w:r>
      <w:r w:rsidR="00BB07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Міністерстві юстиції України 05 лютого 2019 року за №</w:t>
      </w:r>
      <w:r w:rsidRPr="00284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843AE">
        <w:rPr>
          <w:rFonts w:ascii="Times New Roman" w:eastAsia="Times New Roman" w:hAnsi="Times New Roman" w:cs="Times New Roman"/>
          <w:sz w:val="28"/>
          <w:szCs w:val="28"/>
          <w:lang w:eastAsia="ru-RU"/>
        </w:rPr>
        <w:t>128/33099.</w:t>
      </w:r>
    </w:p>
    <w:p w:rsidR="00357FE8" w:rsidRPr="0035465A" w:rsidRDefault="00357FE8" w:rsidP="00357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00C">
        <w:rPr>
          <w:rFonts w:ascii="Times New Roman" w:hAnsi="Times New Roman" w:cs="Times New Roman"/>
          <w:sz w:val="28"/>
          <w:szCs w:val="28"/>
        </w:rPr>
        <w:t>У 20</w:t>
      </w:r>
      <w:r w:rsidR="00827634">
        <w:rPr>
          <w:rFonts w:ascii="Times New Roman" w:hAnsi="Times New Roman" w:cs="Times New Roman"/>
          <w:sz w:val="28"/>
          <w:szCs w:val="28"/>
        </w:rPr>
        <w:t>20</w:t>
      </w:r>
      <w:r w:rsidRPr="0096100C">
        <w:rPr>
          <w:rFonts w:ascii="Times New Roman" w:hAnsi="Times New Roman" w:cs="Times New Roman"/>
          <w:sz w:val="28"/>
          <w:szCs w:val="28"/>
        </w:rPr>
        <w:t xml:space="preserve"> році спостерігається тенденція</w:t>
      </w:r>
      <w:r>
        <w:rPr>
          <w:rFonts w:ascii="Times New Roman" w:hAnsi="Times New Roman" w:cs="Times New Roman"/>
          <w:sz w:val="28"/>
          <w:szCs w:val="28"/>
        </w:rPr>
        <w:t xml:space="preserve"> до збільшення кількості гарантів, зокрема станом </w:t>
      </w:r>
      <w:r w:rsidRPr="00C36F8A">
        <w:rPr>
          <w:rFonts w:ascii="Times New Roman" w:hAnsi="Times New Roman" w:cs="Times New Roman"/>
          <w:sz w:val="28"/>
          <w:szCs w:val="28"/>
        </w:rPr>
        <w:t xml:space="preserve">на </w:t>
      </w:r>
      <w:r w:rsidR="00827634">
        <w:rPr>
          <w:rFonts w:ascii="Times New Roman" w:hAnsi="Times New Roman" w:cs="Times New Roman"/>
          <w:sz w:val="28"/>
          <w:szCs w:val="28"/>
        </w:rPr>
        <w:t>12</w:t>
      </w:r>
      <w:r w:rsidRPr="00C36F8A">
        <w:rPr>
          <w:rFonts w:ascii="Times New Roman" w:hAnsi="Times New Roman" w:cs="Times New Roman"/>
          <w:sz w:val="28"/>
          <w:szCs w:val="28"/>
        </w:rPr>
        <w:t>.0</w:t>
      </w:r>
      <w:r w:rsidR="00827634">
        <w:rPr>
          <w:rFonts w:ascii="Times New Roman" w:hAnsi="Times New Roman" w:cs="Times New Roman"/>
          <w:sz w:val="28"/>
          <w:szCs w:val="28"/>
        </w:rPr>
        <w:t>5</w:t>
      </w:r>
      <w:r w:rsidRPr="00C36F8A">
        <w:rPr>
          <w:rFonts w:ascii="Times New Roman" w:hAnsi="Times New Roman" w:cs="Times New Roman"/>
          <w:sz w:val="28"/>
          <w:szCs w:val="28"/>
        </w:rPr>
        <w:t>.20</w:t>
      </w:r>
      <w:r w:rsidR="00827634">
        <w:rPr>
          <w:rFonts w:ascii="Times New Roman" w:hAnsi="Times New Roman" w:cs="Times New Roman"/>
          <w:sz w:val="28"/>
          <w:szCs w:val="28"/>
        </w:rPr>
        <w:t>20</w:t>
      </w:r>
      <w:r w:rsidRPr="00C36F8A">
        <w:rPr>
          <w:rFonts w:ascii="Times New Roman" w:hAnsi="Times New Roman" w:cs="Times New Roman"/>
          <w:sz w:val="28"/>
          <w:szCs w:val="28"/>
        </w:rPr>
        <w:t xml:space="preserve"> повноваження</w:t>
      </w:r>
      <w:r w:rsidRPr="00492C22">
        <w:rPr>
          <w:rFonts w:ascii="Times New Roman" w:hAnsi="Times New Roman" w:cs="Times New Roman"/>
          <w:sz w:val="28"/>
          <w:szCs w:val="28"/>
        </w:rPr>
        <w:t xml:space="preserve"> гаранта</w:t>
      </w:r>
      <w:r>
        <w:rPr>
          <w:rFonts w:ascii="Times New Roman" w:hAnsi="Times New Roman" w:cs="Times New Roman"/>
          <w:sz w:val="28"/>
          <w:szCs w:val="28"/>
        </w:rPr>
        <w:t xml:space="preserve"> є у </w:t>
      </w:r>
      <w:r w:rsidR="008276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100">
        <w:rPr>
          <w:rFonts w:ascii="Times New Roman" w:hAnsi="Times New Roman" w:cs="Times New Roman"/>
          <w:sz w:val="28"/>
          <w:szCs w:val="28"/>
        </w:rPr>
        <w:t>юридичн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12100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іб</w:t>
      </w:r>
      <w:r w:rsidRPr="00D12100">
        <w:rPr>
          <w:rFonts w:ascii="Times New Roman" w:hAnsi="Times New Roman" w:cs="Times New Roman"/>
          <w:sz w:val="28"/>
          <w:szCs w:val="28"/>
        </w:rPr>
        <w:t>, створен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12100">
        <w:rPr>
          <w:rFonts w:ascii="Times New Roman" w:hAnsi="Times New Roman" w:cs="Times New Roman"/>
          <w:sz w:val="28"/>
          <w:szCs w:val="28"/>
        </w:rPr>
        <w:t xml:space="preserve"> у формі повного або командитного товариства</w:t>
      </w:r>
      <w:r>
        <w:rPr>
          <w:rFonts w:ascii="Times New Roman" w:hAnsi="Times New Roman" w:cs="Times New Roman"/>
          <w:sz w:val="28"/>
          <w:szCs w:val="28"/>
        </w:rPr>
        <w:t xml:space="preserve"> та банківських установ, які внесені до</w:t>
      </w:r>
      <w:r w:rsidRPr="0035465A">
        <w:rPr>
          <w:rFonts w:ascii="Times New Roman" w:hAnsi="Times New Roman" w:cs="Times New Roman"/>
          <w:sz w:val="28"/>
          <w:szCs w:val="28"/>
        </w:rPr>
        <w:t xml:space="preserve"> реєстр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465A">
        <w:rPr>
          <w:rFonts w:ascii="Times New Roman" w:hAnsi="Times New Roman" w:cs="Times New Roman"/>
          <w:sz w:val="28"/>
          <w:szCs w:val="28"/>
        </w:rPr>
        <w:t xml:space="preserve"> гарантів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35103">
        <w:rPr>
          <w:rFonts w:ascii="Times New Roman" w:hAnsi="Times New Roman" w:cs="Times New Roman"/>
          <w:sz w:val="28"/>
          <w:szCs w:val="28"/>
        </w:rPr>
        <w:t>ержмитслужби</w:t>
      </w:r>
      <w:r w:rsidRPr="0035465A">
        <w:rPr>
          <w:rFonts w:ascii="Times New Roman" w:hAnsi="Times New Roman" w:cs="Times New Roman"/>
          <w:sz w:val="28"/>
          <w:szCs w:val="28"/>
        </w:rPr>
        <w:t>.</w:t>
      </w:r>
    </w:p>
    <w:p w:rsidR="00357FE8" w:rsidRDefault="00357FE8" w:rsidP="00357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65A">
        <w:rPr>
          <w:rFonts w:ascii="Times New Roman" w:hAnsi="Times New Roman" w:cs="Times New Roman"/>
          <w:sz w:val="28"/>
          <w:szCs w:val="28"/>
        </w:rPr>
        <w:lastRenderedPageBreak/>
        <w:t>Так, протягом січня – квітня 20</w:t>
      </w:r>
      <w:r w:rsidR="00835103">
        <w:rPr>
          <w:rFonts w:ascii="Times New Roman" w:hAnsi="Times New Roman" w:cs="Times New Roman"/>
          <w:sz w:val="28"/>
          <w:szCs w:val="28"/>
        </w:rPr>
        <w:t>20</w:t>
      </w:r>
      <w:r w:rsidRPr="0035465A">
        <w:rPr>
          <w:rFonts w:ascii="Times New Roman" w:hAnsi="Times New Roman" w:cs="Times New Roman"/>
          <w:sz w:val="28"/>
          <w:szCs w:val="28"/>
        </w:rPr>
        <w:t xml:space="preserve"> року митними органами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35465A">
        <w:rPr>
          <w:rFonts w:ascii="Times New Roman" w:hAnsi="Times New Roman" w:cs="Times New Roman"/>
          <w:sz w:val="28"/>
          <w:szCs w:val="28"/>
        </w:rPr>
        <w:t xml:space="preserve">прийнято </w:t>
      </w:r>
      <w:r w:rsidR="002B5073" w:rsidRPr="002B5073">
        <w:rPr>
          <w:rFonts w:ascii="Times New Roman" w:hAnsi="Times New Roman" w:cs="Times New Roman"/>
          <w:sz w:val="28"/>
          <w:szCs w:val="28"/>
        </w:rPr>
        <w:t>24</w:t>
      </w:r>
      <w:r w:rsidR="002B5073">
        <w:rPr>
          <w:rFonts w:ascii="Times New Roman" w:hAnsi="Times New Roman" w:cs="Times New Roman"/>
          <w:sz w:val="28"/>
          <w:szCs w:val="28"/>
        </w:rPr>
        <w:t> </w:t>
      </w:r>
      <w:r w:rsidR="002B5073" w:rsidRPr="002B5073">
        <w:rPr>
          <w:rFonts w:ascii="Times New Roman" w:hAnsi="Times New Roman" w:cs="Times New Roman"/>
          <w:sz w:val="28"/>
          <w:szCs w:val="28"/>
        </w:rPr>
        <w:t>744</w:t>
      </w:r>
      <w:r w:rsidRPr="0035465A">
        <w:rPr>
          <w:rFonts w:ascii="Times New Roman" w:hAnsi="Times New Roman" w:cs="Times New Roman"/>
          <w:sz w:val="28"/>
          <w:szCs w:val="28"/>
        </w:rPr>
        <w:t xml:space="preserve"> фінансових гарантій у вигляді документа.</w:t>
      </w:r>
    </w:p>
    <w:p w:rsidR="00357FE8" w:rsidRPr="0035465A" w:rsidRDefault="00357FE8" w:rsidP="008D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F639C" w:rsidRPr="0035465A">
        <w:rPr>
          <w:rFonts w:ascii="Times New Roman" w:hAnsi="Times New Roman" w:cs="Times New Roman"/>
          <w:sz w:val="28"/>
          <w:szCs w:val="28"/>
        </w:rPr>
        <w:t>січ</w:t>
      </w:r>
      <w:r w:rsidR="002F639C">
        <w:rPr>
          <w:rFonts w:ascii="Times New Roman" w:hAnsi="Times New Roman" w:cs="Times New Roman"/>
          <w:sz w:val="28"/>
          <w:szCs w:val="28"/>
        </w:rPr>
        <w:t>е</w:t>
      </w:r>
      <w:r w:rsidR="002F639C" w:rsidRPr="0035465A">
        <w:rPr>
          <w:rFonts w:ascii="Times New Roman" w:hAnsi="Times New Roman" w:cs="Times New Roman"/>
          <w:sz w:val="28"/>
          <w:szCs w:val="28"/>
        </w:rPr>
        <w:t>н</w:t>
      </w:r>
      <w:r w:rsidR="002F639C">
        <w:rPr>
          <w:rFonts w:ascii="Times New Roman" w:hAnsi="Times New Roman" w:cs="Times New Roman"/>
          <w:sz w:val="28"/>
          <w:szCs w:val="28"/>
        </w:rPr>
        <w:t>ь</w:t>
      </w:r>
      <w:r w:rsidR="002F639C" w:rsidRPr="0035465A">
        <w:rPr>
          <w:rFonts w:ascii="Times New Roman" w:hAnsi="Times New Roman" w:cs="Times New Roman"/>
          <w:sz w:val="28"/>
          <w:szCs w:val="28"/>
        </w:rPr>
        <w:t> – квіт</w:t>
      </w:r>
      <w:r w:rsidR="002F639C">
        <w:rPr>
          <w:rFonts w:ascii="Times New Roman" w:hAnsi="Times New Roman" w:cs="Times New Roman"/>
          <w:sz w:val="28"/>
          <w:szCs w:val="28"/>
        </w:rPr>
        <w:t>ень</w:t>
      </w:r>
      <w:r w:rsidR="002F639C" w:rsidRPr="0035465A">
        <w:rPr>
          <w:rFonts w:ascii="Times New Roman" w:hAnsi="Times New Roman" w:cs="Times New Roman"/>
          <w:sz w:val="28"/>
          <w:szCs w:val="28"/>
        </w:rPr>
        <w:t xml:space="preserve"> 20</w:t>
      </w:r>
      <w:r w:rsidR="002F639C">
        <w:rPr>
          <w:rFonts w:ascii="Times New Roman" w:hAnsi="Times New Roman" w:cs="Times New Roman"/>
          <w:sz w:val="28"/>
          <w:szCs w:val="28"/>
        </w:rPr>
        <w:t>20</w:t>
      </w:r>
      <w:r w:rsidR="002F639C" w:rsidRPr="0035465A">
        <w:rPr>
          <w:rFonts w:ascii="Times New Roman" w:hAnsi="Times New Roman" w:cs="Times New Roman"/>
          <w:sz w:val="28"/>
          <w:szCs w:val="28"/>
        </w:rPr>
        <w:t xml:space="preserve"> </w:t>
      </w:r>
      <w:r w:rsidR="00157D4C">
        <w:rPr>
          <w:rFonts w:ascii="Times New Roman" w:hAnsi="Times New Roman" w:cs="Times New Roman"/>
          <w:sz w:val="28"/>
          <w:szCs w:val="28"/>
        </w:rPr>
        <w:t>року сталося 5</w:t>
      </w:r>
      <w:r>
        <w:rPr>
          <w:rFonts w:ascii="Times New Roman" w:hAnsi="Times New Roman" w:cs="Times New Roman"/>
          <w:sz w:val="28"/>
          <w:szCs w:val="28"/>
        </w:rPr>
        <w:t xml:space="preserve"> гарантійних випадків. До державного бюджету гарантами сплачено понад </w:t>
      </w:r>
      <w:r w:rsidR="00AA78B8">
        <w:rPr>
          <w:rFonts w:ascii="Times New Roman" w:hAnsi="Times New Roman" w:cs="Times New Roman"/>
          <w:sz w:val="28"/>
          <w:szCs w:val="28"/>
        </w:rPr>
        <w:t>412</w:t>
      </w:r>
      <w:r w:rsidR="00591A92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Pr="00A65620">
        <w:rPr>
          <w:rFonts w:ascii="Times New Roman" w:hAnsi="Times New Roman" w:cs="Times New Roman"/>
          <w:sz w:val="28"/>
          <w:szCs w:val="28"/>
        </w:rPr>
        <w:t xml:space="preserve"> </w:t>
      </w:r>
      <w:r w:rsidR="00F325DE">
        <w:rPr>
          <w:rFonts w:ascii="Times New Roman" w:hAnsi="Times New Roman" w:cs="Times New Roman"/>
          <w:sz w:val="28"/>
          <w:szCs w:val="28"/>
        </w:rPr>
        <w:t>митних платежів.</w:t>
      </w:r>
    </w:p>
    <w:p w:rsidR="00357FE8" w:rsidRPr="008D2D5B" w:rsidRDefault="00357FE8" w:rsidP="008D2D5B">
      <w:pPr>
        <w:pStyle w:val="3"/>
        <w:spacing w:before="0" w:beforeAutospacing="0" w:after="0" w:afterAutospacing="0"/>
        <w:ind w:firstLine="567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D2D5B">
        <w:rPr>
          <w:rFonts w:eastAsiaTheme="minorHAnsi"/>
          <w:b w:val="0"/>
          <w:bCs w:val="0"/>
          <w:sz w:val="28"/>
          <w:szCs w:val="28"/>
          <w:lang w:eastAsia="en-US"/>
        </w:rPr>
        <w:t>У зв’язку із зазначеним виникає необхідність уніфікувати застосування гарантійн</w:t>
      </w:r>
      <w:r w:rsidR="008D2D5B" w:rsidRPr="008D2D5B">
        <w:rPr>
          <w:rFonts w:eastAsiaTheme="minorHAnsi"/>
          <w:b w:val="0"/>
          <w:bCs w:val="0"/>
          <w:sz w:val="28"/>
          <w:szCs w:val="28"/>
          <w:lang w:eastAsia="en-US"/>
        </w:rPr>
        <w:t>их</w:t>
      </w:r>
      <w:r w:rsidRPr="008D2D5B">
        <w:rPr>
          <w:rFonts w:eastAsiaTheme="minorHAnsi"/>
          <w:b w:val="0"/>
          <w:bCs w:val="0"/>
          <w:sz w:val="28"/>
          <w:szCs w:val="28"/>
          <w:lang w:eastAsia="en-US"/>
        </w:rPr>
        <w:t xml:space="preserve"> фінансов</w:t>
      </w:r>
      <w:r w:rsidR="008D2D5B" w:rsidRPr="008D2D5B">
        <w:rPr>
          <w:rFonts w:eastAsiaTheme="minorHAnsi"/>
          <w:b w:val="0"/>
          <w:bCs w:val="0"/>
          <w:sz w:val="28"/>
          <w:szCs w:val="28"/>
          <w:lang w:eastAsia="en-US"/>
        </w:rPr>
        <w:t>их</w:t>
      </w:r>
      <w:r w:rsidRPr="008D2D5B">
        <w:rPr>
          <w:rFonts w:eastAsiaTheme="minorHAnsi"/>
          <w:b w:val="0"/>
          <w:bCs w:val="0"/>
          <w:sz w:val="28"/>
          <w:szCs w:val="28"/>
          <w:lang w:eastAsia="en-US"/>
        </w:rPr>
        <w:t xml:space="preserve"> документ</w:t>
      </w:r>
      <w:r w:rsidR="008D2D5B" w:rsidRPr="008D2D5B">
        <w:rPr>
          <w:rFonts w:eastAsiaTheme="minorHAnsi"/>
          <w:b w:val="0"/>
          <w:bCs w:val="0"/>
          <w:sz w:val="28"/>
          <w:szCs w:val="28"/>
          <w:lang w:eastAsia="en-US"/>
        </w:rPr>
        <w:t>ів (</w:t>
      </w:r>
      <w:r w:rsidR="002721D2">
        <w:rPr>
          <w:rFonts w:eastAsiaTheme="minorHAnsi"/>
          <w:b w:val="0"/>
          <w:bCs w:val="0"/>
          <w:sz w:val="28"/>
          <w:szCs w:val="28"/>
          <w:lang w:eastAsia="en-US"/>
        </w:rPr>
        <w:t xml:space="preserve">форм бланків для </w:t>
      </w:r>
      <w:r w:rsidR="008D2D5B" w:rsidRPr="008D2D5B">
        <w:rPr>
          <w:rFonts w:eastAsiaTheme="minorHAnsi"/>
          <w:b w:val="0"/>
          <w:bCs w:val="0"/>
          <w:sz w:val="28"/>
          <w:szCs w:val="28"/>
          <w:lang w:eastAsia="en-US"/>
        </w:rPr>
        <w:t>індивідуальної (одноразової) фінанс</w:t>
      </w:r>
      <w:r w:rsidR="008D2D5B">
        <w:rPr>
          <w:rFonts w:eastAsiaTheme="minorHAnsi"/>
          <w:b w:val="0"/>
          <w:bCs w:val="0"/>
          <w:sz w:val="28"/>
          <w:szCs w:val="28"/>
          <w:lang w:eastAsia="en-US"/>
        </w:rPr>
        <w:t xml:space="preserve">ової гарантії, </w:t>
      </w:r>
      <w:r w:rsidR="008D2D5B" w:rsidRPr="008D2D5B">
        <w:rPr>
          <w:rFonts w:eastAsiaTheme="minorHAnsi"/>
          <w:b w:val="0"/>
          <w:bCs w:val="0"/>
          <w:sz w:val="28"/>
          <w:szCs w:val="28"/>
          <w:lang w:eastAsia="en-US"/>
        </w:rPr>
        <w:t>ба</w:t>
      </w:r>
      <w:r w:rsidR="008D2D5B">
        <w:rPr>
          <w:rFonts w:eastAsiaTheme="minorHAnsi"/>
          <w:b w:val="0"/>
          <w:bCs w:val="0"/>
          <w:sz w:val="28"/>
          <w:szCs w:val="28"/>
          <w:lang w:eastAsia="en-US"/>
        </w:rPr>
        <w:t>гаторазової фінансової гарантії,</w:t>
      </w:r>
      <w:r w:rsidR="008D2D5B" w:rsidRPr="008D2D5B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загальної фінансової гарантії)</w:t>
      </w:r>
      <w:r w:rsidR="00BF7126">
        <w:rPr>
          <w:rFonts w:eastAsiaTheme="minorHAnsi"/>
          <w:b w:val="0"/>
          <w:bCs w:val="0"/>
          <w:sz w:val="28"/>
          <w:szCs w:val="28"/>
          <w:lang w:eastAsia="en-US"/>
        </w:rPr>
        <w:t xml:space="preserve"> та </w:t>
      </w:r>
      <w:r w:rsidR="00BF7126" w:rsidRPr="00BF7126">
        <w:rPr>
          <w:b w:val="0"/>
          <w:sz w:val="28"/>
          <w:szCs w:val="28"/>
        </w:rPr>
        <w:t>порядку</w:t>
      </w:r>
      <w:r w:rsidR="002729FF">
        <w:rPr>
          <w:b w:val="0"/>
          <w:sz w:val="28"/>
          <w:szCs w:val="28"/>
        </w:rPr>
        <w:t xml:space="preserve"> їх</w:t>
      </w:r>
      <w:r w:rsidR="00BF7126" w:rsidRPr="00BF7126">
        <w:rPr>
          <w:b w:val="0"/>
          <w:sz w:val="28"/>
          <w:szCs w:val="28"/>
        </w:rPr>
        <w:t xml:space="preserve"> заповнення </w:t>
      </w:r>
      <w:r w:rsidRPr="008D2D5B">
        <w:rPr>
          <w:rFonts w:eastAsiaTheme="minorHAnsi"/>
          <w:b w:val="0"/>
          <w:bCs w:val="0"/>
          <w:sz w:val="28"/>
          <w:szCs w:val="28"/>
          <w:lang w:eastAsia="en-US"/>
        </w:rPr>
        <w:t>для всіх учасників цього ринку, що дасть можливість забезпечити належний контроль за процедурою гарантування на митній території України.</w:t>
      </w:r>
    </w:p>
    <w:p w:rsidR="00357FE8" w:rsidRDefault="00357FE8" w:rsidP="008D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реалізація положень про</w:t>
      </w:r>
      <w:r w:rsidR="00DA79E2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кту наказу забезпечить виконання вимог законодавства та проведення передбачених Кодексом </w:t>
      </w:r>
      <w:r w:rsidRPr="00333F6B">
        <w:rPr>
          <w:rFonts w:ascii="Times New Roman" w:hAnsi="Times New Roman" w:cs="Times New Roman"/>
          <w:sz w:val="28"/>
          <w:szCs w:val="28"/>
        </w:rPr>
        <w:t>митного контролю та митного оформлення товарів, транспортних засобів комерційного призначення з використанням бланк</w:t>
      </w:r>
      <w:r w:rsidR="00DA79E2">
        <w:rPr>
          <w:rFonts w:ascii="Times New Roman" w:hAnsi="Times New Roman" w:cs="Times New Roman"/>
          <w:sz w:val="28"/>
          <w:szCs w:val="28"/>
        </w:rPr>
        <w:t>ів</w:t>
      </w:r>
      <w:r w:rsidRPr="00333F6B">
        <w:rPr>
          <w:rFonts w:ascii="Times New Roman" w:hAnsi="Times New Roman" w:cs="Times New Roman"/>
          <w:sz w:val="28"/>
          <w:szCs w:val="28"/>
        </w:rPr>
        <w:t xml:space="preserve"> фінансов</w:t>
      </w:r>
      <w:r w:rsidR="00156004">
        <w:rPr>
          <w:rFonts w:ascii="Times New Roman" w:hAnsi="Times New Roman" w:cs="Times New Roman"/>
          <w:sz w:val="28"/>
          <w:szCs w:val="28"/>
        </w:rPr>
        <w:t>их</w:t>
      </w:r>
      <w:r w:rsidRPr="00333F6B">
        <w:rPr>
          <w:rFonts w:ascii="Times New Roman" w:hAnsi="Times New Roman" w:cs="Times New Roman"/>
          <w:sz w:val="28"/>
          <w:szCs w:val="28"/>
        </w:rPr>
        <w:t xml:space="preserve"> гаранті</w:t>
      </w:r>
      <w:r w:rsidR="0015600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FE8" w:rsidRDefault="00357FE8" w:rsidP="00357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FE8" w:rsidRDefault="00357FE8" w:rsidP="0035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66DE">
        <w:rPr>
          <w:rFonts w:ascii="Times New Roman" w:hAnsi="Times New Roman" w:cs="Times New Roman"/>
          <w:sz w:val="28"/>
          <w:szCs w:val="28"/>
        </w:rPr>
        <w:t>сновні групи (підгрупи), на які проблема справляє вплив:</w:t>
      </w:r>
    </w:p>
    <w:p w:rsidR="00357FE8" w:rsidRPr="00561169" w:rsidRDefault="00357FE8" w:rsidP="00357F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3"/>
        <w:gridCol w:w="3118"/>
        <w:gridCol w:w="2943"/>
      </w:tblGrid>
      <w:tr w:rsidR="00357FE8" w:rsidTr="00821C73">
        <w:tc>
          <w:tcPr>
            <w:tcW w:w="3794" w:type="dxa"/>
          </w:tcPr>
          <w:p w:rsidR="00357FE8" w:rsidRDefault="00357FE8" w:rsidP="008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7B">
              <w:rPr>
                <w:rFonts w:ascii="Times New Roman" w:hAnsi="Times New Roman" w:cs="Times New Roman"/>
                <w:sz w:val="28"/>
                <w:szCs w:val="28"/>
              </w:rPr>
              <w:t>Групи (підгрупи)</w:t>
            </w:r>
          </w:p>
        </w:tc>
        <w:tc>
          <w:tcPr>
            <w:tcW w:w="3118" w:type="dxa"/>
          </w:tcPr>
          <w:p w:rsidR="00357FE8" w:rsidRDefault="00357FE8" w:rsidP="008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2943" w:type="dxa"/>
          </w:tcPr>
          <w:p w:rsidR="00357FE8" w:rsidRDefault="00357FE8" w:rsidP="008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357FE8" w:rsidTr="00821C73">
        <w:tc>
          <w:tcPr>
            <w:tcW w:w="3794" w:type="dxa"/>
          </w:tcPr>
          <w:p w:rsidR="00357FE8" w:rsidRDefault="00357FE8" w:rsidP="0082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B">
              <w:rPr>
                <w:rFonts w:ascii="Times New Roman" w:hAnsi="Times New Roman" w:cs="Times New Roman"/>
                <w:sz w:val="28"/>
                <w:szCs w:val="28"/>
              </w:rPr>
              <w:t>Громадяни</w:t>
            </w:r>
          </w:p>
        </w:tc>
        <w:tc>
          <w:tcPr>
            <w:tcW w:w="3118" w:type="dxa"/>
          </w:tcPr>
          <w:p w:rsidR="00357FE8" w:rsidRDefault="00357FE8" w:rsidP="008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3" w:type="dxa"/>
          </w:tcPr>
          <w:p w:rsidR="00357FE8" w:rsidRDefault="00357FE8" w:rsidP="008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57FE8" w:rsidTr="00821C73">
        <w:tc>
          <w:tcPr>
            <w:tcW w:w="3794" w:type="dxa"/>
          </w:tcPr>
          <w:p w:rsidR="00357FE8" w:rsidRDefault="00357FE8" w:rsidP="0082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B">
              <w:rPr>
                <w:rFonts w:ascii="Times New Roman" w:hAnsi="Times New Roman" w:cs="Times New Roman"/>
                <w:sz w:val="28"/>
                <w:szCs w:val="28"/>
              </w:rPr>
              <w:t>Держава</w:t>
            </w:r>
          </w:p>
        </w:tc>
        <w:tc>
          <w:tcPr>
            <w:tcW w:w="3118" w:type="dxa"/>
          </w:tcPr>
          <w:p w:rsidR="00357FE8" w:rsidRDefault="00357FE8" w:rsidP="008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43" w:type="dxa"/>
          </w:tcPr>
          <w:p w:rsidR="00357FE8" w:rsidRDefault="00357FE8" w:rsidP="008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57FE8" w:rsidTr="00821C73">
        <w:tc>
          <w:tcPr>
            <w:tcW w:w="3794" w:type="dxa"/>
          </w:tcPr>
          <w:p w:rsidR="00357FE8" w:rsidRDefault="00357FE8" w:rsidP="0082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Суб’єкти </w:t>
            </w:r>
            <w:r w:rsidRPr="0013217B">
              <w:rPr>
                <w:rFonts w:ascii="Times New Roman" w:hAnsi="Times New Roman" w:cs="Times New Roman"/>
                <w:sz w:val="28"/>
                <w:szCs w:val="28"/>
              </w:rPr>
              <w:t>господарювання,</w:t>
            </w:r>
          </w:p>
        </w:tc>
        <w:tc>
          <w:tcPr>
            <w:tcW w:w="3118" w:type="dxa"/>
          </w:tcPr>
          <w:p w:rsidR="00357FE8" w:rsidRDefault="00357FE8" w:rsidP="008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43" w:type="dxa"/>
          </w:tcPr>
          <w:p w:rsidR="00357FE8" w:rsidRDefault="00357FE8" w:rsidP="008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57FE8" w:rsidTr="00821C73">
        <w:tc>
          <w:tcPr>
            <w:tcW w:w="3794" w:type="dxa"/>
          </w:tcPr>
          <w:p w:rsidR="00357FE8" w:rsidRDefault="00357FE8" w:rsidP="0082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B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суб’єкти малого підприємництв</w:t>
            </w:r>
            <w:r w:rsidRPr="00A4500D">
              <w:rPr>
                <w:rFonts w:ascii="Times New Roman" w:hAnsi="Times New Roman" w:cs="Times New Roman"/>
                <w:sz w:val="28"/>
                <w:szCs w:val="28"/>
              </w:rPr>
              <w:t>а*</w:t>
            </w:r>
          </w:p>
        </w:tc>
        <w:tc>
          <w:tcPr>
            <w:tcW w:w="3118" w:type="dxa"/>
          </w:tcPr>
          <w:p w:rsidR="00357FE8" w:rsidRPr="00404373" w:rsidRDefault="00357FE8" w:rsidP="0082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2943" w:type="dxa"/>
          </w:tcPr>
          <w:p w:rsidR="00357FE8" w:rsidRDefault="00357FE8" w:rsidP="0082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357FE8" w:rsidRPr="00AF40BD" w:rsidRDefault="00357FE8" w:rsidP="00357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7FE8" w:rsidRDefault="00357FE8" w:rsidP="00357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F2">
        <w:rPr>
          <w:rFonts w:ascii="Times New Roman" w:hAnsi="Times New Roman" w:cs="Times New Roman"/>
          <w:sz w:val="28"/>
          <w:szCs w:val="28"/>
        </w:rPr>
        <w:t>Врегулювання зазначеного питання не може бути здійснено за допомогою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7FE8" w:rsidRDefault="00357FE8" w:rsidP="00357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F2">
        <w:rPr>
          <w:rFonts w:ascii="Times New Roman" w:hAnsi="Times New Roman" w:cs="Times New Roman"/>
          <w:sz w:val="28"/>
          <w:szCs w:val="28"/>
        </w:rPr>
        <w:t>ринкових механізмів, оскільки та</w:t>
      </w:r>
      <w:r>
        <w:rPr>
          <w:rFonts w:ascii="Times New Roman" w:hAnsi="Times New Roman" w:cs="Times New Roman"/>
          <w:sz w:val="28"/>
          <w:szCs w:val="28"/>
        </w:rPr>
        <w:t>кі питання регулюються виключно нормативно-</w:t>
      </w:r>
      <w:r w:rsidRPr="00615BF2">
        <w:rPr>
          <w:rFonts w:ascii="Times New Roman" w:hAnsi="Times New Roman" w:cs="Times New Roman"/>
          <w:sz w:val="28"/>
          <w:szCs w:val="28"/>
        </w:rPr>
        <w:t>правовими актами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FE8" w:rsidRPr="00615BF2" w:rsidRDefault="00357FE8" w:rsidP="00357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чинних регуляторних актів, оскільки вони не відповідають актам вищої юридичної сили.</w:t>
      </w:r>
    </w:p>
    <w:p w:rsidR="00357FE8" w:rsidRPr="00615BF2" w:rsidRDefault="00357FE8" w:rsidP="00357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8D2" w:rsidRPr="005F78D2" w:rsidRDefault="005F78D2" w:rsidP="005F7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Цілі державного регулювання</w:t>
      </w:r>
    </w:p>
    <w:p w:rsidR="005F78D2" w:rsidRDefault="005F78D2" w:rsidP="005F7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C5" w:rsidRDefault="00042AC5" w:rsidP="00042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підготовки проєкту наказу є</w:t>
      </w:r>
      <w:r w:rsidRPr="00615BF2">
        <w:rPr>
          <w:rFonts w:ascii="Times New Roman" w:hAnsi="Times New Roman" w:cs="Times New Roman"/>
          <w:sz w:val="28"/>
          <w:szCs w:val="28"/>
        </w:rPr>
        <w:t>:</w:t>
      </w:r>
    </w:p>
    <w:p w:rsidR="00042AC5" w:rsidRDefault="00042AC5" w:rsidP="00042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вимог Кодексу;</w:t>
      </w:r>
    </w:p>
    <w:p w:rsidR="00042AC5" w:rsidRDefault="00042AC5" w:rsidP="006A6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затвердження уніфікованих форм</w:t>
      </w:r>
      <w:r w:rsidR="006A6DFA">
        <w:rPr>
          <w:rFonts w:ascii="Times New Roman" w:hAnsi="Times New Roman" w:cs="Times New Roman"/>
          <w:sz w:val="28"/>
          <w:szCs w:val="28"/>
        </w:rPr>
        <w:t xml:space="preserve"> </w:t>
      </w:r>
      <w:r w:rsidR="006A6DFA" w:rsidRPr="006A6DFA">
        <w:rPr>
          <w:rFonts w:ascii="Times New Roman" w:hAnsi="Times New Roman" w:cs="Times New Roman"/>
          <w:sz w:val="28"/>
          <w:szCs w:val="28"/>
        </w:rPr>
        <w:t>гарантійних фінансових документів (</w:t>
      </w:r>
      <w:r w:rsidR="00050F0D">
        <w:rPr>
          <w:rFonts w:ascii="Times New Roman" w:hAnsi="Times New Roman" w:cs="Times New Roman"/>
          <w:sz w:val="28"/>
          <w:szCs w:val="28"/>
        </w:rPr>
        <w:t>форм</w:t>
      </w:r>
      <w:r w:rsidR="006A6DFA" w:rsidRPr="006A6DFA">
        <w:rPr>
          <w:rFonts w:ascii="Times New Roman" w:hAnsi="Times New Roman" w:cs="Times New Roman"/>
          <w:sz w:val="28"/>
          <w:szCs w:val="28"/>
        </w:rPr>
        <w:t xml:space="preserve"> бланків для індивідуальної (одноразової) фінансової гарантії, багаторазової фінансової гарантії, загальної фінансової гарантії)</w:t>
      </w:r>
      <w:r w:rsidR="00127507">
        <w:rPr>
          <w:rFonts w:ascii="Times New Roman" w:hAnsi="Times New Roman" w:cs="Times New Roman"/>
          <w:sz w:val="28"/>
          <w:szCs w:val="28"/>
        </w:rPr>
        <w:t xml:space="preserve"> та </w:t>
      </w:r>
      <w:r w:rsidR="0012750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порядку </w:t>
      </w:r>
      <w:r w:rsidR="002729FF">
        <w:rPr>
          <w:rFonts w:ascii="Times New Roman" w:eastAsia="Times New Roman" w:hAnsi="Times New Roman" w:cs="Times New Roman"/>
          <w:bCs/>
          <w:sz w:val="28"/>
          <w:szCs w:val="28"/>
        </w:rPr>
        <w:t xml:space="preserve">їх </w:t>
      </w:r>
      <w:r w:rsidR="00127507">
        <w:rPr>
          <w:rFonts w:ascii="Times New Roman" w:eastAsia="Times New Roman" w:hAnsi="Times New Roman" w:cs="Times New Roman"/>
          <w:bCs/>
          <w:sz w:val="28"/>
          <w:szCs w:val="28"/>
        </w:rPr>
        <w:t>заповнення</w:t>
      </w:r>
      <w:r w:rsidR="006A6D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 дасть можливість </w:t>
      </w:r>
      <w:r w:rsidRPr="009D7A70">
        <w:rPr>
          <w:rFonts w:ascii="Times New Roman" w:hAnsi="Times New Roman" w:cs="Times New Roman"/>
          <w:sz w:val="28"/>
          <w:szCs w:val="28"/>
        </w:rPr>
        <w:t>забезпечити належний контроль за процедурою гарантування на митній території України</w:t>
      </w:r>
      <w:r w:rsidRPr="00615BF2">
        <w:rPr>
          <w:rFonts w:ascii="Times New Roman" w:hAnsi="Times New Roman" w:cs="Times New Roman"/>
          <w:sz w:val="28"/>
          <w:szCs w:val="28"/>
        </w:rPr>
        <w:t>;</w:t>
      </w:r>
    </w:p>
    <w:p w:rsidR="00042AC5" w:rsidRDefault="00042AC5" w:rsidP="00042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F2">
        <w:rPr>
          <w:rFonts w:ascii="Times New Roman" w:hAnsi="Times New Roman" w:cs="Times New Roman"/>
          <w:sz w:val="28"/>
          <w:szCs w:val="28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</w:rPr>
        <w:t xml:space="preserve">єдиного </w:t>
      </w:r>
      <w:r w:rsidRPr="00615BF2">
        <w:rPr>
          <w:rFonts w:ascii="Times New Roman" w:hAnsi="Times New Roman" w:cs="Times New Roman"/>
          <w:sz w:val="28"/>
          <w:szCs w:val="28"/>
        </w:rPr>
        <w:t>переліку відомостей, що вносяться</w:t>
      </w:r>
      <w:r>
        <w:rPr>
          <w:rFonts w:ascii="Times New Roman" w:hAnsi="Times New Roman" w:cs="Times New Roman"/>
          <w:sz w:val="28"/>
          <w:szCs w:val="28"/>
        </w:rPr>
        <w:t xml:space="preserve"> до гарантійного документа;</w:t>
      </w:r>
    </w:p>
    <w:p w:rsidR="00042AC5" w:rsidRDefault="00042AC5" w:rsidP="00042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сприяння забезпеченню проведення передбачених Кодексом </w:t>
      </w:r>
      <w:r w:rsidRPr="00333F6B">
        <w:rPr>
          <w:rFonts w:ascii="Times New Roman" w:hAnsi="Times New Roman" w:cs="Times New Roman"/>
          <w:sz w:val="28"/>
          <w:szCs w:val="28"/>
        </w:rPr>
        <w:t>митного контролю та митного оформлення товарів, транспортних засобів комерційного призначення з використан</w:t>
      </w:r>
      <w:r>
        <w:rPr>
          <w:rFonts w:ascii="Times New Roman" w:hAnsi="Times New Roman" w:cs="Times New Roman"/>
          <w:sz w:val="28"/>
          <w:szCs w:val="28"/>
        </w:rPr>
        <w:t>ням бланк</w:t>
      </w:r>
      <w:r w:rsidR="00195DF7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фінансов</w:t>
      </w:r>
      <w:r w:rsidR="00195DF7">
        <w:rPr>
          <w:rFonts w:ascii="Times New Roman" w:hAnsi="Times New Roman" w:cs="Times New Roman"/>
          <w:sz w:val="28"/>
          <w:szCs w:val="28"/>
        </w:rPr>
        <w:t>их гарантій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AC5" w:rsidRDefault="00042AC5" w:rsidP="00042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забезпечення надходження коштів (митних платежів) до державного бюджету.</w:t>
      </w:r>
    </w:p>
    <w:p w:rsidR="00042AC5" w:rsidRPr="005F78D2" w:rsidRDefault="00042AC5" w:rsidP="005F7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8D2" w:rsidRPr="005F78D2" w:rsidRDefault="005F78D2" w:rsidP="005F7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F7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Визначення та оцінка альтернативних способів досягнення цілей </w:t>
      </w:r>
    </w:p>
    <w:p w:rsidR="005F78D2" w:rsidRPr="005F78D2" w:rsidRDefault="005F78D2" w:rsidP="005F7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8D2" w:rsidRPr="005F78D2" w:rsidRDefault="005F78D2" w:rsidP="005F78D2">
      <w:pPr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Альтернативні способи досягнення цілей державного регулювання: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5F78D2" w:rsidRPr="005F78D2" w:rsidTr="00E32D0D">
        <w:tc>
          <w:tcPr>
            <w:tcW w:w="2802" w:type="dxa"/>
          </w:tcPr>
          <w:p w:rsidR="005F78D2" w:rsidRPr="005F78D2" w:rsidRDefault="005F78D2" w:rsidP="005F78D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7052" w:type="dxa"/>
          </w:tcPr>
          <w:p w:rsidR="005F78D2" w:rsidRPr="005F78D2" w:rsidRDefault="005F78D2" w:rsidP="005F78D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 альтернативи </w:t>
            </w:r>
          </w:p>
        </w:tc>
      </w:tr>
      <w:tr w:rsidR="005F78D2" w:rsidRPr="005F78D2" w:rsidTr="00E32D0D">
        <w:tc>
          <w:tcPr>
            <w:tcW w:w="2802" w:type="dxa"/>
          </w:tcPr>
          <w:p w:rsidR="005F78D2" w:rsidRPr="005F78D2" w:rsidRDefault="005F78D2" w:rsidP="005F78D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Альтернатива 1</w:t>
            </w:r>
          </w:p>
        </w:tc>
        <w:tc>
          <w:tcPr>
            <w:tcW w:w="7052" w:type="dxa"/>
          </w:tcPr>
          <w:p w:rsidR="005F78D2" w:rsidRPr="005F78D2" w:rsidRDefault="005F78D2" w:rsidP="00152A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Розробити проєкт наказу Міністерства фінансів України </w:t>
            </w:r>
            <w:r w:rsidR="00E03516" w:rsidRPr="00110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0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 затвердження форм бланків фінансових гарантій та порядку</w:t>
            </w:r>
            <w:r w:rsidR="00152A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10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їх заповнення</w:t>
            </w:r>
            <w:r w:rsidR="00E03516" w:rsidRPr="00110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110587" w:rsidRPr="00110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оскільки ця вимога чітко встановлена частиною третьою статті 311 Кодексу, де передбачено встановлення форм бланк</w:t>
            </w:r>
            <w:r w:rsidR="00CC3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ів</w:t>
            </w:r>
            <w:r w:rsidR="00110587" w:rsidRPr="00110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фінансов</w:t>
            </w:r>
            <w:r w:rsidR="0029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</w:t>
            </w:r>
            <w:r w:rsidR="00110587" w:rsidRPr="00110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гаранті</w:t>
            </w:r>
            <w:r w:rsidR="0029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="00110587" w:rsidRPr="00110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3516" w:rsidRPr="00CC3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центральним органом виконавчої влади, що забезпечує формування та реалізує державну фінансову політику</w:t>
            </w:r>
          </w:p>
        </w:tc>
      </w:tr>
      <w:tr w:rsidR="005F78D2" w:rsidRPr="005F78D2" w:rsidTr="00E32D0D">
        <w:tc>
          <w:tcPr>
            <w:tcW w:w="2802" w:type="dxa"/>
          </w:tcPr>
          <w:p w:rsidR="005F78D2" w:rsidRPr="005F78D2" w:rsidRDefault="005F78D2" w:rsidP="005F78D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7052" w:type="dxa"/>
          </w:tcPr>
          <w:p w:rsidR="005F78D2" w:rsidRPr="005F78D2" w:rsidRDefault="005F78D2" w:rsidP="006E39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Залишити без змін наказ Міністерства фінансів </w:t>
            </w:r>
            <w:r w:rsidRPr="005F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від 09 січня 2019 року №</w:t>
            </w:r>
            <w:r w:rsidRPr="005F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  <w:r w:rsidRPr="005F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r w:rsidR="006E3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F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 затвердження форми бланка фінансової гарантії</w:t>
            </w:r>
            <w:r w:rsidR="006E3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6D7B41" w:rsidRDefault="006D7B41" w:rsidP="005F78D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8D2" w:rsidRDefault="005F78D2" w:rsidP="005F78D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78D2">
        <w:rPr>
          <w:rFonts w:ascii="Times New Roman" w:eastAsia="Times New Roman" w:hAnsi="Times New Roman" w:cs="Times New Roman"/>
          <w:bCs/>
          <w:sz w:val="28"/>
          <w:szCs w:val="28"/>
        </w:rPr>
        <w:t>2. Оцінка впливу на сферу інтересів держави:</w:t>
      </w:r>
    </w:p>
    <w:p w:rsidR="0025308D" w:rsidRPr="005F78D2" w:rsidRDefault="0025308D" w:rsidP="005F78D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4252"/>
      </w:tblGrid>
      <w:tr w:rsidR="005F78D2" w:rsidRPr="005F78D2" w:rsidTr="00A73710">
        <w:tc>
          <w:tcPr>
            <w:tcW w:w="1668" w:type="dxa"/>
          </w:tcPr>
          <w:p w:rsidR="005F78D2" w:rsidRPr="005F78D2" w:rsidRDefault="005F78D2" w:rsidP="005F78D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3969" w:type="dxa"/>
          </w:tcPr>
          <w:p w:rsidR="005F78D2" w:rsidRPr="005F78D2" w:rsidRDefault="005F78D2" w:rsidP="005F78D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Вигоди</w:t>
            </w:r>
          </w:p>
        </w:tc>
        <w:tc>
          <w:tcPr>
            <w:tcW w:w="4252" w:type="dxa"/>
          </w:tcPr>
          <w:p w:rsidR="005F78D2" w:rsidRPr="005F78D2" w:rsidRDefault="005F78D2" w:rsidP="005F78D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Витрати</w:t>
            </w:r>
          </w:p>
        </w:tc>
      </w:tr>
      <w:tr w:rsidR="005F78D2" w:rsidRPr="005F78D2" w:rsidTr="00A73710">
        <w:tc>
          <w:tcPr>
            <w:tcW w:w="1668" w:type="dxa"/>
          </w:tcPr>
          <w:p w:rsidR="005F78D2" w:rsidRPr="005F78D2" w:rsidRDefault="005F78D2" w:rsidP="005F78D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Альтернатива 1</w:t>
            </w:r>
          </w:p>
        </w:tc>
        <w:tc>
          <w:tcPr>
            <w:tcW w:w="3969" w:type="dxa"/>
          </w:tcPr>
          <w:p w:rsidR="007A5947" w:rsidRPr="007A5947" w:rsidRDefault="007A5947" w:rsidP="007A5947">
            <w:pPr>
              <w:keepNext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проє</w:t>
            </w:r>
            <w:r w:rsidRPr="007A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акта надасть можливість правового забезпечення та практичної реалізації взаємодії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митних</w:t>
            </w:r>
            <w:r w:rsidRPr="007A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органів, гарантів та осіб, відповідальних за сплату митних платежів, під час проведення передбачених Кодексом митного контролю та митного оформлення товарів, транспортних засобів комерційного призначення з використанням бланк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Pr="007A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55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безумовного надходження коштів (митних платежів) до державного бюджету</w:t>
            </w:r>
          </w:p>
          <w:p w:rsidR="005F78D2" w:rsidRPr="005F78D2" w:rsidRDefault="005F78D2" w:rsidP="005F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C444A" w:rsidRDefault="008C2566" w:rsidP="000C444A">
            <w:pPr>
              <w:keepNext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держави (папір, конверт, марка тощо), а також витрати на проведення </w:t>
            </w:r>
            <w:r w:rsidR="0020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митними </w:t>
            </w:r>
            <w:r w:rsidRPr="008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експертиз та інших заходів (у разі протизаконних та/або обманних дій) залежать від кількості гарантійних випадків та здійснюються в межах фінансування державних органів.</w:t>
            </w:r>
            <w:r w:rsidR="000C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78D2" w:rsidRPr="00104E6C" w:rsidRDefault="008C2566" w:rsidP="00FE6433">
            <w:pPr>
              <w:keepNext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Доопрацювання відповідних автоматизованих інформаційних</w:t>
            </w:r>
            <w:r w:rsidR="00DE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Держмитслужби</w:t>
            </w:r>
            <w:r w:rsidRPr="008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забезпечення проведення передбачених Кодексом митного контролю та митного оформлення товарів, транспортних засобів комерційного призначення з використанням бланк</w:t>
            </w:r>
            <w:r w:rsidR="00DE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Pr="008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фінансов</w:t>
            </w:r>
            <w:r w:rsidR="00DE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гаранті</w:t>
            </w:r>
            <w:r w:rsidR="00DE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відповідність до цього про</w:t>
            </w:r>
            <w:r w:rsidR="00A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r w:rsidRPr="008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наказу здійснюватимуться в межах фінансування державних органів</w:t>
            </w:r>
          </w:p>
        </w:tc>
      </w:tr>
      <w:tr w:rsidR="005F78D2" w:rsidRPr="005F78D2" w:rsidTr="00A73710">
        <w:tc>
          <w:tcPr>
            <w:tcW w:w="1668" w:type="dxa"/>
          </w:tcPr>
          <w:p w:rsidR="005F78D2" w:rsidRPr="00DF15F0" w:rsidRDefault="005F78D2" w:rsidP="005F78D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3969" w:type="dxa"/>
          </w:tcPr>
          <w:p w:rsidR="005F78D2" w:rsidRPr="00DF15F0" w:rsidRDefault="00DF15F0" w:rsidP="005F78D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  <w:tc>
          <w:tcPr>
            <w:tcW w:w="4252" w:type="dxa"/>
          </w:tcPr>
          <w:p w:rsidR="005F78D2" w:rsidRDefault="007804B7" w:rsidP="005F78D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5F78D2" w:rsidRPr="005F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итрати відсутні.</w:t>
            </w:r>
          </w:p>
          <w:p w:rsidR="00A35AB9" w:rsidRPr="00A35AB9" w:rsidRDefault="00A35AB9" w:rsidP="005F78D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5F78D2" w:rsidRPr="005F78D2" w:rsidRDefault="00A35AB9" w:rsidP="00A35AB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5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разі неприйняття 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є</w:t>
            </w:r>
            <w:r w:rsidRPr="00A35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 наказу не буде забезпечено виконання частини третьої статті 311 Кодексу та надання гарантій за встановлен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ими</w:t>
            </w:r>
            <w:r w:rsidRPr="00A35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</w:t>
            </w:r>
            <w:r w:rsidRPr="00A35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зі </w:t>
            </w:r>
            <w:r w:rsidRPr="00A35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сплати митних платежів до державного бюджету</w:t>
            </w:r>
          </w:p>
        </w:tc>
      </w:tr>
    </w:tbl>
    <w:p w:rsidR="005F78D2" w:rsidRPr="005F78D2" w:rsidRDefault="005F78D2" w:rsidP="005F78D2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8D2" w:rsidRPr="005F78D2" w:rsidRDefault="005F78D2" w:rsidP="005F7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D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Дія про</w:t>
      </w:r>
      <w:r w:rsidR="00FE643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5F78D2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 наказу не поширюється на сферу інтересів громадян.</w:t>
      </w:r>
    </w:p>
    <w:p w:rsidR="005F78D2" w:rsidRPr="005F78D2" w:rsidRDefault="005F78D2" w:rsidP="005F78D2">
      <w:pPr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8D2" w:rsidRDefault="005F78D2" w:rsidP="005F78D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Оцінка впливу на сферу інтересів суб’єктів господарювання</w:t>
      </w:r>
      <w:r w:rsidR="00FE6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1744" w:rsidRPr="005F78D2" w:rsidRDefault="004C1744" w:rsidP="005F78D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8D2" w:rsidRPr="00C063EE" w:rsidRDefault="005F78D2" w:rsidP="005F7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3E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Юридичні особи, які мають намір виступати гарантом забезпечення зобов’язань перед митними органами зі сплати митних платежів, а саме банківськ</w:t>
      </w:r>
      <w:r w:rsidR="00E62F9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0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</w:t>
      </w:r>
      <w:r w:rsidR="00E62F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незалежн</w:t>
      </w:r>
      <w:r w:rsidR="00E62F9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0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фінансов</w:t>
      </w:r>
      <w:r w:rsidR="00E62F9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0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посередник</w:t>
      </w:r>
      <w:r w:rsidR="00E62F97">
        <w:rPr>
          <w:rFonts w:ascii="Times New Roman" w:eastAsia="Times New Roman" w:hAnsi="Times New Roman" w:cs="Times New Roman"/>
          <w:sz w:val="28"/>
          <w:szCs w:val="28"/>
          <w:lang w:eastAsia="ru-RU"/>
        </w:rPr>
        <w:t>и – юридичні особи</w:t>
      </w:r>
      <w:r w:rsidRPr="00C063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створен</w:t>
      </w:r>
      <w:r w:rsidR="00E62F9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0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формі повного або командитного товариства. </w:t>
      </w:r>
    </w:p>
    <w:p w:rsidR="005F78D2" w:rsidRDefault="005F78D2" w:rsidP="005F7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2020 році спостерігається тенденція до збільшення кількості гарантів, зокрема станом на 01 </w:t>
      </w:r>
      <w:r w:rsidR="00321C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Pr="005F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року повноваження гаранта є у 8 юридичних осіб, які внесен</w:t>
      </w:r>
      <w:r w:rsidR="00321C4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F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реєстру гарантів Держмитслужби. </w:t>
      </w:r>
    </w:p>
    <w:p w:rsidR="00321C49" w:rsidRDefault="00321C49" w:rsidP="005F7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965"/>
        <w:gridCol w:w="1581"/>
        <w:gridCol w:w="1591"/>
        <w:gridCol w:w="1565"/>
        <w:gridCol w:w="1577"/>
        <w:gridCol w:w="1575"/>
      </w:tblGrid>
      <w:tr w:rsidR="00321C49" w:rsidRPr="00321C49" w:rsidTr="00821C73">
        <w:tc>
          <w:tcPr>
            <w:tcW w:w="1965" w:type="dxa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21C49">
              <w:rPr>
                <w:color w:val="000000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1581" w:type="dxa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21C49">
              <w:rPr>
                <w:color w:val="000000"/>
                <w:sz w:val="24"/>
                <w:szCs w:val="24"/>
                <w:lang w:eastAsia="ru-RU"/>
              </w:rPr>
              <w:t>Великі</w:t>
            </w:r>
          </w:p>
        </w:tc>
        <w:tc>
          <w:tcPr>
            <w:tcW w:w="1591" w:type="dxa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21C49">
              <w:rPr>
                <w:color w:val="000000"/>
                <w:sz w:val="24"/>
                <w:szCs w:val="24"/>
                <w:lang w:eastAsia="ru-RU"/>
              </w:rPr>
              <w:t>Середні</w:t>
            </w:r>
          </w:p>
        </w:tc>
        <w:tc>
          <w:tcPr>
            <w:tcW w:w="1565" w:type="dxa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21C49">
              <w:rPr>
                <w:color w:val="000000"/>
                <w:sz w:val="24"/>
                <w:szCs w:val="24"/>
                <w:lang w:eastAsia="ru-RU"/>
              </w:rPr>
              <w:t>Малі</w:t>
            </w:r>
          </w:p>
        </w:tc>
        <w:tc>
          <w:tcPr>
            <w:tcW w:w="1577" w:type="dxa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21C49">
              <w:rPr>
                <w:color w:val="000000"/>
                <w:sz w:val="24"/>
                <w:szCs w:val="24"/>
                <w:lang w:eastAsia="ru-RU"/>
              </w:rPr>
              <w:t>Мікро</w:t>
            </w:r>
          </w:p>
        </w:tc>
        <w:tc>
          <w:tcPr>
            <w:tcW w:w="1575" w:type="dxa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21C49">
              <w:rPr>
                <w:color w:val="000000"/>
                <w:sz w:val="24"/>
                <w:szCs w:val="24"/>
                <w:lang w:eastAsia="ru-RU"/>
              </w:rPr>
              <w:t>Разом</w:t>
            </w:r>
          </w:p>
        </w:tc>
      </w:tr>
      <w:tr w:rsidR="00321C49" w:rsidRPr="00321C49" w:rsidTr="00821C73">
        <w:tc>
          <w:tcPr>
            <w:tcW w:w="1965" w:type="dxa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21C49">
              <w:rPr>
                <w:color w:val="000000"/>
                <w:sz w:val="24"/>
                <w:szCs w:val="24"/>
                <w:lang w:eastAsia="ru-RU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581" w:type="dxa"/>
            <w:vAlign w:val="center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1" w:type="dxa"/>
            <w:vAlign w:val="center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1C49">
              <w:rPr>
                <w:sz w:val="24"/>
                <w:szCs w:val="24"/>
              </w:rPr>
              <w:t>–</w:t>
            </w:r>
          </w:p>
        </w:tc>
        <w:tc>
          <w:tcPr>
            <w:tcW w:w="1565" w:type="dxa"/>
            <w:vAlign w:val="center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1C49">
              <w:rPr>
                <w:sz w:val="24"/>
                <w:szCs w:val="24"/>
              </w:rPr>
              <w:t>–</w:t>
            </w:r>
          </w:p>
        </w:tc>
        <w:tc>
          <w:tcPr>
            <w:tcW w:w="1577" w:type="dxa"/>
            <w:vAlign w:val="center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1C49">
              <w:rPr>
                <w:sz w:val="24"/>
                <w:szCs w:val="24"/>
              </w:rPr>
              <w:t>–</w:t>
            </w:r>
          </w:p>
        </w:tc>
        <w:tc>
          <w:tcPr>
            <w:tcW w:w="1575" w:type="dxa"/>
            <w:vAlign w:val="center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21C49" w:rsidRPr="00321C49" w:rsidTr="00821C73">
        <w:tc>
          <w:tcPr>
            <w:tcW w:w="1965" w:type="dxa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21C49">
              <w:rPr>
                <w:color w:val="000000"/>
                <w:sz w:val="24"/>
                <w:szCs w:val="24"/>
                <w:lang w:eastAsia="ru-RU"/>
              </w:rPr>
              <w:t>Питома вага групи у загальній кількості, відсотків</w:t>
            </w:r>
          </w:p>
        </w:tc>
        <w:tc>
          <w:tcPr>
            <w:tcW w:w="1581" w:type="dxa"/>
            <w:vAlign w:val="center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1C49">
              <w:rPr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91" w:type="dxa"/>
            <w:vAlign w:val="center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1C49">
              <w:rPr>
                <w:sz w:val="24"/>
                <w:szCs w:val="24"/>
              </w:rPr>
              <w:t>–</w:t>
            </w:r>
          </w:p>
        </w:tc>
        <w:tc>
          <w:tcPr>
            <w:tcW w:w="1565" w:type="dxa"/>
            <w:vAlign w:val="center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1C49">
              <w:rPr>
                <w:sz w:val="24"/>
                <w:szCs w:val="24"/>
              </w:rPr>
              <w:t>–</w:t>
            </w:r>
          </w:p>
        </w:tc>
        <w:tc>
          <w:tcPr>
            <w:tcW w:w="1577" w:type="dxa"/>
            <w:vAlign w:val="center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1C49">
              <w:rPr>
                <w:sz w:val="24"/>
                <w:szCs w:val="24"/>
              </w:rPr>
              <w:t>–</w:t>
            </w:r>
          </w:p>
        </w:tc>
        <w:tc>
          <w:tcPr>
            <w:tcW w:w="1575" w:type="dxa"/>
            <w:vAlign w:val="center"/>
          </w:tcPr>
          <w:p w:rsidR="00321C49" w:rsidRPr="00321C49" w:rsidRDefault="00321C49" w:rsidP="00321C4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1C49">
              <w:rPr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321C49" w:rsidRPr="00321C49" w:rsidRDefault="00321C49" w:rsidP="00321C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1C49">
        <w:rPr>
          <w:rFonts w:ascii="Times New Roman" w:hAnsi="Times New Roman" w:cs="Times New Roman"/>
        </w:rPr>
        <w:t>*за результатами даних реєстру гарантів Д</w:t>
      </w:r>
      <w:r>
        <w:rPr>
          <w:rFonts w:ascii="Times New Roman" w:hAnsi="Times New Roman" w:cs="Times New Roman"/>
        </w:rPr>
        <w:t>ержмитслужби</w:t>
      </w:r>
      <w:r w:rsidR="00754CF6">
        <w:rPr>
          <w:rFonts w:ascii="Times New Roman" w:hAnsi="Times New Roman" w:cs="Times New Roman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851"/>
        <w:gridCol w:w="3083"/>
      </w:tblGrid>
      <w:tr w:rsidR="0049104F" w:rsidRPr="0049104F" w:rsidTr="00821C73">
        <w:tc>
          <w:tcPr>
            <w:tcW w:w="1951" w:type="dxa"/>
          </w:tcPr>
          <w:p w:rsidR="0049104F" w:rsidRPr="0049104F" w:rsidRDefault="0049104F" w:rsidP="0049104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104F">
              <w:rPr>
                <w:color w:val="000000"/>
                <w:sz w:val="24"/>
                <w:szCs w:val="24"/>
                <w:lang w:eastAsia="ru-RU"/>
              </w:rPr>
              <w:lastRenderedPageBreak/>
              <w:t>Вид альтернативи</w:t>
            </w:r>
          </w:p>
        </w:tc>
        <w:tc>
          <w:tcPr>
            <w:tcW w:w="3969" w:type="dxa"/>
          </w:tcPr>
          <w:p w:rsidR="0049104F" w:rsidRPr="0049104F" w:rsidRDefault="0049104F" w:rsidP="0049104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104F">
              <w:rPr>
                <w:color w:val="000000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3934" w:type="dxa"/>
            <w:gridSpan w:val="2"/>
          </w:tcPr>
          <w:p w:rsidR="0049104F" w:rsidRPr="0049104F" w:rsidRDefault="0049104F" w:rsidP="0049104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104F">
              <w:rPr>
                <w:color w:val="000000"/>
                <w:sz w:val="24"/>
                <w:szCs w:val="24"/>
                <w:lang w:eastAsia="ru-RU"/>
              </w:rPr>
              <w:t>Витрати</w:t>
            </w:r>
          </w:p>
        </w:tc>
      </w:tr>
      <w:tr w:rsidR="0049104F" w:rsidRPr="0049104F" w:rsidTr="00821C73">
        <w:tc>
          <w:tcPr>
            <w:tcW w:w="1951" w:type="dxa"/>
            <w:vAlign w:val="center"/>
          </w:tcPr>
          <w:p w:rsidR="0049104F" w:rsidRPr="0049104F" w:rsidRDefault="0049104F" w:rsidP="0049104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104F">
              <w:rPr>
                <w:color w:val="000000"/>
                <w:sz w:val="24"/>
                <w:szCs w:val="24"/>
                <w:lang w:eastAsia="ru-RU"/>
              </w:rPr>
              <w:t>Альтернатива 1</w:t>
            </w:r>
          </w:p>
        </w:tc>
        <w:tc>
          <w:tcPr>
            <w:tcW w:w="3969" w:type="dxa"/>
          </w:tcPr>
          <w:p w:rsidR="0049104F" w:rsidRPr="0049104F" w:rsidRDefault="0049104F" w:rsidP="0049104F">
            <w:pPr>
              <w:keepNext/>
              <w:ind w:hanging="26"/>
              <w:jc w:val="both"/>
              <w:rPr>
                <w:sz w:val="24"/>
                <w:szCs w:val="24"/>
                <w:lang w:eastAsia="ru-RU"/>
              </w:rPr>
            </w:pPr>
            <w:r w:rsidRPr="0049104F">
              <w:rPr>
                <w:sz w:val="24"/>
                <w:szCs w:val="24"/>
                <w:lang w:eastAsia="ru-RU"/>
              </w:rPr>
              <w:t>Визначеність та послідовність єдиних дій державних органів та суб’єктів господарювання.</w:t>
            </w:r>
          </w:p>
          <w:p w:rsidR="0049104F" w:rsidRPr="0049104F" w:rsidRDefault="0049104F" w:rsidP="00754CF6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49104F">
              <w:rPr>
                <w:sz w:val="24"/>
                <w:szCs w:val="24"/>
                <w:lang w:eastAsia="ru-RU"/>
              </w:rPr>
              <w:t>Здійснення єдиного підходу до заповнення форм бланк</w:t>
            </w:r>
            <w:r w:rsidR="009024F2">
              <w:rPr>
                <w:sz w:val="24"/>
                <w:szCs w:val="24"/>
                <w:lang w:eastAsia="ru-RU"/>
              </w:rPr>
              <w:t>ів</w:t>
            </w:r>
            <w:r w:rsidRPr="0049104F">
              <w:rPr>
                <w:sz w:val="24"/>
                <w:szCs w:val="24"/>
                <w:lang w:eastAsia="ru-RU"/>
              </w:rPr>
              <w:t xml:space="preserve"> фінансов</w:t>
            </w:r>
            <w:r w:rsidR="009024F2">
              <w:rPr>
                <w:sz w:val="24"/>
                <w:szCs w:val="24"/>
                <w:lang w:eastAsia="ru-RU"/>
              </w:rPr>
              <w:t>их гарантій</w:t>
            </w:r>
            <w:r w:rsidRPr="0049104F">
              <w:rPr>
                <w:sz w:val="24"/>
                <w:szCs w:val="24"/>
                <w:lang w:eastAsia="ru-RU"/>
              </w:rPr>
              <w:t xml:space="preserve"> всіма суб’єктами господарювання</w:t>
            </w:r>
          </w:p>
        </w:tc>
        <w:tc>
          <w:tcPr>
            <w:tcW w:w="3934" w:type="dxa"/>
            <w:gridSpan w:val="2"/>
          </w:tcPr>
          <w:p w:rsidR="0049104F" w:rsidRPr="0049104F" w:rsidRDefault="0049104F" w:rsidP="00754CF6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9104F">
              <w:rPr>
                <w:color w:val="000000"/>
                <w:sz w:val="24"/>
                <w:szCs w:val="24"/>
                <w:lang w:eastAsia="ru-RU"/>
              </w:rPr>
              <w:t>Витрати відсутні</w:t>
            </w:r>
            <w:r w:rsidRPr="0049104F">
              <w:rPr>
                <w:sz w:val="24"/>
                <w:szCs w:val="24"/>
                <w:lang w:eastAsia="ru-RU"/>
              </w:rPr>
              <w:t xml:space="preserve">, оскільки Державна </w:t>
            </w:r>
            <w:r w:rsidR="00D2444D">
              <w:rPr>
                <w:sz w:val="24"/>
                <w:szCs w:val="24"/>
                <w:lang w:eastAsia="ru-RU"/>
              </w:rPr>
              <w:t>митна</w:t>
            </w:r>
            <w:r w:rsidRPr="0049104F">
              <w:rPr>
                <w:sz w:val="24"/>
                <w:szCs w:val="24"/>
                <w:lang w:eastAsia="ru-RU"/>
              </w:rPr>
              <w:t xml:space="preserve"> служба України проінформує гарантів щодо застосування нов</w:t>
            </w:r>
            <w:r w:rsidR="00D2444D">
              <w:rPr>
                <w:sz w:val="24"/>
                <w:szCs w:val="24"/>
                <w:lang w:eastAsia="ru-RU"/>
              </w:rPr>
              <w:t>их</w:t>
            </w:r>
            <w:r w:rsidRPr="0049104F">
              <w:rPr>
                <w:sz w:val="24"/>
                <w:szCs w:val="24"/>
                <w:lang w:eastAsia="ru-RU"/>
              </w:rPr>
              <w:t xml:space="preserve"> форм </w:t>
            </w:r>
            <w:r w:rsidR="00D2444D">
              <w:rPr>
                <w:color w:val="000000"/>
                <w:sz w:val="24"/>
                <w:szCs w:val="24"/>
                <w:lang w:eastAsia="ru-RU"/>
              </w:rPr>
              <w:t>бланків</w:t>
            </w:r>
            <w:r w:rsidRPr="0049104F">
              <w:rPr>
                <w:color w:val="000000"/>
                <w:sz w:val="24"/>
                <w:szCs w:val="24"/>
                <w:lang w:eastAsia="ru-RU"/>
              </w:rPr>
              <w:t xml:space="preserve"> фінансов</w:t>
            </w:r>
            <w:r w:rsidR="00D2444D">
              <w:rPr>
                <w:color w:val="000000"/>
                <w:sz w:val="24"/>
                <w:szCs w:val="24"/>
                <w:lang w:eastAsia="ru-RU"/>
              </w:rPr>
              <w:t>их гарантій</w:t>
            </w:r>
            <w:r w:rsidRPr="0049104F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754CF6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49104F">
              <w:rPr>
                <w:color w:val="000000"/>
                <w:sz w:val="24"/>
                <w:szCs w:val="24"/>
                <w:lang w:eastAsia="ru-RU"/>
              </w:rPr>
              <w:t>гаранти не будуть нести</w:t>
            </w:r>
            <w:r w:rsidRPr="00754CF6">
              <w:rPr>
                <w:color w:val="000000"/>
                <w:sz w:val="24"/>
                <w:szCs w:val="24"/>
                <w:lang w:eastAsia="ru-RU"/>
              </w:rPr>
              <w:t xml:space="preserve"> додаткових</w:t>
            </w:r>
            <w:r w:rsidRPr="0049104F">
              <w:rPr>
                <w:color w:val="000000"/>
                <w:sz w:val="24"/>
                <w:szCs w:val="24"/>
                <w:lang w:eastAsia="ru-RU"/>
              </w:rPr>
              <w:t xml:space="preserve"> фінансових витрат, пов’язаних із заповненням бланка фінансової гарантії, оскільки обсяг даних менший від затвердженої форми бланка на сьогодні</w:t>
            </w:r>
          </w:p>
        </w:tc>
      </w:tr>
      <w:tr w:rsidR="0049104F" w:rsidRPr="0049104F" w:rsidTr="00821C73">
        <w:tc>
          <w:tcPr>
            <w:tcW w:w="1951" w:type="dxa"/>
          </w:tcPr>
          <w:p w:rsidR="0049104F" w:rsidRPr="0049104F" w:rsidRDefault="0049104F" w:rsidP="0049104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104F">
              <w:rPr>
                <w:color w:val="000000"/>
                <w:sz w:val="24"/>
                <w:szCs w:val="24"/>
                <w:lang w:eastAsia="ru-RU"/>
              </w:rPr>
              <w:t>Альтернатива 2</w:t>
            </w:r>
          </w:p>
        </w:tc>
        <w:tc>
          <w:tcPr>
            <w:tcW w:w="3969" w:type="dxa"/>
          </w:tcPr>
          <w:p w:rsidR="0049104F" w:rsidRPr="0049104F" w:rsidRDefault="0049104F" w:rsidP="0049104F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9104F">
              <w:rPr>
                <w:color w:val="000000"/>
                <w:sz w:val="24"/>
                <w:szCs w:val="24"/>
                <w:lang w:eastAsia="ru-RU"/>
              </w:rPr>
              <w:t>Відсутні</w:t>
            </w:r>
          </w:p>
        </w:tc>
        <w:tc>
          <w:tcPr>
            <w:tcW w:w="3934" w:type="dxa"/>
            <w:gridSpan w:val="2"/>
          </w:tcPr>
          <w:p w:rsidR="0049104F" w:rsidRPr="0049104F" w:rsidRDefault="0049104F" w:rsidP="0049104F">
            <w:pPr>
              <w:keepNext/>
              <w:ind w:hanging="1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9104F">
              <w:rPr>
                <w:color w:val="000000"/>
                <w:sz w:val="24"/>
                <w:szCs w:val="24"/>
                <w:lang w:eastAsia="ru-RU"/>
              </w:rPr>
              <w:t>Витрати відсутні.</w:t>
            </w:r>
          </w:p>
          <w:p w:rsidR="0049104F" w:rsidRPr="0049104F" w:rsidRDefault="0049104F" w:rsidP="0049104F">
            <w:pPr>
              <w:keepNext/>
              <w:ind w:hanging="14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49104F" w:rsidRPr="0049104F" w:rsidRDefault="0049104F" w:rsidP="0049104F">
            <w:pPr>
              <w:keepNext/>
              <w:ind w:hanging="1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9104F">
              <w:rPr>
                <w:color w:val="000000"/>
                <w:sz w:val="24"/>
                <w:szCs w:val="24"/>
                <w:lang w:eastAsia="ru-RU"/>
              </w:rPr>
              <w:t>У разі відсутності нормативно-правового акта не буде досягнуто цілей державного регулювання</w:t>
            </w:r>
          </w:p>
        </w:tc>
      </w:tr>
      <w:tr w:rsidR="0049104F" w:rsidRPr="0049104F" w:rsidTr="00821C73">
        <w:tc>
          <w:tcPr>
            <w:tcW w:w="9854" w:type="dxa"/>
            <w:gridSpan w:val="4"/>
          </w:tcPr>
          <w:p w:rsidR="0049104F" w:rsidRPr="0049104F" w:rsidRDefault="0049104F" w:rsidP="0049104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104F" w:rsidRPr="0049104F" w:rsidTr="00821C73">
        <w:tc>
          <w:tcPr>
            <w:tcW w:w="6771" w:type="dxa"/>
            <w:gridSpan w:val="3"/>
          </w:tcPr>
          <w:p w:rsidR="0049104F" w:rsidRPr="0049104F" w:rsidRDefault="0049104F" w:rsidP="0049104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104F">
              <w:rPr>
                <w:color w:val="000000"/>
                <w:sz w:val="24"/>
                <w:szCs w:val="24"/>
                <w:lang w:eastAsia="ru-RU"/>
              </w:rPr>
              <w:t>Сумарні витрати за альтернативами</w:t>
            </w:r>
          </w:p>
        </w:tc>
        <w:tc>
          <w:tcPr>
            <w:tcW w:w="3083" w:type="dxa"/>
          </w:tcPr>
          <w:p w:rsidR="0049104F" w:rsidRPr="0049104F" w:rsidRDefault="0049104F" w:rsidP="0049104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104F">
              <w:rPr>
                <w:color w:val="000000"/>
                <w:sz w:val="24"/>
                <w:szCs w:val="24"/>
                <w:lang w:eastAsia="ru-RU"/>
              </w:rPr>
              <w:t>Сума витрат, гривень</w:t>
            </w:r>
          </w:p>
        </w:tc>
      </w:tr>
      <w:tr w:rsidR="0049104F" w:rsidRPr="0049104F" w:rsidTr="00821C73">
        <w:tc>
          <w:tcPr>
            <w:tcW w:w="6771" w:type="dxa"/>
            <w:gridSpan w:val="3"/>
          </w:tcPr>
          <w:p w:rsidR="0049104F" w:rsidRPr="0049104F" w:rsidRDefault="0049104F" w:rsidP="0050241C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9104F">
              <w:rPr>
                <w:color w:val="000000"/>
                <w:sz w:val="24"/>
                <w:szCs w:val="24"/>
                <w:lang w:eastAsia="ru-RU"/>
              </w:rPr>
              <w:t>Альтернатива 1.</w:t>
            </w:r>
            <w:r w:rsidR="0050241C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49104F">
              <w:rPr>
                <w:color w:val="000000"/>
                <w:sz w:val="24"/>
                <w:szCs w:val="24"/>
                <w:lang w:eastAsia="ru-RU"/>
              </w:rPr>
              <w:t>Сумарні витрати для суб’єктів господарювання великого підприємництва згідно з додатком 2 до Методики проведення аналізу впливу регуляторного акта **</w:t>
            </w:r>
          </w:p>
        </w:tc>
        <w:tc>
          <w:tcPr>
            <w:tcW w:w="3083" w:type="dxa"/>
          </w:tcPr>
          <w:p w:rsidR="0049104F" w:rsidRPr="0049104F" w:rsidRDefault="0049104F" w:rsidP="0049104F">
            <w:pPr>
              <w:keepNext/>
              <w:rPr>
                <w:color w:val="000000"/>
                <w:sz w:val="24"/>
                <w:szCs w:val="24"/>
                <w:lang w:eastAsia="ru-RU"/>
              </w:rPr>
            </w:pPr>
            <w:r w:rsidRPr="0049104F">
              <w:rPr>
                <w:color w:val="000000"/>
                <w:sz w:val="24"/>
                <w:szCs w:val="24"/>
                <w:lang w:eastAsia="ru-RU"/>
              </w:rPr>
              <w:t>Витрати відсутні</w:t>
            </w:r>
          </w:p>
        </w:tc>
      </w:tr>
      <w:tr w:rsidR="0049104F" w:rsidRPr="0049104F" w:rsidTr="00821C73">
        <w:tc>
          <w:tcPr>
            <w:tcW w:w="6771" w:type="dxa"/>
            <w:gridSpan w:val="3"/>
          </w:tcPr>
          <w:p w:rsidR="0049104F" w:rsidRPr="0049104F" w:rsidRDefault="0049104F" w:rsidP="0050241C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9104F">
              <w:rPr>
                <w:color w:val="000000"/>
                <w:sz w:val="24"/>
                <w:szCs w:val="24"/>
                <w:lang w:eastAsia="ru-RU"/>
              </w:rPr>
              <w:t>Альтернатива 2.</w:t>
            </w:r>
            <w:r w:rsidR="0050241C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49104F">
              <w:rPr>
                <w:color w:val="000000"/>
                <w:sz w:val="24"/>
                <w:szCs w:val="24"/>
                <w:lang w:eastAsia="ru-RU"/>
              </w:rPr>
              <w:t>Сумарні витрати для суб’єктів господарювання великого підприємництва згідно з додатком 2 до Методики проведення аналізу впливу регуляторного акта **</w:t>
            </w:r>
          </w:p>
        </w:tc>
        <w:tc>
          <w:tcPr>
            <w:tcW w:w="3083" w:type="dxa"/>
          </w:tcPr>
          <w:p w:rsidR="0049104F" w:rsidRPr="0049104F" w:rsidRDefault="0049104F" w:rsidP="0049104F">
            <w:pPr>
              <w:keepNext/>
              <w:rPr>
                <w:color w:val="000000"/>
                <w:sz w:val="24"/>
                <w:szCs w:val="24"/>
                <w:lang w:eastAsia="ru-RU"/>
              </w:rPr>
            </w:pPr>
            <w:r w:rsidRPr="0049104F">
              <w:rPr>
                <w:color w:val="000000"/>
                <w:sz w:val="24"/>
                <w:szCs w:val="24"/>
                <w:lang w:eastAsia="ru-RU"/>
              </w:rPr>
              <w:t>Витрати відсутні</w:t>
            </w:r>
          </w:p>
        </w:tc>
      </w:tr>
    </w:tbl>
    <w:p w:rsidR="0049104F" w:rsidRPr="0049104F" w:rsidRDefault="0049104F" w:rsidP="0049104F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1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 </w:t>
      </w:r>
      <w:r w:rsidRPr="0049104F">
        <w:rPr>
          <w:rFonts w:ascii="Times New Roman" w:eastAsia="Times New Roman" w:hAnsi="Times New Roman" w:cs="Times New Roman"/>
          <w:color w:val="000000"/>
          <w:lang w:eastAsia="ru-RU"/>
        </w:rPr>
        <w:t xml:space="preserve">На сьогодні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митними </w:t>
      </w:r>
      <w:r w:rsidRPr="0049104F">
        <w:rPr>
          <w:rFonts w:ascii="Times New Roman" w:eastAsia="Times New Roman" w:hAnsi="Times New Roman" w:cs="Times New Roman"/>
          <w:color w:val="000000"/>
          <w:lang w:eastAsia="ru-RU"/>
        </w:rPr>
        <w:t>органами не здійснюється спостереження за кількістю фінансових гарантій, виданих гарантами, тому здійснити розрахунок витрат на виконання вимог регуляторного акта згідно з додатками 2 та 4 до Методики проведення аналізу впливу регуляторного акта, затвердженої постановою Кабінету Міністрів України від 11 березня 2004 року № 308, не вбачається можливим. </w:t>
      </w:r>
    </w:p>
    <w:p w:rsidR="0049104F" w:rsidRPr="0049104F" w:rsidRDefault="0049104F" w:rsidP="0049104F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8D2" w:rsidRPr="005F78D2" w:rsidRDefault="005F78D2" w:rsidP="005F78D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 Вибір найбільш оптимального альтернативного способу досягнення цілей</w:t>
      </w:r>
    </w:p>
    <w:p w:rsidR="005F78D2" w:rsidRDefault="005F78D2" w:rsidP="005F78D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5"/>
        <w:tblpPr w:leftFromText="180" w:rightFromText="180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5351"/>
      </w:tblGrid>
      <w:tr w:rsidR="00EA6D5F" w:rsidRPr="00EA6D5F" w:rsidTr="00821C73">
        <w:tc>
          <w:tcPr>
            <w:tcW w:w="2235" w:type="dxa"/>
          </w:tcPr>
          <w:p w:rsidR="00EA6D5F" w:rsidRPr="00EA6D5F" w:rsidRDefault="00EA6D5F" w:rsidP="00EA6D5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268" w:type="dxa"/>
          </w:tcPr>
          <w:p w:rsidR="00EA6D5F" w:rsidRPr="00EA6D5F" w:rsidRDefault="00EA6D5F" w:rsidP="00EA6D5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Бал результативності (за чотирибальною системою оцінки)</w:t>
            </w:r>
          </w:p>
        </w:tc>
        <w:tc>
          <w:tcPr>
            <w:tcW w:w="5351" w:type="dxa"/>
          </w:tcPr>
          <w:p w:rsidR="00EA6D5F" w:rsidRPr="00EA6D5F" w:rsidRDefault="00EA6D5F" w:rsidP="00EA6D5F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EA6D5F" w:rsidRPr="00EA6D5F" w:rsidRDefault="00EA6D5F" w:rsidP="00EA6D5F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EA6D5F" w:rsidRPr="00EA6D5F" w:rsidRDefault="00EA6D5F" w:rsidP="00EA6D5F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Коментарі щодо присвоєння відповідного бала</w:t>
            </w:r>
          </w:p>
        </w:tc>
      </w:tr>
      <w:tr w:rsidR="00EA6D5F" w:rsidRPr="00EA6D5F" w:rsidTr="00821C73">
        <w:tc>
          <w:tcPr>
            <w:tcW w:w="2235" w:type="dxa"/>
            <w:vAlign w:val="center"/>
          </w:tcPr>
          <w:p w:rsidR="00EA6D5F" w:rsidRPr="00EA6D5F" w:rsidRDefault="00EA6D5F" w:rsidP="00EA6D5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Альтернатива 1</w:t>
            </w:r>
          </w:p>
        </w:tc>
        <w:tc>
          <w:tcPr>
            <w:tcW w:w="2268" w:type="dxa"/>
            <w:vAlign w:val="center"/>
          </w:tcPr>
          <w:p w:rsidR="00EA6D5F" w:rsidRPr="00EA6D5F" w:rsidRDefault="0075230F" w:rsidP="00EA6D5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1" w:type="dxa"/>
          </w:tcPr>
          <w:p w:rsidR="00EA6D5F" w:rsidRPr="00EA6D5F" w:rsidRDefault="00EA6D5F" w:rsidP="00EA6D5F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Дає змогу повністю досягнути поставлених цілей державного регулювання.</w:t>
            </w:r>
          </w:p>
          <w:p w:rsidR="00EA6D5F" w:rsidRPr="00754CF6" w:rsidRDefault="00EA6D5F" w:rsidP="00EA6D5F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 xml:space="preserve">У разі прийняття наказу Мінфіну буде реалізовано </w:t>
            </w:r>
            <w:r w:rsidRPr="00EA6D5F">
              <w:rPr>
                <w:sz w:val="24"/>
                <w:szCs w:val="24"/>
                <w:lang w:eastAsia="ru-RU"/>
              </w:rPr>
              <w:t xml:space="preserve">виконання </w:t>
            </w:r>
            <w:r w:rsidRPr="00EA6D5F">
              <w:rPr>
                <w:color w:val="000000"/>
                <w:sz w:val="24"/>
                <w:szCs w:val="24"/>
                <w:lang w:eastAsia="ru-RU"/>
              </w:rPr>
              <w:t>частини третьої статті 311 Кодексу</w:t>
            </w:r>
          </w:p>
        </w:tc>
      </w:tr>
      <w:tr w:rsidR="00EA6D5F" w:rsidRPr="00EA6D5F" w:rsidTr="00821C73">
        <w:tc>
          <w:tcPr>
            <w:tcW w:w="2235" w:type="dxa"/>
          </w:tcPr>
          <w:p w:rsidR="00EA6D5F" w:rsidRPr="00EA6D5F" w:rsidRDefault="00EA6D5F" w:rsidP="00EA6D5F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EA6D5F" w:rsidRPr="00EA6D5F" w:rsidRDefault="00EA6D5F" w:rsidP="00EA6D5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Альтернатива 2</w:t>
            </w:r>
          </w:p>
        </w:tc>
        <w:tc>
          <w:tcPr>
            <w:tcW w:w="2268" w:type="dxa"/>
          </w:tcPr>
          <w:p w:rsidR="00EA6D5F" w:rsidRPr="00EA6D5F" w:rsidRDefault="00EA6D5F" w:rsidP="00EA6D5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A6D5F" w:rsidRPr="00EA6D5F" w:rsidRDefault="00EA6D5F" w:rsidP="00EA6D5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1" w:type="dxa"/>
          </w:tcPr>
          <w:p w:rsidR="00EA6D5F" w:rsidRPr="00EA6D5F" w:rsidRDefault="00EA6D5F" w:rsidP="00EA6D5F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Не дає змоги досягнути поставлених цілей державного регулювання.</w:t>
            </w:r>
          </w:p>
          <w:p w:rsidR="00EA6D5F" w:rsidRPr="00EA6D5F" w:rsidRDefault="00EA6D5F" w:rsidP="00EA6D5F">
            <w:pPr>
              <w:keepNext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Проблема продовжує існувати</w:t>
            </w:r>
          </w:p>
        </w:tc>
      </w:tr>
    </w:tbl>
    <w:p w:rsidR="00EA6D5F" w:rsidRPr="00EA6D5F" w:rsidRDefault="00EA6D5F" w:rsidP="00EA6D5F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693"/>
        <w:gridCol w:w="2233"/>
      </w:tblGrid>
      <w:tr w:rsidR="00EA6D5F" w:rsidRPr="00EA6D5F" w:rsidTr="00FD50AB">
        <w:tc>
          <w:tcPr>
            <w:tcW w:w="2093" w:type="dxa"/>
            <w:vAlign w:val="center"/>
          </w:tcPr>
          <w:p w:rsidR="00EA6D5F" w:rsidRPr="00EA6D5F" w:rsidRDefault="00EA6D5F" w:rsidP="00EA6D5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Рейтинг результативності</w:t>
            </w:r>
          </w:p>
        </w:tc>
        <w:tc>
          <w:tcPr>
            <w:tcW w:w="2835" w:type="dxa"/>
            <w:vAlign w:val="center"/>
          </w:tcPr>
          <w:p w:rsidR="00EA6D5F" w:rsidRPr="00EA6D5F" w:rsidRDefault="00EA6D5F" w:rsidP="00EA6D5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Вигоди (підсумок)</w:t>
            </w:r>
          </w:p>
        </w:tc>
        <w:tc>
          <w:tcPr>
            <w:tcW w:w="2693" w:type="dxa"/>
            <w:vAlign w:val="center"/>
          </w:tcPr>
          <w:p w:rsidR="00EA6D5F" w:rsidRPr="00EA6D5F" w:rsidRDefault="00EA6D5F" w:rsidP="00EA6D5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Витрати (підсумок)</w:t>
            </w:r>
          </w:p>
        </w:tc>
        <w:tc>
          <w:tcPr>
            <w:tcW w:w="2233" w:type="dxa"/>
          </w:tcPr>
          <w:p w:rsidR="00EA6D5F" w:rsidRPr="00EA6D5F" w:rsidRDefault="00EA6D5F" w:rsidP="00EA6D5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Обґрунтування відповідного місця альтернативи у рейтингу</w:t>
            </w:r>
          </w:p>
        </w:tc>
      </w:tr>
      <w:tr w:rsidR="00EA6D5F" w:rsidRPr="00EA6D5F" w:rsidTr="00FD50AB">
        <w:tc>
          <w:tcPr>
            <w:tcW w:w="2093" w:type="dxa"/>
          </w:tcPr>
          <w:p w:rsidR="00EA6D5F" w:rsidRPr="00EA6D5F" w:rsidRDefault="00EA6D5F" w:rsidP="00EA6D5F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Альтернатива 1</w:t>
            </w:r>
          </w:p>
        </w:tc>
        <w:tc>
          <w:tcPr>
            <w:tcW w:w="2835" w:type="dxa"/>
          </w:tcPr>
          <w:p w:rsidR="00EA6D5F" w:rsidRPr="00EA6D5F" w:rsidRDefault="00EA6D5F" w:rsidP="006877B1">
            <w:pPr>
              <w:keepNext/>
              <w:jc w:val="both"/>
              <w:rPr>
                <w:lang w:eastAsia="ru-RU"/>
              </w:rPr>
            </w:pPr>
            <w:r w:rsidRPr="00EA6D5F">
              <w:rPr>
                <w:bCs/>
                <w:color w:val="000000"/>
                <w:sz w:val="24"/>
                <w:szCs w:val="24"/>
                <w:lang w:eastAsia="ru-RU"/>
              </w:rPr>
              <w:t>Прийняття про</w:t>
            </w:r>
            <w:r w:rsidR="00F066C2">
              <w:rPr>
                <w:bCs/>
                <w:color w:val="000000"/>
                <w:sz w:val="24"/>
                <w:szCs w:val="24"/>
                <w:lang w:eastAsia="ru-RU"/>
              </w:rPr>
              <w:t>є</w:t>
            </w:r>
            <w:r w:rsidRPr="00EA6D5F">
              <w:rPr>
                <w:bCs/>
                <w:color w:val="000000"/>
                <w:sz w:val="24"/>
                <w:szCs w:val="24"/>
                <w:lang w:eastAsia="ru-RU"/>
              </w:rPr>
              <w:t xml:space="preserve">кту акта надасть можливість правового забезпечення та практичної реалізації взаємодії </w:t>
            </w:r>
            <w:r w:rsidR="008F0EA4">
              <w:rPr>
                <w:bCs/>
                <w:color w:val="000000"/>
                <w:sz w:val="24"/>
                <w:szCs w:val="24"/>
                <w:lang w:eastAsia="ru-RU"/>
              </w:rPr>
              <w:t xml:space="preserve">митних </w:t>
            </w:r>
            <w:r w:rsidRPr="00EA6D5F">
              <w:rPr>
                <w:bCs/>
                <w:color w:val="000000"/>
                <w:sz w:val="24"/>
                <w:szCs w:val="24"/>
                <w:lang w:eastAsia="ru-RU"/>
              </w:rPr>
              <w:t>органів, гарантів та осіб, відповідальних за сплату митних платежів, під час проведення передбачених Кодексом митного контролю та митного оформлення товарів, транспортних засобів комерційного призначення з використанням бланк</w:t>
            </w:r>
            <w:r w:rsidR="00615F66">
              <w:rPr>
                <w:bCs/>
                <w:color w:val="000000"/>
                <w:sz w:val="24"/>
                <w:szCs w:val="24"/>
                <w:lang w:eastAsia="ru-RU"/>
              </w:rPr>
              <w:t>ів</w:t>
            </w:r>
            <w:r w:rsidRPr="00EA6D5F">
              <w:rPr>
                <w:bCs/>
                <w:color w:val="000000"/>
                <w:sz w:val="24"/>
                <w:szCs w:val="24"/>
                <w:lang w:eastAsia="ru-RU"/>
              </w:rPr>
              <w:t xml:space="preserve"> фінансов</w:t>
            </w:r>
            <w:r w:rsidR="00615F66">
              <w:rPr>
                <w:bCs/>
                <w:color w:val="000000"/>
                <w:sz w:val="24"/>
                <w:szCs w:val="24"/>
                <w:lang w:eastAsia="ru-RU"/>
              </w:rPr>
              <w:t>их</w:t>
            </w:r>
            <w:r w:rsidRPr="00EA6D5F">
              <w:rPr>
                <w:bCs/>
                <w:color w:val="000000"/>
                <w:sz w:val="24"/>
                <w:szCs w:val="24"/>
                <w:lang w:eastAsia="ru-RU"/>
              </w:rPr>
              <w:t xml:space="preserve"> гаранті</w:t>
            </w:r>
            <w:r w:rsidR="00615F66">
              <w:rPr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693" w:type="dxa"/>
          </w:tcPr>
          <w:p w:rsidR="00EA6D5F" w:rsidRPr="00EA6D5F" w:rsidRDefault="00EA6D5F" w:rsidP="00EA6D5F">
            <w:pPr>
              <w:keepNext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EA6D5F">
              <w:rPr>
                <w:sz w:val="24"/>
                <w:szCs w:val="24"/>
                <w:lang w:eastAsia="ru-RU"/>
              </w:rPr>
              <w:t xml:space="preserve">Витрати держави (папір, конверт, марка тощо), а також витрати на проведення </w:t>
            </w:r>
            <w:r w:rsidR="002D10B3">
              <w:rPr>
                <w:sz w:val="24"/>
                <w:szCs w:val="24"/>
                <w:lang w:eastAsia="ru-RU"/>
              </w:rPr>
              <w:t xml:space="preserve">митними </w:t>
            </w:r>
            <w:r w:rsidRPr="00EA6D5F">
              <w:rPr>
                <w:sz w:val="24"/>
                <w:szCs w:val="24"/>
                <w:lang w:eastAsia="ru-RU"/>
              </w:rPr>
              <w:t>органами експертиз та інших заходів (у разі протизаконних та/або обманних дій) залежать від кількості гарантійних випадків та здійснюються в межах фінансування державних органів.</w:t>
            </w:r>
          </w:p>
          <w:p w:rsidR="00EA6D5F" w:rsidRPr="00EA6D5F" w:rsidRDefault="00EA6D5F" w:rsidP="00FD50AB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sz w:val="24"/>
                <w:szCs w:val="24"/>
                <w:lang w:eastAsia="ru-RU"/>
              </w:rPr>
              <w:t>Доопрацювання відповідних автоматизованих інформаційних систем Д</w:t>
            </w:r>
            <w:r w:rsidR="00762AA8">
              <w:rPr>
                <w:sz w:val="24"/>
                <w:szCs w:val="24"/>
                <w:lang w:eastAsia="ru-RU"/>
              </w:rPr>
              <w:t>ержмитслужби</w:t>
            </w:r>
            <w:r w:rsidRPr="00EA6D5F">
              <w:rPr>
                <w:sz w:val="24"/>
                <w:szCs w:val="24"/>
                <w:lang w:eastAsia="ru-RU"/>
              </w:rPr>
              <w:t xml:space="preserve"> для забезпечення проведення передбачених Кодексом митного контролю та митного оформлення товарів, транспортних засобів комерційного призначення з використанням бланк</w:t>
            </w:r>
            <w:r w:rsidR="00762AA8">
              <w:rPr>
                <w:sz w:val="24"/>
                <w:szCs w:val="24"/>
                <w:lang w:eastAsia="ru-RU"/>
              </w:rPr>
              <w:t>ів</w:t>
            </w:r>
            <w:r w:rsidRPr="00EA6D5F">
              <w:rPr>
                <w:sz w:val="24"/>
                <w:szCs w:val="24"/>
                <w:lang w:eastAsia="ru-RU"/>
              </w:rPr>
              <w:t xml:space="preserve"> фінансов</w:t>
            </w:r>
            <w:r w:rsidR="00762AA8">
              <w:rPr>
                <w:sz w:val="24"/>
                <w:szCs w:val="24"/>
                <w:lang w:eastAsia="ru-RU"/>
              </w:rPr>
              <w:t>их</w:t>
            </w:r>
            <w:r w:rsidRPr="00EA6D5F">
              <w:rPr>
                <w:sz w:val="24"/>
                <w:szCs w:val="24"/>
                <w:lang w:eastAsia="ru-RU"/>
              </w:rPr>
              <w:t xml:space="preserve"> гаранті</w:t>
            </w:r>
            <w:r w:rsidR="00762AA8">
              <w:rPr>
                <w:sz w:val="24"/>
                <w:szCs w:val="24"/>
                <w:lang w:eastAsia="ru-RU"/>
              </w:rPr>
              <w:t>й</w:t>
            </w:r>
            <w:r w:rsidRPr="00EA6D5F">
              <w:rPr>
                <w:sz w:val="24"/>
                <w:szCs w:val="24"/>
                <w:lang w:eastAsia="ru-RU"/>
              </w:rPr>
              <w:t>, у відповідність до цього про</w:t>
            </w:r>
            <w:r w:rsidR="00762AA8">
              <w:rPr>
                <w:sz w:val="24"/>
                <w:szCs w:val="24"/>
                <w:lang w:eastAsia="ru-RU"/>
              </w:rPr>
              <w:t>є</w:t>
            </w:r>
            <w:r w:rsidRPr="00EA6D5F">
              <w:rPr>
                <w:sz w:val="24"/>
                <w:szCs w:val="24"/>
                <w:lang w:eastAsia="ru-RU"/>
              </w:rPr>
              <w:t>кту наказу, здійснюватимуться в межах фінансування державних органів</w:t>
            </w:r>
          </w:p>
        </w:tc>
        <w:tc>
          <w:tcPr>
            <w:tcW w:w="2233" w:type="dxa"/>
          </w:tcPr>
          <w:p w:rsidR="00EA6D5F" w:rsidRPr="00EA6D5F" w:rsidRDefault="00EA6D5F" w:rsidP="00EA6D5F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sz w:val="24"/>
                <w:szCs w:val="24"/>
              </w:rPr>
              <w:t>Є найоптимальнішою серед запропонованих альтернатив, оскільки</w:t>
            </w:r>
            <w:r w:rsidRPr="00EA6D5F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EA6D5F" w:rsidRPr="00EA6D5F" w:rsidRDefault="00EA6D5F" w:rsidP="00EA6D5F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1) дає</w:t>
            </w:r>
            <w:r w:rsidR="00A91951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EA6D5F">
              <w:rPr>
                <w:color w:val="000000"/>
                <w:sz w:val="24"/>
                <w:szCs w:val="24"/>
                <w:lang w:eastAsia="ru-RU"/>
              </w:rPr>
              <w:t>змогу повністю досягнути поставлених цілей державного регулювання;</w:t>
            </w:r>
          </w:p>
          <w:p w:rsidR="00EA6D5F" w:rsidRPr="00EA6D5F" w:rsidRDefault="00EA6D5F" w:rsidP="00FD50AB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2) у разі прийняття наказу будуть реалізовані вимоги частини третьої статті 311 Кодексу</w:t>
            </w:r>
          </w:p>
        </w:tc>
      </w:tr>
      <w:tr w:rsidR="00EA6D5F" w:rsidRPr="00EA6D5F" w:rsidTr="00FD50AB">
        <w:tc>
          <w:tcPr>
            <w:tcW w:w="2093" w:type="dxa"/>
          </w:tcPr>
          <w:p w:rsidR="00EA6D5F" w:rsidRPr="00EA6D5F" w:rsidRDefault="00EA6D5F" w:rsidP="00EA6D5F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2835" w:type="dxa"/>
          </w:tcPr>
          <w:p w:rsidR="00EA6D5F" w:rsidRPr="00EA6D5F" w:rsidRDefault="00EA6D5F" w:rsidP="00EA6D5F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Вигоди відсутні, оскільки проблема залишається не</w:t>
            </w:r>
            <w:r w:rsidRPr="00EA6D5F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6D5F">
              <w:rPr>
                <w:color w:val="000000"/>
                <w:sz w:val="24"/>
                <w:szCs w:val="24"/>
                <w:lang w:eastAsia="ru-RU"/>
              </w:rPr>
              <w:t>вирішеною</w:t>
            </w:r>
          </w:p>
        </w:tc>
        <w:tc>
          <w:tcPr>
            <w:tcW w:w="2693" w:type="dxa"/>
          </w:tcPr>
          <w:p w:rsidR="00EA6D5F" w:rsidRPr="00EA6D5F" w:rsidRDefault="00EA6D5F" w:rsidP="00EA6D5F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t>У разі відсутності нормативно-правового акта не буде досягнуто поставлених цілей державного регулювання.</w:t>
            </w:r>
          </w:p>
          <w:p w:rsidR="00EA6D5F" w:rsidRPr="00EA6D5F" w:rsidRDefault="00EA6D5F" w:rsidP="003C250C">
            <w:pPr>
              <w:keepNext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A6D5F">
              <w:rPr>
                <w:sz w:val="24"/>
                <w:szCs w:val="24"/>
                <w:lang w:eastAsia="ru-RU"/>
              </w:rPr>
              <w:t>У разі неприйняття про</w:t>
            </w:r>
            <w:r w:rsidR="004C629F">
              <w:rPr>
                <w:sz w:val="24"/>
                <w:szCs w:val="24"/>
                <w:lang w:eastAsia="ru-RU"/>
              </w:rPr>
              <w:t>є</w:t>
            </w:r>
            <w:r w:rsidRPr="00EA6D5F">
              <w:rPr>
                <w:sz w:val="24"/>
                <w:szCs w:val="24"/>
                <w:lang w:eastAsia="ru-RU"/>
              </w:rPr>
              <w:t xml:space="preserve">кту наказу не буде забезпечено виконання </w:t>
            </w:r>
            <w:r w:rsidRPr="00EA6D5F">
              <w:rPr>
                <w:color w:val="000000"/>
                <w:sz w:val="24"/>
                <w:szCs w:val="24"/>
                <w:lang w:eastAsia="ru-RU"/>
              </w:rPr>
              <w:t>частини третьої статті</w:t>
            </w:r>
            <w:r w:rsidR="003C250C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EA6D5F">
              <w:rPr>
                <w:color w:val="000000"/>
                <w:sz w:val="24"/>
                <w:szCs w:val="24"/>
                <w:lang w:eastAsia="ru-RU"/>
              </w:rPr>
              <w:t>311 Кодексу та надання гарантій за встановлен</w:t>
            </w:r>
            <w:r w:rsidR="004C629F">
              <w:rPr>
                <w:color w:val="000000"/>
                <w:sz w:val="24"/>
                <w:szCs w:val="24"/>
                <w:lang w:eastAsia="ru-RU"/>
              </w:rPr>
              <w:t>ими</w:t>
            </w:r>
            <w:r w:rsidRPr="00EA6D5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D5F">
              <w:rPr>
                <w:color w:val="000000"/>
                <w:sz w:val="24"/>
                <w:szCs w:val="24"/>
                <w:lang w:eastAsia="ru-RU"/>
              </w:rPr>
              <w:lastRenderedPageBreak/>
              <w:t>форм</w:t>
            </w:r>
            <w:r w:rsidR="004C629F">
              <w:rPr>
                <w:color w:val="000000"/>
                <w:sz w:val="24"/>
                <w:szCs w:val="24"/>
                <w:lang w:eastAsia="ru-RU"/>
              </w:rPr>
              <w:t>ами</w:t>
            </w:r>
            <w:r w:rsidRPr="00EA6D5F">
              <w:rPr>
                <w:color w:val="000000"/>
                <w:sz w:val="24"/>
                <w:szCs w:val="24"/>
                <w:lang w:eastAsia="ru-RU"/>
              </w:rPr>
              <w:t xml:space="preserve"> зі сплати митних платежів до державного бюджету</w:t>
            </w:r>
          </w:p>
        </w:tc>
        <w:tc>
          <w:tcPr>
            <w:tcW w:w="2233" w:type="dxa"/>
          </w:tcPr>
          <w:p w:rsidR="00EA6D5F" w:rsidRPr="00EA6D5F" w:rsidRDefault="00EA6D5F" w:rsidP="00EA6D5F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6D5F">
              <w:rPr>
                <w:color w:val="000000"/>
                <w:sz w:val="24"/>
                <w:szCs w:val="24"/>
                <w:lang w:eastAsia="ru-RU"/>
              </w:rPr>
              <w:lastRenderedPageBreak/>
              <w:t>Є гіршою серед альтернатив, оскільки не дасть змоги досягнути цілей державного регулювання</w:t>
            </w:r>
          </w:p>
        </w:tc>
      </w:tr>
    </w:tbl>
    <w:p w:rsidR="00EA6D5F" w:rsidRDefault="00EA6D5F" w:rsidP="005F78D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8D2" w:rsidRPr="005F78D2" w:rsidRDefault="005F78D2" w:rsidP="005F78D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 Механізми та заходи, які забезпечать розв’язання визначеної проблеми</w:t>
      </w:r>
    </w:p>
    <w:p w:rsidR="005F78D2" w:rsidRDefault="005F78D2" w:rsidP="005F78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5120" w:rsidRPr="00625120" w:rsidRDefault="00625120" w:rsidP="0062512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120">
        <w:rPr>
          <w:rFonts w:ascii="Times New Roman" w:hAnsi="Times New Roman" w:cs="Times New Roman"/>
          <w:i/>
          <w:sz w:val="28"/>
          <w:szCs w:val="28"/>
        </w:rPr>
        <w:t>Механізм дії регуляторного акта</w:t>
      </w:r>
      <w:r w:rsidRPr="00625120">
        <w:rPr>
          <w:rFonts w:ascii="Times New Roman" w:hAnsi="Times New Roman" w:cs="Times New Roman"/>
          <w:sz w:val="28"/>
          <w:szCs w:val="28"/>
        </w:rPr>
        <w:t>.</w:t>
      </w:r>
    </w:p>
    <w:p w:rsidR="00625120" w:rsidRPr="00625120" w:rsidRDefault="00625120" w:rsidP="0062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20">
        <w:rPr>
          <w:rFonts w:ascii="Times New Roman" w:hAnsi="Times New Roman" w:cs="Times New Roman"/>
          <w:sz w:val="28"/>
          <w:szCs w:val="28"/>
        </w:rPr>
        <w:t>Основним механізмом для розв’язання визначеної проблеми є прийняття про</w:t>
      </w:r>
      <w:r w:rsidR="005A17B0">
        <w:rPr>
          <w:rFonts w:ascii="Times New Roman" w:hAnsi="Times New Roman" w:cs="Times New Roman"/>
          <w:sz w:val="28"/>
          <w:szCs w:val="28"/>
        </w:rPr>
        <w:t>є</w:t>
      </w:r>
      <w:r w:rsidRPr="00625120">
        <w:rPr>
          <w:rFonts w:ascii="Times New Roman" w:hAnsi="Times New Roman" w:cs="Times New Roman"/>
          <w:sz w:val="28"/>
          <w:szCs w:val="28"/>
        </w:rPr>
        <w:t>кту наказу Міністерства фінансів України «</w:t>
      </w:r>
      <w:r w:rsidR="005A17B0" w:rsidRPr="005F7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форм бланків фінансових гарантій та порядку їх заповнення</w:t>
      </w:r>
      <w:r w:rsidRPr="00625120">
        <w:rPr>
          <w:rFonts w:ascii="Times New Roman" w:hAnsi="Times New Roman" w:cs="Times New Roman"/>
          <w:sz w:val="28"/>
          <w:szCs w:val="28"/>
        </w:rPr>
        <w:t>» та фактична реалізація його положень.</w:t>
      </w:r>
    </w:p>
    <w:p w:rsidR="00625120" w:rsidRPr="00625120" w:rsidRDefault="00625120" w:rsidP="0062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20">
        <w:rPr>
          <w:rFonts w:ascii="Times New Roman" w:hAnsi="Times New Roman" w:cs="Times New Roman"/>
          <w:sz w:val="28"/>
          <w:szCs w:val="28"/>
        </w:rPr>
        <w:t>Реалізація положень наказу сприятиме забезпеченню проведення передбачених Кодексом митного контролю та митного оформлення товарів, транспортних засобів комерційного призначення з використанням бланк</w:t>
      </w:r>
      <w:r w:rsidR="00BD28FB">
        <w:rPr>
          <w:rFonts w:ascii="Times New Roman" w:hAnsi="Times New Roman" w:cs="Times New Roman"/>
          <w:sz w:val="28"/>
          <w:szCs w:val="28"/>
        </w:rPr>
        <w:t>ів</w:t>
      </w:r>
      <w:r w:rsidRPr="00625120">
        <w:rPr>
          <w:rFonts w:ascii="Times New Roman" w:hAnsi="Times New Roman" w:cs="Times New Roman"/>
          <w:sz w:val="28"/>
          <w:szCs w:val="28"/>
        </w:rPr>
        <w:t xml:space="preserve"> фінансов</w:t>
      </w:r>
      <w:r w:rsidR="00BD28FB">
        <w:rPr>
          <w:rFonts w:ascii="Times New Roman" w:hAnsi="Times New Roman" w:cs="Times New Roman"/>
          <w:sz w:val="28"/>
          <w:szCs w:val="28"/>
        </w:rPr>
        <w:t>их</w:t>
      </w:r>
      <w:r w:rsidRPr="00625120">
        <w:rPr>
          <w:rFonts w:ascii="Times New Roman" w:hAnsi="Times New Roman" w:cs="Times New Roman"/>
          <w:sz w:val="28"/>
          <w:szCs w:val="28"/>
        </w:rPr>
        <w:t xml:space="preserve"> гаранті</w:t>
      </w:r>
      <w:r w:rsidR="00BD28FB">
        <w:rPr>
          <w:rFonts w:ascii="Times New Roman" w:hAnsi="Times New Roman" w:cs="Times New Roman"/>
          <w:sz w:val="28"/>
          <w:szCs w:val="28"/>
        </w:rPr>
        <w:t>й</w:t>
      </w:r>
      <w:r w:rsidRPr="00625120">
        <w:rPr>
          <w:rFonts w:ascii="Times New Roman" w:hAnsi="Times New Roman" w:cs="Times New Roman"/>
          <w:sz w:val="28"/>
          <w:szCs w:val="28"/>
        </w:rPr>
        <w:t xml:space="preserve"> та безумовного надходження коштів (митних платежів) до державного бюджету.</w:t>
      </w:r>
    </w:p>
    <w:p w:rsidR="00625120" w:rsidRPr="00625120" w:rsidRDefault="00FE7B6F" w:rsidP="0062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</w:t>
      </w:r>
      <w:r w:rsidR="00625120" w:rsidRPr="00625120">
        <w:rPr>
          <w:rFonts w:ascii="Times New Roman" w:hAnsi="Times New Roman" w:cs="Times New Roman"/>
          <w:sz w:val="28"/>
          <w:szCs w:val="28"/>
        </w:rPr>
        <w:t>кт акта передбачає уніфікацію застосування гарантійн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25120" w:rsidRPr="00625120">
        <w:rPr>
          <w:rFonts w:ascii="Times New Roman" w:hAnsi="Times New Roman" w:cs="Times New Roman"/>
          <w:sz w:val="28"/>
          <w:szCs w:val="28"/>
        </w:rPr>
        <w:t xml:space="preserve"> фінансо</w:t>
      </w:r>
      <w:r>
        <w:rPr>
          <w:rFonts w:ascii="Times New Roman" w:hAnsi="Times New Roman" w:cs="Times New Roman"/>
          <w:sz w:val="28"/>
          <w:szCs w:val="28"/>
        </w:rPr>
        <w:t>вих</w:t>
      </w:r>
      <w:r w:rsidR="00625120" w:rsidRPr="00625120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625120" w:rsidRPr="00625120">
        <w:rPr>
          <w:rFonts w:ascii="Times New Roman" w:hAnsi="Times New Roman" w:cs="Times New Roman"/>
          <w:sz w:val="28"/>
          <w:szCs w:val="28"/>
        </w:rPr>
        <w:t xml:space="preserve"> для всіх учасників цього ринку, що дасть можливість забезпечити належний контроль за процедурою гарантування на митній території України.</w:t>
      </w:r>
    </w:p>
    <w:p w:rsidR="00625120" w:rsidRPr="00625120" w:rsidRDefault="00625120" w:rsidP="006251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120">
        <w:rPr>
          <w:rFonts w:ascii="Times New Roman" w:hAnsi="Times New Roman" w:cs="Times New Roman"/>
          <w:i/>
          <w:sz w:val="28"/>
          <w:szCs w:val="28"/>
        </w:rPr>
        <w:t>2. Організаційні заходи впровадження регуляторного акта в дію.</w:t>
      </w:r>
    </w:p>
    <w:p w:rsidR="00625120" w:rsidRPr="00625120" w:rsidRDefault="00625120" w:rsidP="0062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20">
        <w:rPr>
          <w:rFonts w:ascii="Times New Roman" w:hAnsi="Times New Roman" w:cs="Times New Roman"/>
          <w:sz w:val="28"/>
          <w:szCs w:val="28"/>
        </w:rPr>
        <w:t>Для впровадження цього про</w:t>
      </w:r>
      <w:r w:rsidR="00541E63">
        <w:rPr>
          <w:rFonts w:ascii="Times New Roman" w:hAnsi="Times New Roman" w:cs="Times New Roman"/>
          <w:sz w:val="28"/>
          <w:szCs w:val="28"/>
        </w:rPr>
        <w:t>є</w:t>
      </w:r>
      <w:r w:rsidRPr="00625120">
        <w:rPr>
          <w:rFonts w:ascii="Times New Roman" w:hAnsi="Times New Roman" w:cs="Times New Roman"/>
          <w:sz w:val="28"/>
          <w:szCs w:val="28"/>
        </w:rPr>
        <w:t>кту наказу необхідно:</w:t>
      </w:r>
    </w:p>
    <w:p w:rsidR="00625120" w:rsidRPr="00625120" w:rsidRDefault="00625120" w:rsidP="0062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20">
        <w:rPr>
          <w:rFonts w:ascii="Times New Roman" w:hAnsi="Times New Roman" w:cs="Times New Roman"/>
          <w:sz w:val="28"/>
          <w:szCs w:val="28"/>
        </w:rPr>
        <w:t>забезпечити інформування громадськості про вимоги регуляторного акта</w:t>
      </w:r>
      <w:r w:rsidR="002E6EA2">
        <w:rPr>
          <w:rFonts w:ascii="Times New Roman" w:hAnsi="Times New Roman" w:cs="Times New Roman"/>
          <w:sz w:val="28"/>
          <w:szCs w:val="28"/>
        </w:rPr>
        <w:t>,</w:t>
      </w:r>
      <w:r w:rsidRPr="00625120">
        <w:rPr>
          <w:rFonts w:ascii="Times New Roman" w:hAnsi="Times New Roman" w:cs="Times New Roman"/>
          <w:sz w:val="28"/>
          <w:szCs w:val="28"/>
        </w:rPr>
        <w:t xml:space="preserve"> шляхом його оприлюднення в засобах масової інформації </w:t>
      </w:r>
      <w:r w:rsidR="00541E63">
        <w:rPr>
          <w:rFonts w:ascii="Times New Roman" w:hAnsi="Times New Roman" w:cs="Times New Roman"/>
          <w:sz w:val="28"/>
          <w:szCs w:val="28"/>
        </w:rPr>
        <w:t xml:space="preserve">на </w:t>
      </w:r>
      <w:r w:rsidR="00B221C9">
        <w:rPr>
          <w:rFonts w:ascii="Times New Roman" w:hAnsi="Times New Roman" w:cs="Times New Roman"/>
          <w:sz w:val="28"/>
          <w:szCs w:val="28"/>
        </w:rPr>
        <w:t>офіційному веб</w:t>
      </w:r>
      <w:r w:rsidRPr="00625120">
        <w:rPr>
          <w:rFonts w:ascii="Times New Roman" w:hAnsi="Times New Roman" w:cs="Times New Roman"/>
          <w:sz w:val="28"/>
          <w:szCs w:val="28"/>
        </w:rPr>
        <w:t>сайті Міністерства фінансів України;</w:t>
      </w:r>
    </w:p>
    <w:p w:rsidR="00625120" w:rsidRPr="00625120" w:rsidRDefault="00625120" w:rsidP="0062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20">
        <w:rPr>
          <w:rFonts w:ascii="Times New Roman" w:hAnsi="Times New Roman" w:cs="Times New Roman"/>
          <w:sz w:val="28"/>
          <w:szCs w:val="28"/>
        </w:rPr>
        <w:t>доопрацювати відповідні автоматизовані інформаційні системи Д</w:t>
      </w:r>
      <w:r w:rsidR="006263F1">
        <w:rPr>
          <w:rFonts w:ascii="Times New Roman" w:hAnsi="Times New Roman" w:cs="Times New Roman"/>
          <w:sz w:val="28"/>
          <w:szCs w:val="28"/>
        </w:rPr>
        <w:t>ержмитслужби</w:t>
      </w:r>
      <w:r w:rsidRPr="00625120">
        <w:rPr>
          <w:rFonts w:ascii="Times New Roman" w:hAnsi="Times New Roman" w:cs="Times New Roman"/>
          <w:sz w:val="28"/>
          <w:szCs w:val="28"/>
        </w:rPr>
        <w:t xml:space="preserve"> для забезпечення проведення передбачених Кодексом митного контролю та митного оформлення товарів, транспортних засобів комерційного призначення з використанням бланк</w:t>
      </w:r>
      <w:r w:rsidR="006263F1">
        <w:rPr>
          <w:rFonts w:ascii="Times New Roman" w:hAnsi="Times New Roman" w:cs="Times New Roman"/>
          <w:sz w:val="28"/>
          <w:szCs w:val="28"/>
        </w:rPr>
        <w:t>ів</w:t>
      </w:r>
      <w:r w:rsidRPr="00625120">
        <w:rPr>
          <w:rFonts w:ascii="Times New Roman" w:hAnsi="Times New Roman" w:cs="Times New Roman"/>
          <w:sz w:val="28"/>
          <w:szCs w:val="28"/>
        </w:rPr>
        <w:t xml:space="preserve"> фінансов</w:t>
      </w:r>
      <w:r w:rsidR="006263F1">
        <w:rPr>
          <w:rFonts w:ascii="Times New Roman" w:hAnsi="Times New Roman" w:cs="Times New Roman"/>
          <w:sz w:val="28"/>
          <w:szCs w:val="28"/>
        </w:rPr>
        <w:t>их</w:t>
      </w:r>
      <w:r w:rsidRPr="00625120">
        <w:rPr>
          <w:rFonts w:ascii="Times New Roman" w:hAnsi="Times New Roman" w:cs="Times New Roman"/>
          <w:sz w:val="28"/>
          <w:szCs w:val="28"/>
        </w:rPr>
        <w:t xml:space="preserve"> гаранті</w:t>
      </w:r>
      <w:r w:rsidR="006263F1">
        <w:rPr>
          <w:rFonts w:ascii="Times New Roman" w:hAnsi="Times New Roman" w:cs="Times New Roman"/>
          <w:sz w:val="28"/>
          <w:szCs w:val="28"/>
        </w:rPr>
        <w:t>й</w:t>
      </w:r>
      <w:r w:rsidR="00C86070">
        <w:rPr>
          <w:rFonts w:ascii="Times New Roman" w:hAnsi="Times New Roman" w:cs="Times New Roman"/>
          <w:sz w:val="28"/>
          <w:szCs w:val="28"/>
        </w:rPr>
        <w:t>, у відповідність до цього проє</w:t>
      </w:r>
      <w:r w:rsidRPr="00625120">
        <w:rPr>
          <w:rFonts w:ascii="Times New Roman" w:hAnsi="Times New Roman" w:cs="Times New Roman"/>
          <w:sz w:val="28"/>
          <w:szCs w:val="28"/>
        </w:rPr>
        <w:t>кту наказу.</w:t>
      </w:r>
    </w:p>
    <w:p w:rsidR="00625120" w:rsidRPr="00625120" w:rsidRDefault="00625120" w:rsidP="0062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20">
        <w:rPr>
          <w:rFonts w:ascii="Times New Roman" w:hAnsi="Times New Roman" w:cs="Times New Roman"/>
          <w:sz w:val="28"/>
          <w:szCs w:val="28"/>
        </w:rPr>
        <w:t>Ризику впливу зовнішніх факторів на дію регуляторного акта немає.</w:t>
      </w:r>
    </w:p>
    <w:p w:rsidR="00625120" w:rsidRPr="00625120" w:rsidRDefault="00625120" w:rsidP="0062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20">
        <w:rPr>
          <w:rFonts w:ascii="Times New Roman" w:hAnsi="Times New Roman" w:cs="Times New Roman"/>
          <w:sz w:val="28"/>
          <w:szCs w:val="28"/>
        </w:rPr>
        <w:t>Досягнення цілей не передбачає додаткових організаційних заходів.</w:t>
      </w:r>
    </w:p>
    <w:p w:rsidR="00625120" w:rsidRPr="00625120" w:rsidRDefault="00625120" w:rsidP="0062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20">
        <w:rPr>
          <w:rFonts w:ascii="Times New Roman" w:hAnsi="Times New Roman" w:cs="Times New Roman"/>
          <w:sz w:val="28"/>
          <w:szCs w:val="28"/>
        </w:rPr>
        <w:t>Можлива шкода у разі очікуваних наслідків дії акта не прогнозується.</w:t>
      </w:r>
    </w:p>
    <w:p w:rsidR="00625120" w:rsidRDefault="00625120" w:rsidP="005F78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8D2" w:rsidRPr="005F78D2" w:rsidRDefault="005F78D2" w:rsidP="005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8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5F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Оцінка виконання вимог регуляторного акта залежно від ресурсів, якими розпоряджаються органи виконавчої влади чи органи  місцевого самоврядування, фізичні та юридичні особи, які повинні проваджувати або виконувати ці вимоги</w:t>
      </w:r>
    </w:p>
    <w:p w:rsidR="005F78D2" w:rsidRPr="005F78D2" w:rsidRDefault="005F78D2" w:rsidP="005F78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96D" w:rsidRDefault="00D1496D" w:rsidP="00D1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проєкту наказу не передбачає додаткових фінансових витрат центральних органів виконавчої влади, суб’єктів господарювання та громадян.</w:t>
      </w:r>
    </w:p>
    <w:p w:rsidR="00D1496D" w:rsidRDefault="00D1496D" w:rsidP="00D149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9A6">
        <w:rPr>
          <w:rFonts w:ascii="Times New Roman" w:hAnsi="Times New Roman" w:cs="Times New Roman"/>
          <w:sz w:val="28"/>
          <w:szCs w:val="28"/>
        </w:rPr>
        <w:t xml:space="preserve">Виконання вимог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CF79A6">
        <w:rPr>
          <w:rFonts w:ascii="Times New Roman" w:hAnsi="Times New Roman" w:cs="Times New Roman"/>
          <w:sz w:val="28"/>
          <w:szCs w:val="28"/>
        </w:rPr>
        <w:t xml:space="preserve"> забезпечується в межах кошторисних витрат на </w:t>
      </w:r>
      <w:r>
        <w:rPr>
          <w:rFonts w:ascii="Times New Roman" w:hAnsi="Times New Roman" w:cs="Times New Roman"/>
          <w:sz w:val="28"/>
          <w:szCs w:val="28"/>
        </w:rPr>
        <w:t>утримання контролюючих органів.</w:t>
      </w:r>
    </w:p>
    <w:p w:rsidR="00D1496D" w:rsidRPr="00CF79A6" w:rsidRDefault="00D1496D" w:rsidP="00D14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7E">
        <w:rPr>
          <w:rFonts w:ascii="Times New Roman" w:hAnsi="Times New Roman" w:cs="Times New Roman"/>
          <w:sz w:val="28"/>
          <w:szCs w:val="28"/>
        </w:rPr>
        <w:lastRenderedPageBreak/>
        <w:t>М-Тест не проводився у зв’язку з тим, що дія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BA687E">
        <w:rPr>
          <w:rFonts w:ascii="Times New Roman" w:hAnsi="Times New Roman" w:cs="Times New Roman"/>
          <w:sz w:val="28"/>
          <w:szCs w:val="28"/>
        </w:rPr>
        <w:t>кту наказу однаково впливає на всіх суб’єктів господарювання незалежно від форми власності та рівня доходу.</w:t>
      </w:r>
    </w:p>
    <w:p w:rsidR="005F78D2" w:rsidRPr="005F78D2" w:rsidRDefault="005F78D2" w:rsidP="005F78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8D2" w:rsidRPr="005F78D2" w:rsidRDefault="005F78D2" w:rsidP="005F7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 Обґрунтування запропонованого строку дії регуляторного акта</w:t>
      </w:r>
    </w:p>
    <w:p w:rsidR="005F78D2" w:rsidRPr="005F78D2" w:rsidRDefault="005F78D2" w:rsidP="005F7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ECF" w:rsidRPr="006350E4" w:rsidRDefault="00151ECF" w:rsidP="00151ECF">
      <w:pPr>
        <w:pStyle w:val="a7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350E4">
        <w:rPr>
          <w:color w:val="000000" w:themeColor="text1"/>
          <w:sz w:val="28"/>
          <w:szCs w:val="28"/>
        </w:rPr>
        <w:t>Термін дії є необмеженим, оскільки Кодекс, на виконання вимог якого розроблено про</w:t>
      </w:r>
      <w:r>
        <w:rPr>
          <w:color w:val="000000" w:themeColor="text1"/>
          <w:sz w:val="28"/>
          <w:szCs w:val="28"/>
        </w:rPr>
        <w:t>є</w:t>
      </w:r>
      <w:r w:rsidRPr="006350E4">
        <w:rPr>
          <w:color w:val="000000" w:themeColor="text1"/>
          <w:sz w:val="28"/>
          <w:szCs w:val="28"/>
        </w:rPr>
        <w:t>кт наказу, має необмежений термін дії.</w:t>
      </w:r>
    </w:p>
    <w:p w:rsidR="00151ECF" w:rsidRPr="006350E4" w:rsidRDefault="00151ECF" w:rsidP="00151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Зважаючи на те, що регуляторний акт є актом, розробленим відповідно до норм Митного кодексу України, у разі внесення змін до Кодексу регуляторний акт має бути приведений у відповідність </w:t>
      </w:r>
      <w:r w:rsidR="002D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Pr="00635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</w:t>
      </w:r>
      <w:r w:rsidR="002D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635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змін.</w:t>
      </w:r>
    </w:p>
    <w:p w:rsidR="00151ECF" w:rsidRPr="006350E4" w:rsidRDefault="00151ECF" w:rsidP="00151ECF">
      <w:pPr>
        <w:pStyle w:val="a7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350E4">
        <w:rPr>
          <w:color w:val="000000" w:themeColor="text1"/>
          <w:sz w:val="28"/>
          <w:szCs w:val="28"/>
        </w:rPr>
        <w:t>Зміна терміну дії акт</w:t>
      </w:r>
      <w:r>
        <w:rPr>
          <w:color w:val="000000" w:themeColor="text1"/>
          <w:sz w:val="28"/>
          <w:szCs w:val="28"/>
        </w:rPr>
        <w:t>а</w:t>
      </w:r>
      <w:r w:rsidRPr="006350E4">
        <w:rPr>
          <w:color w:val="000000" w:themeColor="text1"/>
          <w:sz w:val="28"/>
          <w:szCs w:val="28"/>
        </w:rPr>
        <w:t xml:space="preserve"> можлива в разі зміни правових актів, на виконання вимог яких </w:t>
      </w:r>
      <w:r>
        <w:rPr>
          <w:color w:val="000000" w:themeColor="text1"/>
          <w:sz w:val="28"/>
          <w:szCs w:val="28"/>
        </w:rPr>
        <w:t>розроблено</w:t>
      </w:r>
      <w:r w:rsidRPr="006350E4">
        <w:rPr>
          <w:color w:val="000000" w:themeColor="text1"/>
          <w:sz w:val="28"/>
          <w:szCs w:val="28"/>
        </w:rPr>
        <w:t xml:space="preserve"> про</w:t>
      </w:r>
      <w:r>
        <w:rPr>
          <w:color w:val="000000" w:themeColor="text1"/>
          <w:sz w:val="28"/>
          <w:szCs w:val="28"/>
        </w:rPr>
        <w:t>є</w:t>
      </w:r>
      <w:r w:rsidRPr="006350E4">
        <w:rPr>
          <w:color w:val="000000" w:themeColor="text1"/>
          <w:sz w:val="28"/>
          <w:szCs w:val="28"/>
        </w:rPr>
        <w:t>кт.</w:t>
      </w:r>
    </w:p>
    <w:p w:rsidR="00151ECF" w:rsidRPr="006350E4" w:rsidRDefault="00151ECF" w:rsidP="00151ECF">
      <w:pPr>
        <w:pStyle w:val="a7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350E4">
        <w:rPr>
          <w:color w:val="000000" w:themeColor="text1"/>
          <w:sz w:val="28"/>
          <w:szCs w:val="28"/>
        </w:rPr>
        <w:t>Термін набрання чинності регуляторним актом</w:t>
      </w:r>
      <w:r>
        <w:rPr>
          <w:color w:val="000000" w:themeColor="text1"/>
          <w:sz w:val="28"/>
          <w:szCs w:val="28"/>
        </w:rPr>
        <w:t> </w:t>
      </w:r>
      <w:r w:rsidRPr="006350E4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 </w:t>
      </w:r>
      <w:r w:rsidRPr="006350E4">
        <w:rPr>
          <w:color w:val="000000" w:themeColor="text1"/>
          <w:sz w:val="28"/>
          <w:szCs w:val="28"/>
        </w:rPr>
        <w:t>відповідно до законодавства</w:t>
      </w:r>
      <w:r>
        <w:rPr>
          <w:color w:val="000000" w:themeColor="text1"/>
          <w:sz w:val="28"/>
          <w:szCs w:val="28"/>
        </w:rPr>
        <w:t xml:space="preserve"> – через 45 днів з дня його офіційного </w:t>
      </w:r>
      <w:r w:rsidRPr="006350E4">
        <w:rPr>
          <w:color w:val="000000" w:themeColor="text1"/>
          <w:sz w:val="28"/>
          <w:szCs w:val="28"/>
        </w:rPr>
        <w:t>опублікування.</w:t>
      </w:r>
    </w:p>
    <w:p w:rsidR="005F78D2" w:rsidRPr="005F78D2" w:rsidRDefault="005F78D2" w:rsidP="005F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8D2" w:rsidRPr="005F78D2" w:rsidRDefault="005F78D2" w:rsidP="005F7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F7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 Визначення показників результативності дії регуляторного акта</w:t>
      </w:r>
    </w:p>
    <w:p w:rsidR="005F78D2" w:rsidRPr="005F78D2" w:rsidRDefault="005F78D2" w:rsidP="005F78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9118C1" w:rsidRDefault="009118C1" w:rsidP="00911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E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результативності регуляторного акта є:</w:t>
      </w:r>
    </w:p>
    <w:p w:rsidR="00DC50FA" w:rsidRPr="00522D2E" w:rsidRDefault="00DC50FA" w:rsidP="00DC5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надходжень до державного та місцевих бюджетів і державних цільових фондів, пов’язаних з дією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– залежить від кількості гарантійних випадків, з яких до державного бюджету будуть сплачені митні платежі.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D495D" w:rsidRPr="0035465A">
        <w:rPr>
          <w:rFonts w:ascii="Times New Roman" w:hAnsi="Times New Roman" w:cs="Times New Roman"/>
          <w:sz w:val="28"/>
          <w:szCs w:val="28"/>
        </w:rPr>
        <w:t>січ</w:t>
      </w:r>
      <w:r w:rsidR="00ED495D">
        <w:rPr>
          <w:rFonts w:ascii="Times New Roman" w:hAnsi="Times New Roman" w:cs="Times New Roman"/>
          <w:sz w:val="28"/>
          <w:szCs w:val="28"/>
        </w:rPr>
        <w:t>е</w:t>
      </w:r>
      <w:r w:rsidR="00ED495D" w:rsidRPr="0035465A">
        <w:rPr>
          <w:rFonts w:ascii="Times New Roman" w:hAnsi="Times New Roman" w:cs="Times New Roman"/>
          <w:sz w:val="28"/>
          <w:szCs w:val="28"/>
        </w:rPr>
        <w:t>н</w:t>
      </w:r>
      <w:r w:rsidR="00ED495D">
        <w:rPr>
          <w:rFonts w:ascii="Times New Roman" w:hAnsi="Times New Roman" w:cs="Times New Roman"/>
          <w:sz w:val="28"/>
          <w:szCs w:val="28"/>
        </w:rPr>
        <w:t>ь</w:t>
      </w:r>
      <w:r w:rsidR="00ED495D" w:rsidRPr="0035465A">
        <w:rPr>
          <w:rFonts w:ascii="Times New Roman" w:hAnsi="Times New Roman" w:cs="Times New Roman"/>
          <w:sz w:val="28"/>
          <w:szCs w:val="28"/>
        </w:rPr>
        <w:t> – квіт</w:t>
      </w:r>
      <w:r w:rsidR="00ED495D">
        <w:rPr>
          <w:rFonts w:ascii="Times New Roman" w:hAnsi="Times New Roman" w:cs="Times New Roman"/>
          <w:sz w:val="28"/>
          <w:szCs w:val="28"/>
        </w:rPr>
        <w:t>ень</w:t>
      </w:r>
      <w:r w:rsidR="00ED495D" w:rsidRPr="0035465A">
        <w:rPr>
          <w:rFonts w:ascii="Times New Roman" w:hAnsi="Times New Roman" w:cs="Times New Roman"/>
          <w:sz w:val="28"/>
          <w:szCs w:val="28"/>
        </w:rPr>
        <w:t xml:space="preserve"> 20</w:t>
      </w:r>
      <w:r w:rsidR="00ED495D">
        <w:rPr>
          <w:rFonts w:ascii="Times New Roman" w:hAnsi="Times New Roman" w:cs="Times New Roman"/>
          <w:sz w:val="28"/>
          <w:szCs w:val="28"/>
        </w:rPr>
        <w:t>20</w:t>
      </w:r>
      <w:r w:rsidR="00ED495D" w:rsidRPr="0035465A">
        <w:rPr>
          <w:rFonts w:ascii="Times New Roman" w:hAnsi="Times New Roman" w:cs="Times New Roman"/>
          <w:sz w:val="28"/>
          <w:szCs w:val="28"/>
        </w:rPr>
        <w:t xml:space="preserve"> </w:t>
      </w:r>
      <w:r w:rsidR="00ED495D">
        <w:rPr>
          <w:rFonts w:ascii="Times New Roman" w:hAnsi="Times New Roman" w:cs="Times New Roman"/>
          <w:sz w:val="28"/>
          <w:szCs w:val="28"/>
        </w:rPr>
        <w:t>року сталося 5 гарантійних випадків</w:t>
      </w:r>
      <w:r>
        <w:rPr>
          <w:rFonts w:ascii="Times New Roman" w:hAnsi="Times New Roman" w:cs="Times New Roman"/>
          <w:sz w:val="28"/>
          <w:szCs w:val="28"/>
        </w:rPr>
        <w:t xml:space="preserve">, з яких до </w:t>
      </w:r>
      <w:r w:rsidR="00ED495D">
        <w:rPr>
          <w:rFonts w:ascii="Times New Roman" w:hAnsi="Times New Roman" w:cs="Times New Roman"/>
          <w:sz w:val="28"/>
          <w:szCs w:val="28"/>
        </w:rPr>
        <w:t>державного бюджету гарантами сплачено понад 412,1 тис. грн</w:t>
      </w:r>
      <w:r w:rsidR="00ED495D" w:rsidRPr="00A65620">
        <w:rPr>
          <w:rFonts w:ascii="Times New Roman" w:hAnsi="Times New Roman" w:cs="Times New Roman"/>
          <w:sz w:val="28"/>
          <w:szCs w:val="28"/>
        </w:rPr>
        <w:t xml:space="preserve"> </w:t>
      </w:r>
      <w:r w:rsidR="00ED495D">
        <w:rPr>
          <w:rFonts w:ascii="Times New Roman" w:hAnsi="Times New Roman" w:cs="Times New Roman"/>
          <w:sz w:val="28"/>
          <w:szCs w:val="28"/>
        </w:rPr>
        <w:t>митних платежів по 5 гарантійних випадках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0FA" w:rsidRPr="00522D2E" w:rsidRDefault="00DC50FA" w:rsidP="00DC5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кількість </w:t>
      </w:r>
      <w:r w:rsidR="00B65272" w:rsidRPr="00522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r w:rsidRPr="0052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господарювання та/або фізичних осіб, на яких поширюватиметься дія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станом на </w:t>
      </w:r>
      <w:r w:rsidR="00B65272">
        <w:rPr>
          <w:rFonts w:ascii="Times New Roman" w:hAnsi="Times New Roman" w:cs="Times New Roman"/>
          <w:sz w:val="28"/>
          <w:szCs w:val="28"/>
        </w:rPr>
        <w:t>12</w:t>
      </w:r>
      <w:r w:rsidR="00B65272" w:rsidRPr="00C36F8A">
        <w:rPr>
          <w:rFonts w:ascii="Times New Roman" w:hAnsi="Times New Roman" w:cs="Times New Roman"/>
          <w:sz w:val="28"/>
          <w:szCs w:val="28"/>
        </w:rPr>
        <w:t>.0</w:t>
      </w:r>
      <w:r w:rsidR="00B65272">
        <w:rPr>
          <w:rFonts w:ascii="Times New Roman" w:hAnsi="Times New Roman" w:cs="Times New Roman"/>
          <w:sz w:val="28"/>
          <w:szCs w:val="28"/>
        </w:rPr>
        <w:t>5</w:t>
      </w:r>
      <w:r w:rsidR="00B65272" w:rsidRPr="00C36F8A">
        <w:rPr>
          <w:rFonts w:ascii="Times New Roman" w:hAnsi="Times New Roman" w:cs="Times New Roman"/>
          <w:sz w:val="28"/>
          <w:szCs w:val="28"/>
        </w:rPr>
        <w:t>.20</w:t>
      </w:r>
      <w:r w:rsidR="00B65272">
        <w:rPr>
          <w:rFonts w:ascii="Times New Roman" w:hAnsi="Times New Roman" w:cs="Times New Roman"/>
          <w:sz w:val="28"/>
          <w:szCs w:val="28"/>
        </w:rPr>
        <w:t>20</w:t>
      </w:r>
      <w:r w:rsidR="00C52C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 </w:t>
      </w:r>
      <w:r w:rsidR="00B652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100">
        <w:rPr>
          <w:rFonts w:ascii="Times New Roman" w:hAnsi="Times New Roman" w:cs="Times New Roman"/>
          <w:sz w:val="28"/>
          <w:szCs w:val="28"/>
        </w:rPr>
        <w:t>юридичн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12100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іб</w:t>
      </w:r>
      <w:r w:rsidRPr="00D12100">
        <w:rPr>
          <w:rFonts w:ascii="Times New Roman" w:hAnsi="Times New Roman" w:cs="Times New Roman"/>
          <w:sz w:val="28"/>
          <w:szCs w:val="28"/>
        </w:rPr>
        <w:t>, створен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12100">
        <w:rPr>
          <w:rFonts w:ascii="Times New Roman" w:hAnsi="Times New Roman" w:cs="Times New Roman"/>
          <w:sz w:val="28"/>
          <w:szCs w:val="28"/>
        </w:rPr>
        <w:t xml:space="preserve"> у формі повного або командитного товариства</w:t>
      </w:r>
      <w:r>
        <w:rPr>
          <w:rFonts w:ascii="Times New Roman" w:hAnsi="Times New Roman" w:cs="Times New Roman"/>
          <w:sz w:val="28"/>
          <w:szCs w:val="28"/>
        </w:rPr>
        <w:t xml:space="preserve"> та банківських установ, які внесені до</w:t>
      </w:r>
      <w:r w:rsidRPr="0035465A">
        <w:rPr>
          <w:rFonts w:ascii="Times New Roman" w:hAnsi="Times New Roman" w:cs="Times New Roman"/>
          <w:sz w:val="28"/>
          <w:szCs w:val="28"/>
        </w:rPr>
        <w:t xml:space="preserve"> реєстр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465A">
        <w:rPr>
          <w:rFonts w:ascii="Times New Roman" w:hAnsi="Times New Roman" w:cs="Times New Roman"/>
          <w:sz w:val="28"/>
          <w:szCs w:val="28"/>
        </w:rPr>
        <w:t xml:space="preserve"> гарантів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52CEB">
        <w:rPr>
          <w:rFonts w:ascii="Times New Roman" w:hAnsi="Times New Roman" w:cs="Times New Roman"/>
          <w:sz w:val="28"/>
          <w:szCs w:val="28"/>
        </w:rPr>
        <w:t>ержмитслужби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0FA" w:rsidRPr="005E6A22" w:rsidRDefault="00DC50FA" w:rsidP="00DC5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 з прийняттям акта держава, суб’єкти господарювання не витрачатимуть додаткові кошт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і час на реалізацію його норм;</w:t>
      </w:r>
    </w:p>
    <w:p w:rsidR="00DC50FA" w:rsidRDefault="00DC50FA" w:rsidP="00DC5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6A2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 поінформованості громадян та суб’єктів господарювання щодо основних положень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40300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r w:rsidRPr="005E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високий, оскільки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Pr="005E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оприлюднено на офіційному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 Мінфіну;</w:t>
      </w:r>
    </w:p>
    <w:p w:rsidR="00DC50FA" w:rsidRDefault="00DC50FA" w:rsidP="00DC5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поданих фінансових гарантій;</w:t>
      </w:r>
    </w:p>
    <w:p w:rsidR="00DC50FA" w:rsidRDefault="00DC50FA" w:rsidP="00DC5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гарантійних випадків;</w:t>
      </w:r>
    </w:p>
    <w:p w:rsidR="00DC50FA" w:rsidRDefault="00DC50FA" w:rsidP="00DC5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гарантійних випадків, з яких сплачені митні платежі до державного бюджету.</w:t>
      </w:r>
    </w:p>
    <w:p w:rsidR="005F78D2" w:rsidRPr="005F78D2" w:rsidRDefault="005F78D2" w:rsidP="005F78D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8D2" w:rsidRPr="005F78D2" w:rsidRDefault="005F78D2" w:rsidP="005F78D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 Визначення заходів, за допомогою яких здійснюватиметься відстеження результативності дії регуляторного акта</w:t>
      </w:r>
    </w:p>
    <w:p w:rsidR="005F78D2" w:rsidRDefault="005F78D2" w:rsidP="005F78D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FC6" w:rsidRPr="00BF4B53" w:rsidRDefault="00491FC6" w:rsidP="004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 регуляторного акта уповноваженим органом виконавчої влади здійснюватимуться базове,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торне та періодичн</w:t>
      </w:r>
      <w:r w:rsidR="003B38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відстеження </w:t>
      </w: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результативності регуляторного акта у строки, встанов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лені статтею 10 Закону України «</w:t>
      </w: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засади державної регуляторної політики у сфері господарської діяльності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аналізу статистичних даних за допомогою інформаційних систем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ержмитслужби та звітної інформації, яка надходить до Держмитслужби від митних органів</w:t>
      </w: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FC6" w:rsidRPr="00BF4B53" w:rsidRDefault="00491FC6" w:rsidP="004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Базове відстеження результативності регуляторного акта буде проводитись через рік після набрання чинності наказом.</w:t>
      </w:r>
    </w:p>
    <w:p w:rsidR="00491FC6" w:rsidRDefault="00491FC6" w:rsidP="004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Періодичне відстеження здійснюватиметься раз на три роки, починаючи з дня виконання заходів з повторного відстеження результативності.</w:t>
      </w:r>
    </w:p>
    <w:p w:rsidR="00491FC6" w:rsidRDefault="00491FC6" w:rsidP="004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Повторне відстеження буде здійснюватися через два роки після набрання чинності наказом.</w:t>
      </w:r>
    </w:p>
    <w:p w:rsidR="00491FC6" w:rsidRPr="00BF4B53" w:rsidRDefault="00491FC6" w:rsidP="004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проведення відстеження результативності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статистичний.</w:t>
      </w:r>
    </w:p>
    <w:p w:rsidR="00491FC6" w:rsidRPr="00BF4B53" w:rsidRDefault="00491FC6" w:rsidP="004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виявлення неврегульованих та/або проблемних питань на підставі аналізу зауважень та пропозицій державних органів та суб’єктів господарювання ці питання будуть врегульовані шляхом унесення відповідних змін.</w:t>
      </w:r>
    </w:p>
    <w:p w:rsidR="00491FC6" w:rsidRPr="00BF4B53" w:rsidRDefault="00491FC6" w:rsidP="0049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Виконавцями</w:t>
      </w: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з відстеження є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іністерство фінансів України, Державна </w:t>
      </w:r>
      <w:r w:rsidR="005735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України</w:t>
      </w: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8D2" w:rsidRPr="005F78D2" w:rsidRDefault="005F78D2" w:rsidP="005F78D2">
      <w:pPr>
        <w:tabs>
          <w:tab w:val="left" w:pos="5672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F78D2" w:rsidRPr="005F78D2" w:rsidRDefault="005F78D2" w:rsidP="005F7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8D2" w:rsidRPr="005F78D2" w:rsidRDefault="00AD2370" w:rsidP="005F7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 о. Голови</w:t>
      </w:r>
      <w:r w:rsidR="005F78D2" w:rsidRPr="005F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Державної </w:t>
      </w:r>
    </w:p>
    <w:p w:rsidR="005F78D2" w:rsidRPr="005F78D2" w:rsidRDefault="005F78D2" w:rsidP="005F7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митної служби України                                           </w:t>
      </w:r>
      <w:r w:rsidR="00AD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5F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AD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</w:t>
      </w:r>
      <w:r w:rsidRPr="005F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МУРАТОВ</w:t>
      </w:r>
    </w:p>
    <w:p w:rsidR="005F78D2" w:rsidRPr="005F78D2" w:rsidRDefault="005F78D2" w:rsidP="005F7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8D2" w:rsidRPr="005F78D2" w:rsidRDefault="005F78D2" w:rsidP="005F7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8D2" w:rsidRPr="005F78D2" w:rsidRDefault="005F78D2" w:rsidP="005F7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D2" w:rsidRPr="005F78D2" w:rsidRDefault="000F09D2">
      <w:pPr>
        <w:rPr>
          <w:rFonts w:ascii="Times New Roman" w:hAnsi="Times New Roman" w:cs="Times New Roman"/>
          <w:sz w:val="28"/>
          <w:szCs w:val="28"/>
        </w:rPr>
      </w:pPr>
    </w:p>
    <w:sectPr w:rsidR="000F09D2" w:rsidRPr="005F78D2" w:rsidSect="00C33F1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998" w:rsidRDefault="00A62998">
      <w:pPr>
        <w:spacing w:after="0" w:line="240" w:lineRule="auto"/>
      </w:pPr>
      <w:r>
        <w:separator/>
      </w:r>
    </w:p>
  </w:endnote>
  <w:endnote w:type="continuationSeparator" w:id="0">
    <w:p w:rsidR="00A62998" w:rsidRDefault="00A6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998" w:rsidRDefault="00A62998">
      <w:pPr>
        <w:spacing w:after="0" w:line="240" w:lineRule="auto"/>
      </w:pPr>
      <w:r>
        <w:separator/>
      </w:r>
    </w:p>
  </w:footnote>
  <w:footnote w:type="continuationSeparator" w:id="0">
    <w:p w:rsidR="00A62998" w:rsidRDefault="00A6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DA" w:rsidRDefault="005F78D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D2DB8">
      <w:rPr>
        <w:noProof/>
      </w:rPr>
      <w:t>9</w:t>
    </w:r>
    <w:r>
      <w:fldChar w:fldCharType="end"/>
    </w:r>
  </w:p>
  <w:p w:rsidR="00177ADA" w:rsidRDefault="00A629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94473"/>
    <w:multiLevelType w:val="hybridMultilevel"/>
    <w:tmpl w:val="A7923D92"/>
    <w:lvl w:ilvl="0" w:tplc="E432092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D2"/>
    <w:rsid w:val="00017067"/>
    <w:rsid w:val="00024306"/>
    <w:rsid w:val="00042AC5"/>
    <w:rsid w:val="00050F0D"/>
    <w:rsid w:val="00071023"/>
    <w:rsid w:val="000B4DF5"/>
    <w:rsid w:val="000C2971"/>
    <w:rsid w:val="000C444A"/>
    <w:rsid w:val="000F09D2"/>
    <w:rsid w:val="001028C5"/>
    <w:rsid w:val="00104E6C"/>
    <w:rsid w:val="00110587"/>
    <w:rsid w:val="00123334"/>
    <w:rsid w:val="00127507"/>
    <w:rsid w:val="00141504"/>
    <w:rsid w:val="00151ECF"/>
    <w:rsid w:val="00152A5A"/>
    <w:rsid w:val="00155856"/>
    <w:rsid w:val="00156004"/>
    <w:rsid w:val="00157D4C"/>
    <w:rsid w:val="0017024C"/>
    <w:rsid w:val="001855F1"/>
    <w:rsid w:val="00195DF7"/>
    <w:rsid w:val="001D6CFF"/>
    <w:rsid w:val="0020251D"/>
    <w:rsid w:val="00206B32"/>
    <w:rsid w:val="00216E8F"/>
    <w:rsid w:val="0025308D"/>
    <w:rsid w:val="00257FFE"/>
    <w:rsid w:val="002721D2"/>
    <w:rsid w:val="002729FF"/>
    <w:rsid w:val="002843AE"/>
    <w:rsid w:val="00296C8A"/>
    <w:rsid w:val="002A4B77"/>
    <w:rsid w:val="002B5073"/>
    <w:rsid w:val="002D10B3"/>
    <w:rsid w:val="002D3E6E"/>
    <w:rsid w:val="002D5702"/>
    <w:rsid w:val="002E6EA2"/>
    <w:rsid w:val="002E7290"/>
    <w:rsid w:val="002F639C"/>
    <w:rsid w:val="00321C49"/>
    <w:rsid w:val="00322DDC"/>
    <w:rsid w:val="00342838"/>
    <w:rsid w:val="00357FE8"/>
    <w:rsid w:val="003641B9"/>
    <w:rsid w:val="003B383A"/>
    <w:rsid w:val="003B4FCC"/>
    <w:rsid w:val="003B73D7"/>
    <w:rsid w:val="003C250C"/>
    <w:rsid w:val="003D1380"/>
    <w:rsid w:val="0040300D"/>
    <w:rsid w:val="00412F40"/>
    <w:rsid w:val="00445DE2"/>
    <w:rsid w:val="0049104F"/>
    <w:rsid w:val="00491FC6"/>
    <w:rsid w:val="004A5993"/>
    <w:rsid w:val="004C1744"/>
    <w:rsid w:val="004C629F"/>
    <w:rsid w:val="004F3390"/>
    <w:rsid w:val="0050241C"/>
    <w:rsid w:val="00524C76"/>
    <w:rsid w:val="0052731F"/>
    <w:rsid w:val="00541E63"/>
    <w:rsid w:val="00551D68"/>
    <w:rsid w:val="00573507"/>
    <w:rsid w:val="005861FB"/>
    <w:rsid w:val="00591A92"/>
    <w:rsid w:val="005A17B0"/>
    <w:rsid w:val="005A2B23"/>
    <w:rsid w:val="005A314A"/>
    <w:rsid w:val="005A44FB"/>
    <w:rsid w:val="005E7EEF"/>
    <w:rsid w:val="005F78D2"/>
    <w:rsid w:val="00615F66"/>
    <w:rsid w:val="00625120"/>
    <w:rsid w:val="006263F1"/>
    <w:rsid w:val="00627E29"/>
    <w:rsid w:val="006311FD"/>
    <w:rsid w:val="006357C2"/>
    <w:rsid w:val="0065244E"/>
    <w:rsid w:val="006877B1"/>
    <w:rsid w:val="006A6DFA"/>
    <w:rsid w:val="006B4051"/>
    <w:rsid w:val="006D7B41"/>
    <w:rsid w:val="006E39D4"/>
    <w:rsid w:val="006F244E"/>
    <w:rsid w:val="007452D1"/>
    <w:rsid w:val="0075230F"/>
    <w:rsid w:val="00754CF6"/>
    <w:rsid w:val="00762AA8"/>
    <w:rsid w:val="007804B7"/>
    <w:rsid w:val="007A5947"/>
    <w:rsid w:val="007D76DB"/>
    <w:rsid w:val="007E217F"/>
    <w:rsid w:val="007E56A6"/>
    <w:rsid w:val="00827634"/>
    <w:rsid w:val="00835103"/>
    <w:rsid w:val="00873FFA"/>
    <w:rsid w:val="008C2566"/>
    <w:rsid w:val="008D2D5B"/>
    <w:rsid w:val="008E5D9D"/>
    <w:rsid w:val="008F0EA4"/>
    <w:rsid w:val="008F5A6E"/>
    <w:rsid w:val="009024F2"/>
    <w:rsid w:val="009118C1"/>
    <w:rsid w:val="00927F64"/>
    <w:rsid w:val="009361CA"/>
    <w:rsid w:val="00953117"/>
    <w:rsid w:val="00991C72"/>
    <w:rsid w:val="00A11E48"/>
    <w:rsid w:val="00A35AB9"/>
    <w:rsid w:val="00A44222"/>
    <w:rsid w:val="00A62998"/>
    <w:rsid w:val="00A73710"/>
    <w:rsid w:val="00A91951"/>
    <w:rsid w:val="00AA631E"/>
    <w:rsid w:val="00AA78B8"/>
    <w:rsid w:val="00AB09A6"/>
    <w:rsid w:val="00AD2370"/>
    <w:rsid w:val="00B11F4B"/>
    <w:rsid w:val="00B221C9"/>
    <w:rsid w:val="00B65272"/>
    <w:rsid w:val="00BB07DB"/>
    <w:rsid w:val="00BD28FB"/>
    <w:rsid w:val="00BE49ED"/>
    <w:rsid w:val="00BF7126"/>
    <w:rsid w:val="00C063EE"/>
    <w:rsid w:val="00C32AF0"/>
    <w:rsid w:val="00C52CEB"/>
    <w:rsid w:val="00C86070"/>
    <w:rsid w:val="00C86C5D"/>
    <w:rsid w:val="00CA526C"/>
    <w:rsid w:val="00CA6880"/>
    <w:rsid w:val="00CB06EE"/>
    <w:rsid w:val="00CC3516"/>
    <w:rsid w:val="00CF3B32"/>
    <w:rsid w:val="00CF5CDB"/>
    <w:rsid w:val="00CF63DF"/>
    <w:rsid w:val="00D1496D"/>
    <w:rsid w:val="00D2444D"/>
    <w:rsid w:val="00D26DBC"/>
    <w:rsid w:val="00D55CB8"/>
    <w:rsid w:val="00D96242"/>
    <w:rsid w:val="00DA79E2"/>
    <w:rsid w:val="00DC50FA"/>
    <w:rsid w:val="00DE330E"/>
    <w:rsid w:val="00DF15F0"/>
    <w:rsid w:val="00E01571"/>
    <w:rsid w:val="00E03516"/>
    <w:rsid w:val="00E105EC"/>
    <w:rsid w:val="00E1666E"/>
    <w:rsid w:val="00E547B2"/>
    <w:rsid w:val="00E62F97"/>
    <w:rsid w:val="00E83AF1"/>
    <w:rsid w:val="00E90D94"/>
    <w:rsid w:val="00EA0C0A"/>
    <w:rsid w:val="00EA6D5F"/>
    <w:rsid w:val="00ED05C9"/>
    <w:rsid w:val="00ED495D"/>
    <w:rsid w:val="00EF4F48"/>
    <w:rsid w:val="00F066C2"/>
    <w:rsid w:val="00F07AB1"/>
    <w:rsid w:val="00F12118"/>
    <w:rsid w:val="00F325DE"/>
    <w:rsid w:val="00F33F1B"/>
    <w:rsid w:val="00F57697"/>
    <w:rsid w:val="00F57CBA"/>
    <w:rsid w:val="00F73ADE"/>
    <w:rsid w:val="00F9223F"/>
    <w:rsid w:val="00FD2DB8"/>
    <w:rsid w:val="00FD50AB"/>
    <w:rsid w:val="00FE6433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BF940-5A5F-4E1B-969D-14169FD1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2D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8D2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F78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35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5D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D2D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6">
    <w:name w:val="Сетка таблицы6"/>
    <w:basedOn w:val="a1"/>
    <w:next w:val="a5"/>
    <w:uiPriority w:val="59"/>
    <w:rsid w:val="0032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49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EA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Знак"/>
    <w:basedOn w:val="a"/>
    <w:link w:val="1"/>
    <w:uiPriority w:val="99"/>
    <w:rsid w:val="00E1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Знак Знак"/>
    <w:link w:val="a7"/>
    <w:uiPriority w:val="99"/>
    <w:locked/>
    <w:rsid w:val="00E105E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БАКУМЕНКО АЛЬОНА ЯРОСЛАВІВНА</dc:creator>
  <cp:lastModifiedBy>Sony</cp:lastModifiedBy>
  <cp:revision>2</cp:revision>
  <cp:lastPrinted>2020-05-18T07:04:00Z</cp:lastPrinted>
  <dcterms:created xsi:type="dcterms:W3CDTF">2020-05-20T09:02:00Z</dcterms:created>
  <dcterms:modified xsi:type="dcterms:W3CDTF">2020-05-20T09:02:00Z</dcterms:modified>
</cp:coreProperties>
</file>