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8D" w:rsidRPr="007764FC" w:rsidRDefault="0024248D" w:rsidP="0024248D">
      <w:pPr>
        <w:jc w:val="center"/>
        <w:rPr>
          <w:b/>
          <w:sz w:val="28"/>
          <w:szCs w:val="28"/>
        </w:rPr>
      </w:pPr>
      <w:r w:rsidRPr="007764FC">
        <w:rPr>
          <w:b/>
          <w:sz w:val="28"/>
          <w:szCs w:val="28"/>
        </w:rPr>
        <w:t>АНАЛІЗ РЕГУЛЯТОРНОГО ВПЛИВУ</w:t>
      </w:r>
    </w:p>
    <w:p w:rsidR="00E3110D" w:rsidRPr="00E3110D" w:rsidRDefault="00E3110D" w:rsidP="00E3110D">
      <w:pPr>
        <w:shd w:val="clear" w:color="auto" w:fill="FFFFFF"/>
        <w:spacing w:before="300" w:after="450"/>
        <w:ind w:left="450" w:right="450"/>
        <w:jc w:val="center"/>
        <w:rPr>
          <w:b/>
          <w:bCs/>
          <w:sz w:val="28"/>
          <w:szCs w:val="28"/>
          <w:lang w:val="ru-RU"/>
        </w:rPr>
      </w:pPr>
      <w:r w:rsidRPr="00E3110D">
        <w:rPr>
          <w:rStyle w:val="CharStyle3"/>
          <w:b/>
          <w:sz w:val="28"/>
          <w:szCs w:val="28"/>
        </w:rPr>
        <w:t xml:space="preserve">до проекту </w:t>
      </w:r>
      <w:r w:rsidRPr="00E3110D">
        <w:rPr>
          <w:rStyle w:val="CharStyle5"/>
          <w:b/>
          <w:sz w:val="28"/>
          <w:szCs w:val="28"/>
        </w:rPr>
        <w:t xml:space="preserve">наказу </w:t>
      </w:r>
      <w:r w:rsidRPr="00E3110D">
        <w:rPr>
          <w:rStyle w:val="CharStyle3"/>
          <w:b/>
          <w:sz w:val="28"/>
          <w:szCs w:val="28"/>
        </w:rPr>
        <w:t xml:space="preserve">Міністерства </w:t>
      </w:r>
      <w:r w:rsidRPr="00E3110D">
        <w:rPr>
          <w:rStyle w:val="CharStyle5"/>
          <w:b/>
          <w:sz w:val="28"/>
          <w:szCs w:val="28"/>
        </w:rPr>
        <w:t>фінансів України</w:t>
      </w:r>
      <w:r w:rsidRPr="00E3110D">
        <w:rPr>
          <w:rStyle w:val="CharStyle5"/>
          <w:b/>
          <w:sz w:val="28"/>
          <w:szCs w:val="28"/>
          <w:lang w:val="ru-RU"/>
        </w:rPr>
        <w:t xml:space="preserve"> </w:t>
      </w:r>
      <w:r>
        <w:rPr>
          <w:rStyle w:val="CharStyle5"/>
          <w:b/>
          <w:sz w:val="28"/>
          <w:szCs w:val="28"/>
          <w:lang w:val="ru-RU"/>
        </w:rPr>
        <w:t>«</w:t>
      </w:r>
      <w:r>
        <w:rPr>
          <w:rStyle w:val="CharStyle5"/>
          <w:b/>
          <w:sz w:val="28"/>
          <w:szCs w:val="28"/>
        </w:rPr>
        <w:t xml:space="preserve">Про затвердження Порядку </w:t>
      </w:r>
      <w:r w:rsidRPr="00E3110D">
        <w:rPr>
          <w:rStyle w:val="CharStyle5"/>
          <w:b/>
          <w:sz w:val="28"/>
          <w:szCs w:val="28"/>
        </w:rPr>
        <w:t>обміну інформацією між Міністерством фінансів України та суб'єктами ринку природного газу</w:t>
      </w:r>
      <w:r>
        <w:rPr>
          <w:rStyle w:val="CharStyle5"/>
          <w:b/>
          <w:sz w:val="28"/>
          <w:szCs w:val="28"/>
        </w:rPr>
        <w:t>»</w:t>
      </w:r>
    </w:p>
    <w:p w:rsidR="0024248D" w:rsidRPr="007764FC" w:rsidRDefault="0024248D" w:rsidP="00892589">
      <w:pP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4248D" w:rsidRPr="00C93E02" w:rsidRDefault="0024248D" w:rsidP="00996620">
      <w:pPr>
        <w:pStyle w:val="a3"/>
        <w:numPr>
          <w:ilvl w:val="0"/>
          <w:numId w:val="3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C93E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Визначення проблеми</w:t>
      </w:r>
    </w:p>
    <w:p w:rsidR="00996620" w:rsidRDefault="00996620" w:rsidP="00996620">
      <w:pPr>
        <w:tabs>
          <w:tab w:val="left" w:pos="1134"/>
        </w:tabs>
        <w:spacing w:before="120" w:after="120"/>
        <w:ind w:firstLine="709"/>
        <w:rPr>
          <w:sz w:val="28"/>
          <w:szCs w:val="28"/>
        </w:rPr>
      </w:pPr>
      <w:r w:rsidRPr="00996620">
        <w:rPr>
          <w:sz w:val="28"/>
          <w:szCs w:val="28"/>
        </w:rPr>
        <w:t xml:space="preserve">Проект </w:t>
      </w:r>
      <w:r w:rsidRPr="00996620">
        <w:rPr>
          <w:rStyle w:val="CharStyle5"/>
          <w:sz w:val="28"/>
          <w:szCs w:val="28"/>
        </w:rPr>
        <w:t xml:space="preserve">наказу </w:t>
      </w:r>
      <w:r w:rsidRPr="00996620">
        <w:rPr>
          <w:rStyle w:val="CharStyle3"/>
          <w:sz w:val="28"/>
          <w:szCs w:val="28"/>
        </w:rPr>
        <w:t xml:space="preserve">Міністерства </w:t>
      </w:r>
      <w:r w:rsidRPr="00996620">
        <w:rPr>
          <w:rStyle w:val="CharStyle5"/>
          <w:sz w:val="28"/>
          <w:szCs w:val="28"/>
        </w:rPr>
        <w:t>фінансів України «Про затвердження Порядку обміну інформацією між Міністерством фінансів України та суб’єктами ринку природного газу</w:t>
      </w:r>
      <w:r w:rsidRPr="00996620">
        <w:rPr>
          <w:sz w:val="28"/>
          <w:szCs w:val="28"/>
        </w:rPr>
        <w:t xml:space="preserve">» (далі – проект наказу) розроблено відповідно до  пункту 3 </w:t>
      </w:r>
      <w:r w:rsidR="000C68FE" w:rsidRPr="006C0248">
        <w:rPr>
          <w:color w:val="000000"/>
          <w:sz w:val="28"/>
          <w:szCs w:val="28"/>
        </w:rPr>
        <w:t xml:space="preserve">постанови Кабінету Міністрів України </w:t>
      </w:r>
      <w:r w:rsidR="000C68FE" w:rsidRPr="006A664B">
        <w:rPr>
          <w:color w:val="000000"/>
          <w:sz w:val="28"/>
          <w:szCs w:val="28"/>
        </w:rPr>
        <w:t>від 27 лютого 2019 року № 143 «Питання споживання природного газу»</w:t>
      </w:r>
      <w:r w:rsidR="000C68FE">
        <w:rPr>
          <w:color w:val="000000"/>
          <w:sz w:val="28"/>
          <w:szCs w:val="28"/>
        </w:rPr>
        <w:t>.</w:t>
      </w:r>
      <w:r w:rsidRPr="00996620">
        <w:rPr>
          <w:sz w:val="28"/>
          <w:szCs w:val="28"/>
        </w:rPr>
        <w:t xml:space="preserve"> (далі – Постанова). </w:t>
      </w:r>
      <w:bookmarkStart w:id="0" w:name="_GoBack"/>
      <w:bookmarkEnd w:id="0"/>
    </w:p>
    <w:p w:rsidR="000C68FE" w:rsidRPr="006522D7" w:rsidRDefault="000C68FE" w:rsidP="00996620">
      <w:pPr>
        <w:tabs>
          <w:tab w:val="left" w:pos="1134"/>
        </w:tabs>
        <w:spacing w:before="120" w:after="120"/>
        <w:ind w:firstLine="709"/>
        <w:rPr>
          <w:sz w:val="28"/>
          <w:szCs w:val="28"/>
        </w:rPr>
      </w:pPr>
    </w:p>
    <w:p w:rsidR="00892589" w:rsidRPr="007764FC" w:rsidRDefault="00892589" w:rsidP="00892589">
      <w:pPr>
        <w:ind w:firstLine="709"/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7764FC">
        <w:rPr>
          <w:rStyle w:val="CharStyle5"/>
          <w:sz w:val="28"/>
          <w:szCs w:val="28"/>
        </w:rPr>
        <w:t xml:space="preserve">Прийняття та реалізація </w:t>
      </w:r>
      <w:r w:rsidR="00AE0AD6">
        <w:rPr>
          <w:rStyle w:val="CharStyle5"/>
          <w:sz w:val="28"/>
          <w:szCs w:val="28"/>
        </w:rPr>
        <w:t>наказу</w:t>
      </w:r>
      <w:r w:rsidRPr="007764FC">
        <w:rPr>
          <w:rStyle w:val="CharStyle5"/>
          <w:sz w:val="28"/>
          <w:szCs w:val="28"/>
        </w:rPr>
        <w:t xml:space="preserve"> забезпечує </w:t>
      </w:r>
      <w:r w:rsidR="00AE0AD6">
        <w:rPr>
          <w:rStyle w:val="CharStyle5"/>
          <w:sz w:val="28"/>
          <w:szCs w:val="28"/>
        </w:rPr>
        <w:t>єдиний</w:t>
      </w:r>
      <w:r w:rsidRPr="007764FC">
        <w:rPr>
          <w:rStyle w:val="CharStyle5"/>
          <w:sz w:val="28"/>
          <w:szCs w:val="28"/>
        </w:rPr>
        <w:t xml:space="preserve"> </w:t>
      </w:r>
      <w:r w:rsidR="00AE0AD6" w:rsidRPr="000C0959">
        <w:rPr>
          <w:sz w:val="28"/>
          <w:szCs w:val="28"/>
        </w:rPr>
        <w:t xml:space="preserve">порядок </w:t>
      </w:r>
      <w:r w:rsidR="00AE0AD6">
        <w:rPr>
          <w:sz w:val="28"/>
          <w:szCs w:val="28"/>
        </w:rPr>
        <w:t>обміну інформацією</w:t>
      </w:r>
      <w:r w:rsidR="00AE0AD6" w:rsidRPr="000C0959">
        <w:rPr>
          <w:sz w:val="28"/>
          <w:szCs w:val="28"/>
        </w:rPr>
        <w:t xml:space="preserve">, в якому визначаються </w:t>
      </w:r>
      <w:r w:rsidR="00AE0AD6">
        <w:rPr>
          <w:sz w:val="28"/>
          <w:szCs w:val="28"/>
        </w:rPr>
        <w:t xml:space="preserve">технічні особливості (Специфікація набору даних) </w:t>
      </w:r>
      <w:r w:rsidR="00AE0AD6" w:rsidRPr="000C0959">
        <w:rPr>
          <w:sz w:val="28"/>
          <w:szCs w:val="28"/>
        </w:rPr>
        <w:t>надання інформації</w:t>
      </w:r>
      <w:r w:rsidR="00AE0AD6">
        <w:rPr>
          <w:sz w:val="28"/>
          <w:szCs w:val="28"/>
        </w:rPr>
        <w:t xml:space="preserve"> та засоби </w:t>
      </w:r>
      <w:r w:rsidR="00AE0AD6" w:rsidRPr="000C0959">
        <w:rPr>
          <w:sz w:val="28"/>
          <w:szCs w:val="28"/>
        </w:rPr>
        <w:t>захисту</w:t>
      </w:r>
      <w:r w:rsidR="00AE0AD6">
        <w:rPr>
          <w:sz w:val="28"/>
          <w:szCs w:val="28"/>
        </w:rPr>
        <w:t>.</w:t>
      </w:r>
    </w:p>
    <w:p w:rsidR="0024248D" w:rsidRPr="007764FC" w:rsidRDefault="0024248D" w:rsidP="0024248D">
      <w:pPr>
        <w:shd w:val="clear" w:color="auto" w:fill="FFFFFF"/>
        <w:ind w:firstLine="709"/>
        <w:textAlignment w:val="baseline"/>
        <w:rPr>
          <w:rFonts w:eastAsia="Times New Roman"/>
          <w:color w:val="000000"/>
          <w:sz w:val="28"/>
          <w:szCs w:val="28"/>
          <w:lang w:eastAsia="uk-UA"/>
        </w:rPr>
      </w:pPr>
      <w:r w:rsidRPr="007764FC">
        <w:rPr>
          <w:rFonts w:eastAsia="Times New Roman"/>
          <w:color w:val="000000"/>
          <w:sz w:val="28"/>
          <w:szCs w:val="28"/>
          <w:lang w:eastAsia="uk-UA"/>
        </w:rPr>
        <w:t>Основні групи (підгрупи), на які проблема справляє вплив:</w:t>
      </w:r>
    </w:p>
    <w:p w:rsidR="0024248D" w:rsidRPr="007764FC" w:rsidRDefault="0024248D" w:rsidP="0024248D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8"/>
          <w:szCs w:val="28"/>
          <w:lang w:eastAsia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603"/>
      </w:tblGrid>
      <w:tr w:rsidR="0024248D" w:rsidRPr="007764FC" w:rsidTr="009B711F">
        <w:tc>
          <w:tcPr>
            <w:tcW w:w="3177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Групи (підгрупи)</w:t>
            </w:r>
          </w:p>
        </w:tc>
        <w:tc>
          <w:tcPr>
            <w:tcW w:w="3285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Так</w:t>
            </w:r>
          </w:p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Ні</w:t>
            </w:r>
          </w:p>
        </w:tc>
      </w:tr>
      <w:tr w:rsidR="0024248D" w:rsidRPr="007764FC" w:rsidTr="009B711F">
        <w:tc>
          <w:tcPr>
            <w:tcW w:w="3177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Громадяни</w:t>
            </w:r>
          </w:p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603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4248D" w:rsidRPr="007764FC" w:rsidTr="009B711F">
        <w:tc>
          <w:tcPr>
            <w:tcW w:w="3177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Держава</w:t>
            </w:r>
          </w:p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603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4248D" w:rsidRPr="007764FC" w:rsidTr="009B711F">
        <w:tc>
          <w:tcPr>
            <w:tcW w:w="3177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Суб'єкти господарювання</w:t>
            </w:r>
          </w:p>
        </w:tc>
        <w:tc>
          <w:tcPr>
            <w:tcW w:w="3285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603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4248D" w:rsidRPr="007764FC" w:rsidTr="009B711F">
        <w:tc>
          <w:tcPr>
            <w:tcW w:w="3177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у тому числі суб'єкти малого підприємництва</w:t>
            </w:r>
          </w:p>
        </w:tc>
        <w:tc>
          <w:tcPr>
            <w:tcW w:w="3285" w:type="dxa"/>
            <w:vAlign w:val="center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</w:tcPr>
          <w:p w:rsidR="0024248D" w:rsidRPr="007764FC" w:rsidRDefault="0024248D" w:rsidP="009B711F">
            <w:pPr>
              <w:shd w:val="clear" w:color="auto" w:fill="FFFFFF"/>
              <w:ind w:firstLine="709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</w:tbl>
    <w:p w:rsidR="0024248D" w:rsidRPr="007764FC" w:rsidRDefault="0024248D" w:rsidP="0024248D">
      <w:pPr>
        <w:ind w:firstLine="709"/>
        <w:rPr>
          <w:sz w:val="28"/>
          <w:szCs w:val="28"/>
        </w:rPr>
      </w:pPr>
      <w:bookmarkStart w:id="1" w:name="n95"/>
      <w:bookmarkStart w:id="2" w:name="n96"/>
      <w:bookmarkStart w:id="3" w:name="n99"/>
      <w:bookmarkEnd w:id="1"/>
      <w:bookmarkEnd w:id="2"/>
      <w:bookmarkEnd w:id="3"/>
      <w:r w:rsidRPr="007764FC">
        <w:rPr>
          <w:sz w:val="28"/>
          <w:szCs w:val="28"/>
        </w:rPr>
        <w:t xml:space="preserve">Проблема не може бути розв‘язана за допомогою діючих регуляторних актів, у зв‘язку з відсутністю регулювання проблеми. </w:t>
      </w:r>
    </w:p>
    <w:p w:rsidR="0024248D" w:rsidRPr="007764FC" w:rsidRDefault="0024248D" w:rsidP="0024248D">
      <w:pPr>
        <w:shd w:val="clear" w:color="auto" w:fill="FFFFFF"/>
        <w:spacing w:after="120"/>
        <w:ind w:firstLine="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4248D" w:rsidRPr="007764FC" w:rsidRDefault="0024248D" w:rsidP="0024248D">
      <w:pPr>
        <w:shd w:val="clear" w:color="auto" w:fill="FFFFFF"/>
        <w:spacing w:after="120"/>
        <w:ind w:firstLine="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764F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II. Цілі державного регулювання</w:t>
      </w:r>
    </w:p>
    <w:p w:rsidR="0024248D" w:rsidRPr="007764FC" w:rsidRDefault="0024248D" w:rsidP="0024248D">
      <w:pPr>
        <w:shd w:val="clear" w:color="auto" w:fill="FFFFFF"/>
        <w:ind w:firstLine="709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lang w:eastAsia="uk-UA"/>
        </w:rPr>
      </w:pPr>
      <w:r w:rsidRPr="007764FC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Основною ціллю державного регулювання є забезпечення стабільності</w:t>
      </w:r>
      <w:r w:rsidR="00494502" w:rsidRPr="007764FC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постачання </w:t>
      </w:r>
      <w:r w:rsidRPr="007764FC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природного газу, підтримання належного рівня безпеки постачання природного газу споживачам в умовах перехідного періоду реформування ринку природного газу</w:t>
      </w:r>
      <w:r w:rsidR="00494502" w:rsidRPr="007764FC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та унеможливлення несанкціонованого споживання природного газу, який постачається на умовах Положення </w:t>
      </w:r>
      <w:r w:rsidRPr="007764FC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24248D" w:rsidRDefault="0024248D" w:rsidP="0024248D">
      <w:pPr>
        <w:shd w:val="clear" w:color="auto" w:fill="FFFFFF"/>
        <w:spacing w:after="120"/>
        <w:ind w:firstLine="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C68FE" w:rsidRPr="007764FC" w:rsidRDefault="000C68FE" w:rsidP="0024248D">
      <w:pPr>
        <w:shd w:val="clear" w:color="auto" w:fill="FFFFFF"/>
        <w:spacing w:after="120"/>
        <w:ind w:firstLine="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4248D" w:rsidRPr="007764FC" w:rsidRDefault="0024248D" w:rsidP="0024248D">
      <w:pPr>
        <w:shd w:val="clear" w:color="auto" w:fill="FFFFFF"/>
        <w:spacing w:after="120"/>
        <w:ind w:firstLine="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764F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III. Визначення та оцінка альтернативних способів досягнення цілей</w:t>
      </w:r>
    </w:p>
    <w:p w:rsidR="0024248D" w:rsidRPr="007764FC" w:rsidRDefault="0024248D" w:rsidP="0024248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>Визначення альтернативних способів</w:t>
      </w:r>
    </w:p>
    <w:p w:rsidR="0024248D" w:rsidRPr="007764FC" w:rsidRDefault="0024248D" w:rsidP="0024248D">
      <w:pPr>
        <w:spacing w:after="200" w:line="276" w:lineRule="auto"/>
        <w:ind w:left="720" w:firstLine="0"/>
        <w:contextualSpacing/>
        <w:jc w:val="left"/>
        <w:rPr>
          <w:rFonts w:eastAsia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6372"/>
      </w:tblGrid>
      <w:tr w:rsidR="0024248D" w:rsidRPr="007764FC" w:rsidTr="009B711F">
        <w:tc>
          <w:tcPr>
            <w:tcW w:w="3801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6372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Опис альтернативи</w:t>
            </w:r>
          </w:p>
        </w:tc>
      </w:tr>
      <w:tr w:rsidR="0024248D" w:rsidRPr="007764FC" w:rsidTr="009B711F">
        <w:tc>
          <w:tcPr>
            <w:tcW w:w="3801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1.</w:t>
            </w:r>
          </w:p>
          <w:p w:rsidR="00892589" w:rsidRPr="002B6A72" w:rsidRDefault="0024248D" w:rsidP="00892589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Прийняття проекту </w:t>
            </w:r>
            <w:r w:rsidR="00AE0AD6">
              <w:rPr>
                <w:rFonts w:eastAsia="Times New Roman"/>
                <w:sz w:val="28"/>
                <w:szCs w:val="28"/>
              </w:rPr>
              <w:t>наказу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AE0AD6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AE0AD6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24248D" w:rsidRPr="007764FC" w:rsidRDefault="0024248D" w:rsidP="009B711F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96620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Такий спосіб є найбільш ефективним,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шляхом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прийняття </w:t>
            </w:r>
            <w:r w:rsidR="00AE0AD6">
              <w:rPr>
                <w:rFonts w:eastAsia="Times New Roman"/>
                <w:sz w:val="28"/>
                <w:szCs w:val="28"/>
              </w:rPr>
              <w:t>наказу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буде </w:t>
            </w:r>
            <w:r w:rsidR="00892589" w:rsidRPr="007764FC">
              <w:rPr>
                <w:rFonts w:eastAsia="Times New Roman"/>
                <w:sz w:val="28"/>
                <w:szCs w:val="28"/>
              </w:rPr>
              <w:t>визнач</w:t>
            </w:r>
            <w:r w:rsidR="00E664A8" w:rsidRPr="007764FC">
              <w:rPr>
                <w:rFonts w:eastAsia="Times New Roman"/>
                <w:sz w:val="28"/>
                <w:szCs w:val="28"/>
              </w:rPr>
              <w:t>ено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єдині</w:t>
            </w:r>
            <w:r w:rsidR="00AE0AD6">
              <w:rPr>
                <w:rFonts w:eastAsia="Times New Roman"/>
                <w:sz w:val="28"/>
                <w:szCs w:val="28"/>
              </w:rPr>
              <w:t xml:space="preserve"> технічні 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підходи </w:t>
            </w:r>
            <w:r w:rsidR="00996620">
              <w:rPr>
                <w:rFonts w:eastAsia="Times New Roman"/>
                <w:sz w:val="28"/>
                <w:szCs w:val="28"/>
              </w:rPr>
              <w:t xml:space="preserve">для 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996620">
              <w:rPr>
                <w:rFonts w:eastAsia="Times New Roman"/>
                <w:sz w:val="28"/>
                <w:szCs w:val="28"/>
              </w:rPr>
              <w:t>надання інформації операторами газорозподільних систем Мінфіну для її узагальнення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що буде </w:t>
            </w:r>
            <w:r w:rsidR="00892589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сприяти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надійності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постачання природного газу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та упереджувати можливості його несанкціонованого використання </w:t>
            </w:r>
            <w:r w:rsidR="00892589" w:rsidRPr="007764FC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4248D" w:rsidRPr="007764FC" w:rsidTr="009B711F">
        <w:tc>
          <w:tcPr>
            <w:tcW w:w="3801" w:type="dxa"/>
          </w:tcPr>
          <w:p w:rsidR="0024248D" w:rsidRPr="007764FC" w:rsidRDefault="0024248D" w:rsidP="009B711F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2.</w:t>
            </w:r>
          </w:p>
          <w:p w:rsidR="0024248D" w:rsidRPr="007764FC" w:rsidRDefault="0024248D" w:rsidP="009B711F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892589" w:rsidP="0011376C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Не приймати </w:t>
            </w:r>
            <w:r w:rsidR="0011376C">
              <w:rPr>
                <w:rFonts w:eastAsia="Times New Roman"/>
                <w:sz w:val="28"/>
                <w:szCs w:val="28"/>
              </w:rPr>
              <w:t>наказ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11376C">
              <w:rPr>
                <w:rFonts w:eastAsia="Times New Roman"/>
                <w:sz w:val="28"/>
                <w:szCs w:val="28"/>
              </w:rPr>
              <w:t>Мінфіну</w:t>
            </w:r>
          </w:p>
        </w:tc>
        <w:tc>
          <w:tcPr>
            <w:tcW w:w="6372" w:type="dxa"/>
          </w:tcPr>
          <w:p w:rsidR="0024248D" w:rsidRPr="007764FC" w:rsidRDefault="0024248D" w:rsidP="009B711F">
            <w:pPr>
              <w:spacing w:after="200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892589" w:rsidP="00996620">
            <w:pPr>
              <w:spacing w:after="200"/>
              <w:ind w:firstLine="0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Відсутність нормативн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ої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бази щодо єдиних </w:t>
            </w:r>
            <w:r w:rsidR="0011376C">
              <w:rPr>
                <w:rFonts w:eastAsia="Times New Roman"/>
                <w:sz w:val="28"/>
                <w:szCs w:val="28"/>
              </w:rPr>
              <w:t xml:space="preserve">технічних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підходів </w:t>
            </w:r>
            <w:r w:rsidR="00996620">
              <w:rPr>
                <w:rFonts w:eastAsia="Times New Roman"/>
                <w:sz w:val="28"/>
                <w:szCs w:val="28"/>
              </w:rPr>
              <w:t xml:space="preserve">із надання інформації Мінфіну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може використовуватися  </w:t>
            </w:r>
            <w:r w:rsidR="0011376C" w:rsidRPr="007764FC">
              <w:rPr>
                <w:rFonts w:eastAsia="Times New Roman"/>
                <w:sz w:val="28"/>
                <w:szCs w:val="28"/>
              </w:rPr>
              <w:t>суб’єктами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 г</w:t>
            </w:r>
            <w:r w:rsidRPr="007764FC">
              <w:rPr>
                <w:rFonts w:eastAsia="Times New Roman"/>
                <w:sz w:val="28"/>
                <w:szCs w:val="28"/>
              </w:rPr>
              <w:t xml:space="preserve">осподарювання </w:t>
            </w:r>
            <w:r w:rsidR="00E664A8" w:rsidRPr="007764FC">
              <w:rPr>
                <w:rFonts w:eastAsia="Times New Roman"/>
                <w:sz w:val="28"/>
                <w:szCs w:val="28"/>
              </w:rPr>
              <w:t xml:space="preserve">для ненадання </w:t>
            </w:r>
            <w:r w:rsidR="00996620">
              <w:rPr>
                <w:rFonts w:eastAsia="Times New Roman"/>
                <w:sz w:val="28"/>
                <w:szCs w:val="28"/>
              </w:rPr>
              <w:t xml:space="preserve">необхідної інформації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24248D" w:rsidRPr="007764FC" w:rsidRDefault="0024248D" w:rsidP="0024248D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</w:rPr>
      </w:pPr>
    </w:p>
    <w:p w:rsidR="0024248D" w:rsidRPr="007764FC" w:rsidRDefault="0024248D" w:rsidP="0024248D">
      <w:pPr>
        <w:spacing w:after="200" w:line="276" w:lineRule="auto"/>
        <w:ind w:firstLine="284"/>
        <w:contextualSpacing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 2.Оцінка вибраних альтернативних способів досягнення цілей</w:t>
      </w:r>
    </w:p>
    <w:p w:rsidR="0024248D" w:rsidRPr="007764FC" w:rsidRDefault="0024248D" w:rsidP="0024248D">
      <w:pPr>
        <w:ind w:firstLine="0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      Оцінка впливу на сферу інтересів держави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833"/>
        <w:gridCol w:w="3974"/>
      </w:tblGrid>
      <w:tr w:rsidR="0024248D" w:rsidRPr="007764FC" w:rsidTr="00C93E02">
        <w:trPr>
          <w:trHeight w:val="111"/>
        </w:trPr>
        <w:tc>
          <w:tcPr>
            <w:tcW w:w="2379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833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Вигоди</w:t>
            </w:r>
          </w:p>
        </w:tc>
        <w:tc>
          <w:tcPr>
            <w:tcW w:w="3974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Втрати</w:t>
            </w:r>
          </w:p>
        </w:tc>
      </w:tr>
      <w:tr w:rsidR="0024248D" w:rsidRPr="007764FC" w:rsidTr="00C93E02">
        <w:trPr>
          <w:trHeight w:val="111"/>
        </w:trPr>
        <w:tc>
          <w:tcPr>
            <w:tcW w:w="2379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1</w:t>
            </w:r>
          </w:p>
          <w:p w:rsidR="00FD5D2F" w:rsidRPr="002B6A72" w:rsidRDefault="0024248D" w:rsidP="00FD5D2F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Прийняття 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проекту </w:t>
            </w:r>
            <w:r w:rsidR="00FD5D2F">
              <w:rPr>
                <w:rFonts w:eastAsia="Times New Roman"/>
                <w:sz w:val="28"/>
                <w:szCs w:val="28"/>
              </w:rPr>
              <w:t>наказу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FD5D2F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FD5D2F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892589" w:rsidRPr="007764FC" w:rsidRDefault="00892589" w:rsidP="00494502">
            <w:pPr>
              <w:ind w:firstLine="142"/>
              <w:rPr>
                <w:bCs/>
                <w:sz w:val="28"/>
                <w:szCs w:val="28"/>
              </w:rPr>
            </w:pPr>
            <w:r w:rsidRPr="007764FC">
              <w:rPr>
                <w:bCs/>
                <w:sz w:val="28"/>
                <w:szCs w:val="28"/>
              </w:rPr>
              <w:t>»</w:t>
            </w:r>
          </w:p>
          <w:p w:rsidR="0024248D" w:rsidRPr="007764FC" w:rsidRDefault="0024248D" w:rsidP="00494502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833" w:type="dxa"/>
          </w:tcPr>
          <w:p w:rsidR="00E01C62" w:rsidRPr="007764FC" w:rsidRDefault="00E01C62" w:rsidP="009B711F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Формування</w:t>
            </w:r>
            <w:r w:rsidR="00996620">
              <w:rPr>
                <w:rFonts w:eastAsia="Times New Roman"/>
                <w:sz w:val="28"/>
                <w:szCs w:val="28"/>
              </w:rPr>
              <w:t xml:space="preserve"> узагальненої інформації про  </w:t>
            </w:r>
            <w:proofErr w:type="spellStart"/>
            <w:r w:rsidR="00996620">
              <w:rPr>
                <w:rFonts w:eastAsia="Times New Roman"/>
                <w:sz w:val="28"/>
                <w:szCs w:val="28"/>
              </w:rPr>
              <w:t>про</w:t>
            </w:r>
            <w:proofErr w:type="spellEnd"/>
            <w:r w:rsidR="00996620">
              <w:rPr>
                <w:rFonts w:eastAsia="Times New Roman"/>
                <w:sz w:val="28"/>
                <w:szCs w:val="28"/>
              </w:rPr>
              <w:t xml:space="preserve"> об’єкти </w:t>
            </w:r>
            <w:proofErr w:type="spellStart"/>
            <w:r w:rsidR="00996620">
              <w:rPr>
                <w:rFonts w:eastAsia="Times New Roman"/>
                <w:sz w:val="28"/>
                <w:szCs w:val="28"/>
              </w:rPr>
              <w:t>газовикористання</w:t>
            </w:r>
            <w:proofErr w:type="spellEnd"/>
            <w:r w:rsidR="00996620">
              <w:rPr>
                <w:rFonts w:eastAsia="Times New Roman"/>
                <w:sz w:val="28"/>
                <w:szCs w:val="28"/>
              </w:rPr>
              <w:t xml:space="preserve"> та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споживачів природного  газу ,</w:t>
            </w:r>
            <w:r w:rsidR="00996620">
              <w:rPr>
                <w:rFonts w:eastAsia="Times New Roman"/>
                <w:sz w:val="28"/>
                <w:szCs w:val="28"/>
              </w:rPr>
              <w:t xml:space="preserve"> як суб’єктів ринку природного газу.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Забезпечення безперебійного постачання природного газу</w:t>
            </w:r>
            <w:r w:rsidR="00996620">
              <w:rPr>
                <w:rFonts w:eastAsia="Times New Roman"/>
                <w:sz w:val="28"/>
                <w:szCs w:val="28"/>
              </w:rPr>
              <w:t>.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E01C62" w:rsidRPr="007764FC" w:rsidRDefault="00E01C62" w:rsidP="009B711F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Унеможливлення несанкціонованого споживання природного газу</w:t>
            </w:r>
          </w:p>
          <w:p w:rsidR="0024248D" w:rsidRPr="007764FC" w:rsidRDefault="0024248D" w:rsidP="009B711F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24248D" w:rsidRPr="007764FC" w:rsidRDefault="0024248D" w:rsidP="009B711F">
            <w:pPr>
              <w:spacing w:after="200" w:line="276" w:lineRule="auto"/>
              <w:ind w:firstLine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4248D" w:rsidRPr="007764FC" w:rsidTr="00C93E02">
        <w:trPr>
          <w:trHeight w:val="2072"/>
        </w:trPr>
        <w:tc>
          <w:tcPr>
            <w:tcW w:w="2379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2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Залишення існуючої ситуації без змін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33" w:type="dxa"/>
            <w:vAlign w:val="center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974" w:type="dxa"/>
          </w:tcPr>
          <w:p w:rsidR="0024248D" w:rsidRPr="007764FC" w:rsidRDefault="0024248D" w:rsidP="00E01C62">
            <w:pPr>
              <w:spacing w:after="200"/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.</w:t>
            </w:r>
            <w:r w:rsidR="00494502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E01C62" w:rsidRPr="007764FC">
              <w:rPr>
                <w:rFonts w:eastAsia="Times New Roman"/>
                <w:sz w:val="28"/>
                <w:szCs w:val="28"/>
              </w:rPr>
              <w:t xml:space="preserve">Відсутність інформації про </w:t>
            </w:r>
            <w:r w:rsidR="00FD5D2F" w:rsidRPr="007764FC">
              <w:rPr>
                <w:rFonts w:eastAsia="Times New Roman"/>
                <w:sz w:val="28"/>
                <w:szCs w:val="28"/>
              </w:rPr>
              <w:t>суб’єктів</w:t>
            </w:r>
            <w:r w:rsidR="00E01C62" w:rsidRPr="007764FC">
              <w:rPr>
                <w:rFonts w:eastAsia="Times New Roman"/>
                <w:sz w:val="28"/>
                <w:szCs w:val="28"/>
              </w:rPr>
              <w:t>, що споживають природний газ за умовах Положення;</w:t>
            </w:r>
          </w:p>
          <w:p w:rsidR="00E01C62" w:rsidRPr="007764FC" w:rsidRDefault="00E01C62" w:rsidP="00E01C62">
            <w:pPr>
              <w:spacing w:after="200"/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Несанкціоноване використання природного газу </w:t>
            </w:r>
          </w:p>
        </w:tc>
      </w:tr>
    </w:tbl>
    <w:p w:rsidR="0024248D" w:rsidRPr="007764FC" w:rsidRDefault="0024248D" w:rsidP="0024248D">
      <w:pPr>
        <w:spacing w:after="200" w:line="276" w:lineRule="auto"/>
        <w:ind w:firstLine="0"/>
        <w:rPr>
          <w:rFonts w:eastAsia="Times New Roman"/>
          <w:sz w:val="28"/>
          <w:szCs w:val="28"/>
        </w:rPr>
      </w:pPr>
    </w:p>
    <w:p w:rsidR="0024248D" w:rsidRPr="007764FC" w:rsidRDefault="0024248D" w:rsidP="0024248D">
      <w:pPr>
        <w:spacing w:after="200" w:line="276" w:lineRule="auto"/>
        <w:ind w:left="360" w:firstLine="0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br w:type="page"/>
      </w:r>
      <w:r w:rsidRPr="007764FC">
        <w:rPr>
          <w:rFonts w:eastAsia="Times New Roman"/>
          <w:sz w:val="28"/>
          <w:szCs w:val="28"/>
        </w:rPr>
        <w:lastRenderedPageBreak/>
        <w:t>Оцінка впливу на сферу інтересів громадян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544"/>
        <w:gridCol w:w="3969"/>
      </w:tblGrid>
      <w:tr w:rsidR="0024248D" w:rsidRPr="007764FC" w:rsidTr="009B711F">
        <w:tc>
          <w:tcPr>
            <w:tcW w:w="2660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544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Вигоди</w:t>
            </w:r>
          </w:p>
        </w:tc>
        <w:tc>
          <w:tcPr>
            <w:tcW w:w="3969" w:type="dxa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Втрати</w:t>
            </w:r>
          </w:p>
        </w:tc>
      </w:tr>
      <w:tr w:rsidR="0024248D" w:rsidRPr="007764FC" w:rsidTr="009B711F">
        <w:tc>
          <w:tcPr>
            <w:tcW w:w="2660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1</w:t>
            </w:r>
          </w:p>
          <w:p w:rsidR="00D55D3E" w:rsidRPr="007764FC" w:rsidRDefault="0024248D" w:rsidP="00D55D3E">
            <w:pPr>
              <w:rPr>
                <w:bCs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Прийняття проекту </w:t>
            </w:r>
            <w:r w:rsidR="002B6A72">
              <w:rPr>
                <w:rFonts w:eastAsia="Times New Roman"/>
                <w:sz w:val="28"/>
                <w:szCs w:val="28"/>
              </w:rPr>
              <w:t>наказу</w:t>
            </w:r>
            <w:r w:rsidR="002B6A72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2B6A72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2B6A72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248D" w:rsidRPr="007764FC" w:rsidRDefault="0024248D" w:rsidP="009B711F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Прийняття </w:t>
            </w:r>
            <w:r w:rsidR="002B6A72">
              <w:rPr>
                <w:rFonts w:eastAsia="Times New Roman"/>
                <w:sz w:val="28"/>
                <w:szCs w:val="28"/>
              </w:rPr>
              <w:t xml:space="preserve">проекту наказу Мінфіну </w:t>
            </w:r>
            <w:r w:rsidRPr="007764FC">
              <w:rPr>
                <w:rFonts w:eastAsia="Times New Roman"/>
                <w:sz w:val="28"/>
                <w:szCs w:val="28"/>
              </w:rPr>
              <w:t xml:space="preserve">сприятиме  забезпеченню загальносуспільних інтересів у процесі функціонування ринку природного газу шляхом створення умов для гарантованого забезпечення побутових споживачів, </w:t>
            </w:r>
            <w:r w:rsidR="00996620">
              <w:rPr>
                <w:rFonts w:eastAsia="Times New Roman"/>
                <w:sz w:val="28"/>
                <w:szCs w:val="28"/>
              </w:rPr>
              <w:t>п</w:t>
            </w:r>
            <w:r w:rsidRPr="007764FC">
              <w:rPr>
                <w:rFonts w:eastAsia="Times New Roman"/>
                <w:sz w:val="28"/>
                <w:szCs w:val="28"/>
              </w:rPr>
              <w:t>риродним газом.</w:t>
            </w:r>
          </w:p>
          <w:p w:rsidR="0024248D" w:rsidRPr="007764FC" w:rsidRDefault="0024248D" w:rsidP="00E01C62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248D" w:rsidRPr="007764FC" w:rsidRDefault="0024248D" w:rsidP="009B711F">
            <w:pPr>
              <w:spacing w:after="200" w:line="276" w:lineRule="auto"/>
              <w:ind w:firstLine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4248D" w:rsidRPr="007764FC" w:rsidTr="00496230">
        <w:trPr>
          <w:trHeight w:val="3089"/>
        </w:trPr>
        <w:tc>
          <w:tcPr>
            <w:tcW w:w="2660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2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Залишення існуючої ситуації без змін</w:t>
            </w:r>
          </w:p>
        </w:tc>
        <w:tc>
          <w:tcPr>
            <w:tcW w:w="3544" w:type="dxa"/>
            <w:vAlign w:val="center"/>
          </w:tcPr>
          <w:p w:rsidR="0024248D" w:rsidRPr="007764FC" w:rsidRDefault="0024248D" w:rsidP="009B711F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4248D" w:rsidRPr="007764FC" w:rsidRDefault="0024248D" w:rsidP="009B711F">
            <w:pPr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Не сприятиме забезпеченн</w:t>
            </w:r>
            <w:r w:rsidR="00E01C62" w:rsidRPr="007764FC">
              <w:rPr>
                <w:rFonts w:eastAsia="Times New Roman"/>
                <w:sz w:val="28"/>
                <w:szCs w:val="28"/>
              </w:rPr>
              <w:t xml:space="preserve">ю </w:t>
            </w:r>
            <w:r w:rsidRPr="007764FC">
              <w:rPr>
                <w:rFonts w:eastAsia="Times New Roman"/>
                <w:sz w:val="28"/>
                <w:szCs w:val="28"/>
              </w:rPr>
              <w:t>стабільності, доступності та безпеки постачання природного газу для захищених споживачів, не створюючи загрози першочерговій цілі створення повноцінного ринку природного газу, заснованого на засадах вільної конкуренції з дотриманням принципів пропорційності, прозорості та недискримінації.</w:t>
            </w:r>
          </w:p>
          <w:p w:rsidR="0024248D" w:rsidRPr="007764FC" w:rsidRDefault="0024248D" w:rsidP="009B711F">
            <w:pPr>
              <w:spacing w:after="200" w:line="276" w:lineRule="auto"/>
              <w:ind w:firstLine="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24248D" w:rsidRPr="007764FC" w:rsidRDefault="0024248D" w:rsidP="0024248D">
      <w:pPr>
        <w:spacing w:after="200" w:line="276" w:lineRule="auto"/>
        <w:ind w:left="360" w:firstLine="0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>Оцінка впливу на сферу інтересів суб’єктів господарювання</w:t>
      </w:r>
    </w:p>
    <w:p w:rsidR="0024248D" w:rsidRPr="007764FC" w:rsidRDefault="0024248D" w:rsidP="0024248D">
      <w:pPr>
        <w:spacing w:after="200" w:line="276" w:lineRule="auto"/>
        <w:ind w:left="720" w:firstLine="0"/>
        <w:contextualSpacing/>
        <w:jc w:val="left"/>
        <w:rPr>
          <w:rFonts w:eastAsia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1389"/>
        <w:gridCol w:w="1559"/>
        <w:gridCol w:w="1134"/>
        <w:gridCol w:w="1276"/>
        <w:gridCol w:w="1701"/>
      </w:tblGrid>
      <w:tr w:rsidR="0024248D" w:rsidRPr="007764FC" w:rsidTr="009B711F">
        <w:tc>
          <w:tcPr>
            <w:tcW w:w="3148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Показник</w:t>
            </w:r>
          </w:p>
        </w:tc>
        <w:tc>
          <w:tcPr>
            <w:tcW w:w="1389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Великі</w:t>
            </w:r>
          </w:p>
        </w:tc>
        <w:tc>
          <w:tcPr>
            <w:tcW w:w="1559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Середні</w:t>
            </w:r>
          </w:p>
        </w:tc>
        <w:tc>
          <w:tcPr>
            <w:tcW w:w="1134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Малі</w:t>
            </w:r>
          </w:p>
        </w:tc>
        <w:tc>
          <w:tcPr>
            <w:tcW w:w="1276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Мікро</w:t>
            </w:r>
          </w:p>
        </w:tc>
        <w:tc>
          <w:tcPr>
            <w:tcW w:w="1701" w:type="dxa"/>
          </w:tcPr>
          <w:p w:rsidR="0024248D" w:rsidRPr="007764FC" w:rsidRDefault="0024248D" w:rsidP="009B711F">
            <w:pPr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Разом</w:t>
            </w:r>
          </w:p>
        </w:tc>
      </w:tr>
      <w:tr w:rsidR="0024248D" w:rsidRPr="007764FC" w:rsidTr="009B711F">
        <w:tc>
          <w:tcPr>
            <w:tcW w:w="3148" w:type="dxa"/>
          </w:tcPr>
          <w:p w:rsidR="0024248D" w:rsidRPr="007764FC" w:rsidRDefault="0024248D" w:rsidP="009B711F">
            <w:pPr>
              <w:ind w:firstLine="34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389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48D" w:rsidRPr="007764FC" w:rsidRDefault="005619C2" w:rsidP="009B711F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4248D" w:rsidRPr="007764FC" w:rsidRDefault="005619C2" w:rsidP="00C93E02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7</w:t>
            </w:r>
            <w:r w:rsidR="00C93E02">
              <w:rPr>
                <w:sz w:val="28"/>
                <w:szCs w:val="28"/>
              </w:rPr>
              <w:t>4</w:t>
            </w:r>
          </w:p>
        </w:tc>
      </w:tr>
      <w:tr w:rsidR="0024248D" w:rsidRPr="007764FC" w:rsidTr="009B711F">
        <w:tc>
          <w:tcPr>
            <w:tcW w:w="3148" w:type="dxa"/>
          </w:tcPr>
          <w:p w:rsidR="0024248D" w:rsidRPr="007764FC" w:rsidRDefault="0024248D" w:rsidP="009B711F">
            <w:pPr>
              <w:ind w:firstLine="34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389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48D" w:rsidRPr="007764FC" w:rsidRDefault="00C93E02" w:rsidP="009B711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4248D" w:rsidRPr="007764FC" w:rsidRDefault="0024248D" w:rsidP="009B711F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248D" w:rsidRPr="007764FC" w:rsidRDefault="0024248D" w:rsidP="009B711F">
            <w:pPr>
              <w:ind w:firstLine="34"/>
              <w:jc w:val="center"/>
              <w:rPr>
                <w:sz w:val="28"/>
                <w:szCs w:val="28"/>
              </w:rPr>
            </w:pPr>
            <w:r w:rsidRPr="007764FC">
              <w:rPr>
                <w:sz w:val="28"/>
                <w:szCs w:val="28"/>
              </w:rPr>
              <w:t>100%</w:t>
            </w:r>
          </w:p>
        </w:tc>
      </w:tr>
    </w:tbl>
    <w:p w:rsidR="0024248D" w:rsidRPr="007764FC" w:rsidRDefault="0024248D" w:rsidP="0024248D">
      <w:pPr>
        <w:ind w:firstLine="0"/>
        <w:rPr>
          <w:rFonts w:eastAsia="Times New Roman"/>
          <w:sz w:val="28"/>
          <w:szCs w:val="28"/>
        </w:rPr>
      </w:pPr>
    </w:p>
    <w:p w:rsidR="00496230" w:rsidRPr="007764FC" w:rsidRDefault="00496230" w:rsidP="0024248D">
      <w:pPr>
        <w:ind w:firstLine="0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="-134" w:tblpY="608"/>
        <w:tblW w:w="10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3836"/>
      </w:tblGrid>
      <w:tr w:rsidR="0024248D" w:rsidRPr="007764FC" w:rsidTr="009B711F">
        <w:tc>
          <w:tcPr>
            <w:tcW w:w="2969" w:type="dxa"/>
            <w:hideMark/>
          </w:tcPr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3402" w:type="dxa"/>
            <w:hideMark/>
          </w:tcPr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3836" w:type="dxa"/>
            <w:hideMark/>
          </w:tcPr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Витрати</w:t>
            </w:r>
          </w:p>
        </w:tc>
      </w:tr>
      <w:tr w:rsidR="0024248D" w:rsidRPr="007764FC" w:rsidTr="009B711F">
        <w:tc>
          <w:tcPr>
            <w:tcW w:w="2969" w:type="dxa"/>
            <w:hideMark/>
          </w:tcPr>
          <w:p w:rsidR="0024248D" w:rsidRPr="007764FC" w:rsidRDefault="0024248D" w:rsidP="009B711F">
            <w:pPr>
              <w:spacing w:before="150" w:after="150"/>
              <w:ind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lastRenderedPageBreak/>
              <w:t>Альтернатива 1</w:t>
            </w:r>
          </w:p>
          <w:p w:rsidR="00FD5D2F" w:rsidRPr="002B6A72" w:rsidRDefault="0024248D" w:rsidP="00FD5D2F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Прийняття 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 проекту </w:t>
            </w:r>
            <w:r w:rsidR="00FD5D2F">
              <w:rPr>
                <w:rFonts w:eastAsia="Times New Roman"/>
                <w:sz w:val="28"/>
                <w:szCs w:val="28"/>
              </w:rPr>
              <w:t>наказу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FD5D2F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FD5D2F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0B7AC8">
            <w:pPr>
              <w:spacing w:before="150" w:after="150"/>
              <w:ind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hideMark/>
          </w:tcPr>
          <w:p w:rsidR="0024248D" w:rsidRPr="007764FC" w:rsidRDefault="00E01C62" w:rsidP="00C93E02">
            <w:pPr>
              <w:spacing w:before="150" w:after="150"/>
              <w:ind w:left="142"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Єдині </w:t>
            </w:r>
            <w:r w:rsidR="00FD5D2F">
              <w:rPr>
                <w:rFonts w:eastAsia="Times New Roman"/>
                <w:sz w:val="28"/>
                <w:szCs w:val="28"/>
                <w:lang w:eastAsia="uk-UA"/>
              </w:rPr>
              <w:t xml:space="preserve">технічні </w:t>
            </w: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умови подання інформації до Мінфіну </w:t>
            </w:r>
          </w:p>
        </w:tc>
        <w:tc>
          <w:tcPr>
            <w:tcW w:w="3836" w:type="dxa"/>
            <w:hideMark/>
          </w:tcPr>
          <w:p w:rsidR="0024248D" w:rsidRPr="007764FC" w:rsidRDefault="0024248D" w:rsidP="009B711F">
            <w:pPr>
              <w:spacing w:before="150" w:after="150"/>
              <w:ind w:left="142"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Відсутні</w:t>
            </w:r>
          </w:p>
        </w:tc>
      </w:tr>
      <w:tr w:rsidR="0024248D" w:rsidRPr="007764FC" w:rsidTr="009B711F">
        <w:tc>
          <w:tcPr>
            <w:tcW w:w="2969" w:type="dxa"/>
            <w:hideMark/>
          </w:tcPr>
          <w:p w:rsidR="0024248D" w:rsidRPr="007764FC" w:rsidRDefault="0024248D" w:rsidP="009B711F">
            <w:pPr>
              <w:spacing w:before="150" w:after="150"/>
              <w:ind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Альтернатива 2</w:t>
            </w:r>
          </w:p>
          <w:p w:rsidR="0024248D" w:rsidRPr="007764FC" w:rsidRDefault="0024248D" w:rsidP="009B711F">
            <w:pPr>
              <w:spacing w:before="150" w:after="150"/>
              <w:ind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Залишення існуючої ситуації без змін</w:t>
            </w:r>
          </w:p>
        </w:tc>
        <w:tc>
          <w:tcPr>
            <w:tcW w:w="3402" w:type="dxa"/>
            <w:hideMark/>
          </w:tcPr>
          <w:p w:rsidR="0024248D" w:rsidRPr="007764FC" w:rsidRDefault="0024248D" w:rsidP="009B711F">
            <w:pPr>
              <w:spacing w:before="150" w:after="150"/>
              <w:ind w:left="142"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Відсутні</w:t>
            </w:r>
          </w:p>
        </w:tc>
        <w:tc>
          <w:tcPr>
            <w:tcW w:w="3836" w:type="dxa"/>
            <w:hideMark/>
          </w:tcPr>
          <w:p w:rsidR="0024248D" w:rsidRPr="007764FC" w:rsidRDefault="0024248D" w:rsidP="00C93E02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24248D" w:rsidRPr="00C93E02" w:rsidRDefault="00C93E02" w:rsidP="00C93E02">
            <w:pPr>
              <w:ind w:left="360"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C93E02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="0024248D" w:rsidRPr="00C93E02">
              <w:rPr>
                <w:rFonts w:eastAsia="Times New Roman"/>
                <w:sz w:val="28"/>
                <w:szCs w:val="28"/>
                <w:lang w:eastAsia="uk-UA"/>
              </w:rPr>
              <w:t>загроза</w:t>
            </w:r>
            <w:r w:rsidRPr="00C93E02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="0024248D" w:rsidRPr="00C93E02">
              <w:rPr>
                <w:rFonts w:eastAsia="Times New Roman"/>
                <w:sz w:val="28"/>
                <w:szCs w:val="28"/>
                <w:lang w:eastAsia="uk-UA"/>
              </w:rPr>
              <w:t xml:space="preserve">безпеці </w:t>
            </w:r>
            <w:r w:rsidRPr="00C93E02">
              <w:rPr>
                <w:rFonts w:eastAsia="Times New Roman"/>
                <w:sz w:val="28"/>
                <w:szCs w:val="28"/>
                <w:lang w:eastAsia="uk-UA"/>
              </w:rPr>
              <w:t>г</w:t>
            </w:r>
            <w:r w:rsidR="0024248D" w:rsidRPr="00C93E02">
              <w:rPr>
                <w:rFonts w:eastAsia="Times New Roman"/>
                <w:sz w:val="28"/>
                <w:szCs w:val="28"/>
                <w:lang w:eastAsia="uk-UA"/>
              </w:rPr>
              <w:t>азопостачання.</w:t>
            </w:r>
          </w:p>
          <w:p w:rsidR="0024248D" w:rsidRPr="007764FC" w:rsidRDefault="0024248D" w:rsidP="009B711F">
            <w:pPr>
              <w:spacing w:before="150" w:after="150"/>
              <w:ind w:left="142"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spacing w:before="150" w:after="150"/>
              <w:ind w:left="142"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</w:tbl>
    <w:p w:rsidR="0024248D" w:rsidRPr="007764FC" w:rsidRDefault="0024248D" w:rsidP="0024248D">
      <w:pPr>
        <w:rPr>
          <w:vanish/>
          <w:sz w:val="28"/>
          <w:szCs w:val="28"/>
        </w:rPr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654"/>
      </w:tblGrid>
      <w:tr w:rsidR="0024248D" w:rsidRPr="007764FC" w:rsidTr="00CC13D4">
        <w:tc>
          <w:tcPr>
            <w:tcW w:w="4361" w:type="dxa"/>
            <w:shd w:val="clear" w:color="auto" w:fill="auto"/>
          </w:tcPr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t>Сумарні витрати за альтернативами</w:t>
            </w:r>
          </w:p>
        </w:tc>
        <w:tc>
          <w:tcPr>
            <w:tcW w:w="7654" w:type="dxa"/>
            <w:shd w:val="clear" w:color="auto" w:fill="auto"/>
          </w:tcPr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t>Сума витрат, гривень</w:t>
            </w:r>
          </w:p>
          <w:p w:rsidR="0024248D" w:rsidRPr="007764FC" w:rsidRDefault="0024248D" w:rsidP="009B711F">
            <w:pPr>
              <w:ind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</w:tr>
      <w:tr w:rsidR="0024248D" w:rsidRPr="007764FC" w:rsidTr="00CC13D4">
        <w:tc>
          <w:tcPr>
            <w:tcW w:w="4361" w:type="dxa"/>
            <w:shd w:val="clear" w:color="auto" w:fill="auto"/>
          </w:tcPr>
          <w:p w:rsidR="0024248D" w:rsidRPr="007764FC" w:rsidRDefault="0024248D" w:rsidP="009B711F">
            <w:pPr>
              <w:spacing w:before="150" w:after="150"/>
              <w:ind w:firstLine="0"/>
              <w:jc w:val="left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Альтернатива 1</w:t>
            </w:r>
          </w:p>
          <w:p w:rsidR="00FD5D2F" w:rsidRPr="002B6A72" w:rsidRDefault="0024248D" w:rsidP="00FD5D2F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Прийняття 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проекту </w:t>
            </w:r>
            <w:r w:rsidR="00FD5D2F">
              <w:rPr>
                <w:rFonts w:eastAsia="Times New Roman"/>
                <w:sz w:val="28"/>
                <w:szCs w:val="28"/>
              </w:rPr>
              <w:t>наказу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FD5D2F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FD5D2F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7654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Витрати відсутні.</w:t>
            </w:r>
          </w:p>
        </w:tc>
      </w:tr>
      <w:tr w:rsidR="0024248D" w:rsidRPr="007764FC" w:rsidTr="00CC13D4">
        <w:tc>
          <w:tcPr>
            <w:tcW w:w="4361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Альтернатива 2</w:t>
            </w: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Залишення існуючої ситуації без змін</w:t>
            </w:r>
          </w:p>
        </w:tc>
        <w:tc>
          <w:tcPr>
            <w:tcW w:w="7654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Витрати відсутні.</w:t>
            </w: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</w:tbl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r w:rsidRPr="007764FC">
        <w:rPr>
          <w:rFonts w:eastAsia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2628"/>
        <w:gridCol w:w="4678"/>
      </w:tblGrid>
      <w:tr w:rsidR="0024248D" w:rsidRPr="007764FC" w:rsidTr="009B711F">
        <w:trPr>
          <w:trHeight w:val="70"/>
        </w:trPr>
        <w:tc>
          <w:tcPr>
            <w:tcW w:w="2867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28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Бал результативності</w:t>
            </w:r>
            <w:r w:rsidRPr="007764FC">
              <w:rPr>
                <w:rFonts w:eastAsia="Times New Roman"/>
                <w:sz w:val="28"/>
                <w:szCs w:val="28"/>
              </w:rPr>
              <w:br/>
              <w:t>(за чотирибальною системою оцінки)</w:t>
            </w:r>
          </w:p>
        </w:tc>
        <w:tc>
          <w:tcPr>
            <w:tcW w:w="4678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7764FC">
              <w:rPr>
                <w:rFonts w:eastAsia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24248D" w:rsidRPr="007764FC" w:rsidTr="009B711F">
        <w:tc>
          <w:tcPr>
            <w:tcW w:w="2867" w:type="dxa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lastRenderedPageBreak/>
              <w:t>Альтернатива 1</w:t>
            </w:r>
          </w:p>
          <w:p w:rsidR="00FD5D2F" w:rsidRPr="002B6A72" w:rsidRDefault="0024248D" w:rsidP="00FD5D2F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Прийняття 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проекту </w:t>
            </w:r>
            <w:r w:rsidR="00FD5D2F">
              <w:rPr>
                <w:rFonts w:eastAsia="Times New Roman"/>
                <w:sz w:val="28"/>
                <w:szCs w:val="28"/>
              </w:rPr>
              <w:t>наказу</w:t>
            </w:r>
            <w:r w:rsidR="00FD5D2F"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 w:rsidR="00FD5D2F"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="00FD5D2F"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0B7AC8">
            <w:pPr>
              <w:spacing w:before="100" w:beforeAutospacing="1" w:after="100" w:afterAutospacing="1"/>
              <w:ind w:firstLine="0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4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48D" w:rsidRPr="007764FC" w:rsidRDefault="0024248D" w:rsidP="00FD5D2F">
            <w:pPr>
              <w:spacing w:before="100" w:beforeAutospacing="1" w:after="100" w:afterAutospacing="1"/>
              <w:ind w:firstLine="0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Максимальний бал. Цілі прийняття регуляторного </w:t>
            </w:r>
            <w:proofErr w:type="spellStart"/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Pr="007764FC">
              <w:rPr>
                <w:rFonts w:eastAsia="Times New Roman"/>
                <w:sz w:val="28"/>
                <w:szCs w:val="28"/>
                <w:lang w:eastAsia="uk-UA"/>
              </w:rPr>
              <w:t xml:space="preserve"> будуть досягнуті повною мірою. </w:t>
            </w:r>
          </w:p>
        </w:tc>
      </w:tr>
      <w:tr w:rsidR="0024248D" w:rsidRPr="007764FC" w:rsidTr="009B711F">
        <w:tc>
          <w:tcPr>
            <w:tcW w:w="2867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Альтернатива 2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Залишення існуючої ситуації без змін</w:t>
            </w:r>
          </w:p>
        </w:tc>
        <w:tc>
          <w:tcPr>
            <w:tcW w:w="2628" w:type="dxa"/>
            <w:vAlign w:val="center"/>
          </w:tcPr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1</w:t>
            </w:r>
          </w:p>
          <w:p w:rsidR="0024248D" w:rsidRPr="007764FC" w:rsidRDefault="0024248D" w:rsidP="009B711F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48D" w:rsidRPr="007764FC" w:rsidRDefault="0024248D" w:rsidP="009B711F">
            <w:pPr>
              <w:spacing w:after="200" w:line="276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>Мінімальний бал, який показує неможливість досягнення цілей державного регулювання альтернативним способом.</w:t>
            </w:r>
          </w:p>
        </w:tc>
      </w:tr>
    </w:tbl>
    <w:p w:rsidR="0024248D" w:rsidRPr="007764FC" w:rsidRDefault="0024248D" w:rsidP="0024248D">
      <w:pPr>
        <w:ind w:firstLine="0"/>
        <w:outlineLvl w:val="2"/>
        <w:rPr>
          <w:rFonts w:eastAsia="Times New Roman"/>
          <w:sz w:val="28"/>
          <w:szCs w:val="28"/>
        </w:rPr>
      </w:pPr>
    </w:p>
    <w:p w:rsidR="0024248D" w:rsidRPr="007764FC" w:rsidRDefault="0024248D" w:rsidP="0024248D">
      <w:pPr>
        <w:ind w:firstLine="0"/>
        <w:outlineLvl w:val="2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962"/>
        <w:gridCol w:w="1701"/>
        <w:gridCol w:w="3402"/>
      </w:tblGrid>
      <w:tr w:rsidR="00E263CD" w:rsidRPr="007764FC" w:rsidTr="009B711F">
        <w:tc>
          <w:tcPr>
            <w:tcW w:w="2108" w:type="dxa"/>
            <w:shd w:val="clear" w:color="auto" w:fill="auto"/>
          </w:tcPr>
          <w:p w:rsidR="0024248D" w:rsidRPr="007764FC" w:rsidRDefault="0024248D" w:rsidP="00E263CD">
            <w:pPr>
              <w:ind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Рейтинг результативності</w:t>
            </w:r>
          </w:p>
        </w:tc>
        <w:tc>
          <w:tcPr>
            <w:tcW w:w="2962" w:type="dxa"/>
            <w:shd w:val="clear" w:color="auto" w:fill="auto"/>
          </w:tcPr>
          <w:p w:rsidR="0024248D" w:rsidRPr="007764FC" w:rsidRDefault="0024248D" w:rsidP="00E263CD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t>Вигоди</w:t>
            </w:r>
          </w:p>
          <w:p w:rsidR="0024248D" w:rsidRPr="007764FC" w:rsidRDefault="0024248D" w:rsidP="00E263CD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t>(підсумок)</w:t>
            </w:r>
          </w:p>
          <w:p w:rsidR="0024248D" w:rsidRPr="007764FC" w:rsidRDefault="0024248D" w:rsidP="00E263CD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24248D" w:rsidRPr="007764FC" w:rsidRDefault="0024248D" w:rsidP="00E263C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764FC">
              <w:rPr>
                <w:b/>
                <w:sz w:val="28"/>
                <w:szCs w:val="28"/>
              </w:rPr>
              <w:t>Витрати (підсумок)</w:t>
            </w:r>
          </w:p>
          <w:p w:rsidR="0024248D" w:rsidRPr="007764FC" w:rsidRDefault="0024248D" w:rsidP="00E263C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4248D" w:rsidRPr="007764FC" w:rsidRDefault="0024248D" w:rsidP="00E263CD">
            <w:pPr>
              <w:ind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b/>
                <w:sz w:val="28"/>
                <w:szCs w:val="28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E263CD" w:rsidRPr="007764FC" w:rsidTr="009B711F">
        <w:tc>
          <w:tcPr>
            <w:tcW w:w="2108" w:type="dxa"/>
            <w:shd w:val="clear" w:color="auto" w:fill="auto"/>
          </w:tcPr>
          <w:p w:rsidR="0024248D" w:rsidRPr="007764FC" w:rsidRDefault="0024248D" w:rsidP="00E263CD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E263CD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Альтернатива 1</w:t>
            </w:r>
          </w:p>
          <w:p w:rsidR="0024248D" w:rsidRPr="007764FC" w:rsidRDefault="0024248D" w:rsidP="00E263CD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FD5D2F" w:rsidRPr="002B6A72" w:rsidRDefault="00FD5D2F" w:rsidP="00FD5D2F">
            <w:pPr>
              <w:rPr>
                <w:rFonts w:eastAsia="Times New Roman"/>
                <w:sz w:val="28"/>
                <w:szCs w:val="28"/>
              </w:rPr>
            </w:pPr>
            <w:r w:rsidRPr="007764FC">
              <w:rPr>
                <w:rFonts w:eastAsia="Times New Roman"/>
                <w:sz w:val="28"/>
                <w:szCs w:val="28"/>
              </w:rPr>
              <w:t xml:space="preserve">проекту </w:t>
            </w:r>
            <w:r>
              <w:rPr>
                <w:rFonts w:eastAsia="Times New Roman"/>
                <w:sz w:val="28"/>
                <w:szCs w:val="28"/>
              </w:rPr>
              <w:t>наказу</w:t>
            </w:r>
            <w:r w:rsidRPr="007764F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Мінфіну </w:t>
            </w:r>
            <w:r w:rsidRPr="002B6A72">
              <w:rPr>
                <w:rFonts w:eastAsia="Times New Roman"/>
                <w:sz w:val="28"/>
                <w:szCs w:val="28"/>
              </w:rPr>
              <w:t>«Про затвердження Порядку обміну інформацією між Міністерством фінансів України та суб'єктами ринку природного газу»</w:t>
            </w:r>
          </w:p>
          <w:p w:rsidR="0024248D" w:rsidRPr="007764FC" w:rsidRDefault="0024248D" w:rsidP="00E263CD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2962" w:type="dxa"/>
            <w:shd w:val="clear" w:color="auto" w:fill="auto"/>
          </w:tcPr>
          <w:p w:rsidR="00E263CD" w:rsidRPr="007764FC" w:rsidRDefault="00E263CD" w:rsidP="00E263CD">
            <w:pPr>
              <w:pStyle w:val="1"/>
              <w:spacing w:after="120"/>
              <w:ind w:left="-51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4248D" w:rsidRPr="007764FC" w:rsidRDefault="00E263CD" w:rsidP="00C93E02">
            <w:pPr>
              <w:pStyle w:val="1"/>
              <w:spacing w:after="120"/>
              <w:ind w:left="-51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64F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Уніфікація формату обміну даними. </w:t>
            </w:r>
          </w:p>
        </w:tc>
        <w:tc>
          <w:tcPr>
            <w:tcW w:w="1701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Відсутні</w:t>
            </w:r>
          </w:p>
        </w:tc>
        <w:tc>
          <w:tcPr>
            <w:tcW w:w="3402" w:type="dxa"/>
            <w:shd w:val="clear" w:color="auto" w:fill="auto"/>
          </w:tcPr>
          <w:p w:rsidR="0024248D" w:rsidRPr="007764FC" w:rsidRDefault="00C93E02" w:rsidP="00CC13D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before="28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Забезпечить виконання  умов п.3 постанови Кабінету Мініс</w:t>
            </w:r>
            <w:r w:rsidR="002C0F23">
              <w:rPr>
                <w:sz w:val="28"/>
                <w:szCs w:val="28"/>
              </w:rPr>
              <w:t>трів України від 30.01.2019 №63</w:t>
            </w:r>
          </w:p>
        </w:tc>
      </w:tr>
      <w:tr w:rsidR="00E263CD" w:rsidRPr="007764FC" w:rsidTr="009B711F">
        <w:tc>
          <w:tcPr>
            <w:tcW w:w="2108" w:type="dxa"/>
            <w:shd w:val="clear" w:color="auto" w:fill="auto"/>
          </w:tcPr>
          <w:p w:rsidR="0024248D" w:rsidRPr="007764FC" w:rsidRDefault="0024248D" w:rsidP="009B711F">
            <w:pPr>
              <w:ind w:firstLine="0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Альтернатива 2</w:t>
            </w:r>
          </w:p>
          <w:p w:rsidR="0024248D" w:rsidRPr="007764FC" w:rsidRDefault="0024248D" w:rsidP="009B711F">
            <w:pPr>
              <w:ind w:firstLine="0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Залишення існуючої ситуації без змін</w:t>
            </w:r>
          </w:p>
          <w:p w:rsidR="0024248D" w:rsidRPr="007764FC" w:rsidRDefault="0024248D" w:rsidP="009B711F">
            <w:pPr>
              <w:ind w:firstLine="0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7764FC">
              <w:rPr>
                <w:rFonts w:eastAsia="Times New Roman"/>
                <w:sz w:val="28"/>
                <w:szCs w:val="28"/>
                <w:lang w:eastAsia="uk-UA"/>
              </w:rPr>
              <w:t>Не передбачається</w:t>
            </w:r>
          </w:p>
        </w:tc>
        <w:tc>
          <w:tcPr>
            <w:tcW w:w="1701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shd w:val="clear" w:color="auto" w:fill="auto"/>
          </w:tcPr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4248D" w:rsidRPr="007764FC" w:rsidRDefault="0024248D" w:rsidP="009B711F">
            <w:pPr>
              <w:ind w:firstLine="0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</w:tbl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r w:rsidRPr="007764FC">
        <w:rPr>
          <w:rFonts w:eastAsia="Times New Roman"/>
          <w:b/>
          <w:sz w:val="28"/>
          <w:szCs w:val="28"/>
        </w:rPr>
        <w:t>V. Механізми та заходи, які забезпечать розв'язання визначеної проблеми</w:t>
      </w:r>
    </w:p>
    <w:p w:rsidR="0024248D" w:rsidRPr="007764FC" w:rsidRDefault="0024248D" w:rsidP="00CC13D4">
      <w:pPr>
        <w:ind w:firstLine="567"/>
        <w:rPr>
          <w:sz w:val="28"/>
          <w:szCs w:val="28"/>
        </w:rPr>
      </w:pPr>
      <w:r w:rsidRPr="007764FC">
        <w:rPr>
          <w:sz w:val="28"/>
          <w:szCs w:val="28"/>
        </w:rPr>
        <w:t>Положеннями проекту</w:t>
      </w:r>
      <w:r w:rsidR="00FD5D2F">
        <w:rPr>
          <w:sz w:val="28"/>
          <w:szCs w:val="28"/>
        </w:rPr>
        <w:t xml:space="preserve"> наказу</w:t>
      </w:r>
      <w:r w:rsidRPr="007764FC">
        <w:rPr>
          <w:sz w:val="28"/>
          <w:szCs w:val="28"/>
        </w:rPr>
        <w:t xml:space="preserve"> передбачено </w:t>
      </w:r>
      <w:r w:rsidR="00CC13D4" w:rsidRPr="007764FC">
        <w:rPr>
          <w:sz w:val="28"/>
          <w:szCs w:val="28"/>
        </w:rPr>
        <w:t xml:space="preserve">визначення </w:t>
      </w:r>
      <w:r w:rsidR="00FD5D2F">
        <w:rPr>
          <w:sz w:val="28"/>
          <w:szCs w:val="28"/>
        </w:rPr>
        <w:t xml:space="preserve">технічних </w:t>
      </w:r>
      <w:r w:rsidR="00CC13D4" w:rsidRPr="007764FC">
        <w:rPr>
          <w:sz w:val="28"/>
          <w:szCs w:val="28"/>
        </w:rPr>
        <w:t>умов</w:t>
      </w:r>
      <w:r w:rsidR="00542F3A" w:rsidRPr="007764FC">
        <w:rPr>
          <w:sz w:val="28"/>
          <w:szCs w:val="28"/>
        </w:rPr>
        <w:t xml:space="preserve"> </w:t>
      </w:r>
      <w:r w:rsidR="00FD5D2F">
        <w:rPr>
          <w:sz w:val="28"/>
          <w:szCs w:val="28"/>
        </w:rPr>
        <w:t xml:space="preserve">обміну інформацією </w:t>
      </w:r>
      <w:r w:rsidR="00CC13D4" w:rsidRPr="007764FC">
        <w:rPr>
          <w:sz w:val="28"/>
          <w:szCs w:val="28"/>
        </w:rPr>
        <w:t xml:space="preserve">, її зберігання та захисту. </w:t>
      </w:r>
    </w:p>
    <w:p w:rsidR="0024248D" w:rsidRPr="007764FC" w:rsidRDefault="00FD5D2F" w:rsidP="0024248D">
      <w:pPr>
        <w:pStyle w:val="a4"/>
        <w:spacing w:before="0" w:after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Цей регуляторний акт підлягає реєстрації в Мінюсті</w:t>
      </w:r>
      <w:r w:rsidR="0024248D" w:rsidRPr="007764FC">
        <w:rPr>
          <w:sz w:val="28"/>
          <w:szCs w:val="28"/>
          <w:lang w:val="uk-UA"/>
        </w:rPr>
        <w:t>.</w:t>
      </w:r>
    </w:p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7764FC">
        <w:rPr>
          <w:rFonts w:eastAsia="Times New Roman"/>
          <w:b/>
          <w:sz w:val="28"/>
          <w:szCs w:val="28"/>
        </w:rPr>
        <w:t xml:space="preserve">VI. Оцінка виконання вимог регуляторного </w:t>
      </w:r>
      <w:proofErr w:type="spellStart"/>
      <w:r w:rsidRPr="007764FC">
        <w:rPr>
          <w:rFonts w:eastAsia="Times New Roman"/>
          <w:b/>
          <w:sz w:val="28"/>
          <w:szCs w:val="28"/>
        </w:rPr>
        <w:t>акта</w:t>
      </w:r>
      <w:proofErr w:type="spellEnd"/>
      <w:r w:rsidRPr="007764FC">
        <w:rPr>
          <w:rFonts w:eastAsia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24248D" w:rsidRDefault="0024248D" w:rsidP="0024248D">
      <w:pPr>
        <w:spacing w:before="100" w:beforeAutospacing="1" w:after="100" w:afterAutospacing="1"/>
        <w:ind w:firstLine="709"/>
        <w:outlineLvl w:val="2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  Додаткові витрати на виконання вимог регуляторного </w:t>
      </w:r>
      <w:proofErr w:type="spellStart"/>
      <w:r w:rsidRPr="007764FC">
        <w:rPr>
          <w:rFonts w:eastAsia="Times New Roman"/>
          <w:sz w:val="28"/>
          <w:szCs w:val="28"/>
        </w:rPr>
        <w:t>акта</w:t>
      </w:r>
      <w:proofErr w:type="spellEnd"/>
      <w:r w:rsidRPr="007764FC">
        <w:rPr>
          <w:rFonts w:eastAsia="Times New Roman"/>
          <w:sz w:val="28"/>
          <w:szCs w:val="28"/>
        </w:rPr>
        <w:t xml:space="preserve"> </w:t>
      </w:r>
      <w:r w:rsidR="000B7AC8" w:rsidRPr="007764FC">
        <w:rPr>
          <w:rFonts w:eastAsia="Times New Roman"/>
          <w:sz w:val="28"/>
          <w:szCs w:val="28"/>
        </w:rPr>
        <w:t xml:space="preserve">Мінфіном </w:t>
      </w:r>
      <w:r w:rsidRPr="007764FC">
        <w:rPr>
          <w:rFonts w:eastAsia="Times New Roman"/>
          <w:sz w:val="28"/>
          <w:szCs w:val="28"/>
        </w:rPr>
        <w:t xml:space="preserve"> не передбачаються.</w:t>
      </w:r>
    </w:p>
    <w:p w:rsidR="000C68FE" w:rsidRPr="007764FC" w:rsidRDefault="000C68FE" w:rsidP="0024248D">
      <w:pPr>
        <w:spacing w:before="100" w:beforeAutospacing="1" w:after="100" w:afterAutospacing="1"/>
        <w:ind w:firstLine="709"/>
        <w:outlineLvl w:val="2"/>
        <w:rPr>
          <w:rFonts w:eastAsia="Times New Roman"/>
          <w:sz w:val="28"/>
          <w:szCs w:val="28"/>
        </w:rPr>
      </w:pPr>
    </w:p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r w:rsidRPr="007764FC">
        <w:rPr>
          <w:rFonts w:eastAsia="Times New Roman"/>
          <w:b/>
          <w:sz w:val="28"/>
          <w:szCs w:val="28"/>
        </w:rPr>
        <w:lastRenderedPageBreak/>
        <w:t xml:space="preserve">VII. Обґрунтування запропонованого строку дії регуляторного </w:t>
      </w:r>
      <w:proofErr w:type="spellStart"/>
      <w:r w:rsidRPr="007764FC">
        <w:rPr>
          <w:rFonts w:eastAsia="Times New Roman"/>
          <w:b/>
          <w:sz w:val="28"/>
          <w:szCs w:val="28"/>
        </w:rPr>
        <w:t>акта</w:t>
      </w:r>
      <w:proofErr w:type="spellEnd"/>
    </w:p>
    <w:p w:rsidR="00321DF4" w:rsidRDefault="0024248D" w:rsidP="0024248D">
      <w:pPr>
        <w:ind w:firstLine="567"/>
        <w:rPr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    </w:t>
      </w:r>
      <w:r w:rsidR="00FD5D2F">
        <w:rPr>
          <w:rFonts w:eastAsia="Times New Roman"/>
          <w:sz w:val="28"/>
          <w:szCs w:val="28"/>
        </w:rPr>
        <w:t xml:space="preserve">Наказ </w:t>
      </w:r>
      <w:r w:rsidRPr="007764FC">
        <w:rPr>
          <w:rFonts w:eastAsia="Times New Roman"/>
          <w:sz w:val="28"/>
          <w:szCs w:val="28"/>
        </w:rPr>
        <w:t xml:space="preserve"> набирає чинності з дня </w:t>
      </w:r>
      <w:r w:rsidR="00FD5D2F">
        <w:rPr>
          <w:rFonts w:eastAsia="Times New Roman"/>
          <w:sz w:val="28"/>
          <w:szCs w:val="28"/>
        </w:rPr>
        <w:t xml:space="preserve">його </w:t>
      </w:r>
      <w:r w:rsidR="00321DF4">
        <w:rPr>
          <w:rFonts w:eastAsia="Times New Roman"/>
          <w:sz w:val="28"/>
          <w:szCs w:val="28"/>
        </w:rPr>
        <w:t xml:space="preserve"> офіційного опублікування </w:t>
      </w:r>
      <w:r w:rsidRPr="007764FC">
        <w:rPr>
          <w:rFonts w:eastAsia="Times New Roman"/>
          <w:sz w:val="28"/>
          <w:szCs w:val="28"/>
        </w:rPr>
        <w:t xml:space="preserve"> та діє на період </w:t>
      </w:r>
      <w:r w:rsidR="000B7AC8" w:rsidRPr="007764FC">
        <w:rPr>
          <w:sz w:val="28"/>
          <w:szCs w:val="28"/>
        </w:rPr>
        <w:t xml:space="preserve">дії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</w:t>
      </w:r>
    </w:p>
    <w:p w:rsidR="0024248D" w:rsidRPr="007764FC" w:rsidRDefault="00321DF4" w:rsidP="0024248D">
      <w:pPr>
        <w:ind w:firstLine="567"/>
        <w:rPr>
          <w:sz w:val="28"/>
          <w:szCs w:val="28"/>
        </w:rPr>
      </w:pPr>
      <w:r w:rsidRPr="007063D4">
        <w:rPr>
          <w:sz w:val="28"/>
          <w:szCs w:val="28"/>
        </w:rPr>
        <w:t>Зміна терміну дії акту можлива в разі зміни правових актів , на виконання вимог яких створюється наказ</w:t>
      </w:r>
      <w:r>
        <w:rPr>
          <w:sz w:val="28"/>
          <w:szCs w:val="28"/>
        </w:rPr>
        <w:t>.</w:t>
      </w:r>
    </w:p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r w:rsidRPr="007764FC">
        <w:rPr>
          <w:rFonts w:eastAsia="Times New Roman"/>
          <w:b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7764FC">
        <w:rPr>
          <w:rFonts w:eastAsia="Times New Roman"/>
          <w:b/>
          <w:sz w:val="28"/>
          <w:szCs w:val="28"/>
        </w:rPr>
        <w:t>акта</w:t>
      </w:r>
      <w:proofErr w:type="spellEnd"/>
    </w:p>
    <w:p w:rsidR="0024248D" w:rsidRPr="007764FC" w:rsidRDefault="0024248D" w:rsidP="0024248D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 xml:space="preserve">Прогнозовані показники результативності регуляторного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Pr="007764FC">
        <w:rPr>
          <w:rFonts w:eastAsia="Times New Roman"/>
          <w:sz w:val="28"/>
          <w:szCs w:val="28"/>
          <w:lang w:eastAsia="uk-UA"/>
        </w:rPr>
        <w:t>:</w:t>
      </w:r>
    </w:p>
    <w:p w:rsidR="0024248D" w:rsidRPr="007764FC" w:rsidRDefault="0024248D" w:rsidP="00542F3A">
      <w:pPr>
        <w:shd w:val="clear" w:color="auto" w:fill="FFFFFF"/>
        <w:tabs>
          <w:tab w:val="left" w:pos="6804"/>
        </w:tabs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>а) розмір надходжень до державного та місцевих бюджетів, цільових фондів – не зміниться</w:t>
      </w:r>
      <w:r w:rsidR="00FF4F7C" w:rsidRPr="007764FC">
        <w:rPr>
          <w:rFonts w:eastAsia="Times New Roman"/>
          <w:sz w:val="28"/>
          <w:szCs w:val="28"/>
          <w:lang w:eastAsia="uk-UA"/>
        </w:rPr>
        <w:t>;</w:t>
      </w:r>
      <w:r w:rsidRPr="007764FC">
        <w:rPr>
          <w:rFonts w:eastAsia="Times New Roman"/>
          <w:sz w:val="28"/>
          <w:szCs w:val="28"/>
          <w:lang w:eastAsia="uk-UA"/>
        </w:rPr>
        <w:t xml:space="preserve"> </w:t>
      </w:r>
    </w:p>
    <w:p w:rsidR="0024248D" w:rsidRPr="007764FC" w:rsidRDefault="0024248D" w:rsidP="00542F3A">
      <w:pPr>
        <w:shd w:val="clear" w:color="auto" w:fill="FFFFFF"/>
        <w:tabs>
          <w:tab w:val="left" w:pos="6804"/>
        </w:tabs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 xml:space="preserve">б) кількість суб’єктів господарювання, та/або фізичних осіб, на які поширюватиметься дія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Pr="007764FC">
        <w:rPr>
          <w:rFonts w:eastAsia="Times New Roman"/>
          <w:sz w:val="28"/>
          <w:szCs w:val="28"/>
          <w:lang w:eastAsia="uk-UA"/>
        </w:rPr>
        <w:t xml:space="preserve"> - дія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Pr="007764FC">
        <w:rPr>
          <w:rFonts w:eastAsia="Times New Roman"/>
          <w:sz w:val="28"/>
          <w:szCs w:val="28"/>
          <w:lang w:eastAsia="uk-UA"/>
        </w:rPr>
        <w:t xml:space="preserve"> поширюється </w:t>
      </w:r>
      <w:r w:rsidR="000B7AC8" w:rsidRPr="007764FC">
        <w:rPr>
          <w:rFonts w:eastAsia="Times New Roman"/>
          <w:sz w:val="28"/>
          <w:szCs w:val="28"/>
          <w:lang w:eastAsia="uk-UA"/>
        </w:rPr>
        <w:t>на</w:t>
      </w:r>
      <w:r w:rsidR="00321DF4">
        <w:rPr>
          <w:rFonts w:eastAsia="Times New Roman"/>
          <w:sz w:val="28"/>
          <w:szCs w:val="28"/>
          <w:lang w:eastAsia="uk-UA"/>
        </w:rPr>
        <w:t xml:space="preserve"> </w:t>
      </w:r>
      <w:r w:rsidR="000B7AC8" w:rsidRPr="007764FC">
        <w:rPr>
          <w:rFonts w:eastAsia="Times New Roman"/>
          <w:sz w:val="28"/>
          <w:szCs w:val="28"/>
          <w:lang w:eastAsia="uk-UA"/>
        </w:rPr>
        <w:t xml:space="preserve"> операторів газорозподільних мереж </w:t>
      </w:r>
      <w:r w:rsidRPr="007764FC">
        <w:rPr>
          <w:rFonts w:eastAsia="Times New Roman"/>
          <w:sz w:val="28"/>
          <w:szCs w:val="28"/>
          <w:lang w:eastAsia="uk-UA"/>
        </w:rPr>
        <w:t>із спеціальними обов’язками</w:t>
      </w:r>
      <w:r w:rsidR="00FF4F7C" w:rsidRPr="007764FC">
        <w:rPr>
          <w:rFonts w:eastAsia="Times New Roman"/>
          <w:sz w:val="28"/>
          <w:szCs w:val="28"/>
          <w:lang w:eastAsia="uk-UA"/>
        </w:rPr>
        <w:t>;</w:t>
      </w:r>
      <w:r w:rsidRPr="007764FC">
        <w:rPr>
          <w:rFonts w:eastAsia="Times New Roman"/>
          <w:sz w:val="28"/>
          <w:szCs w:val="28"/>
          <w:lang w:eastAsia="uk-UA"/>
        </w:rPr>
        <w:t xml:space="preserve"> </w:t>
      </w:r>
    </w:p>
    <w:p w:rsidR="0024248D" w:rsidRPr="007764FC" w:rsidRDefault="0024248D" w:rsidP="00542F3A">
      <w:pPr>
        <w:shd w:val="clear" w:color="auto" w:fill="FFFFFF"/>
        <w:tabs>
          <w:tab w:val="left" w:pos="6804"/>
        </w:tabs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 xml:space="preserve">в) розмір коштів, що витрачатимуться суб’єктами господарювання, та/або фізичними особами, пов’язаними з виконанням вимог цього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="00496230" w:rsidRPr="007764FC">
        <w:rPr>
          <w:rFonts w:eastAsia="Times New Roman"/>
          <w:sz w:val="28"/>
          <w:szCs w:val="28"/>
          <w:lang w:eastAsia="uk-UA"/>
        </w:rPr>
        <w:t xml:space="preserve"> </w:t>
      </w:r>
      <w:r w:rsidRPr="007764FC">
        <w:rPr>
          <w:rFonts w:eastAsia="Times New Roman"/>
          <w:sz w:val="28"/>
          <w:szCs w:val="28"/>
          <w:lang w:eastAsia="uk-UA"/>
        </w:rPr>
        <w:t>-</w:t>
      </w:r>
      <w:r w:rsidR="00496230" w:rsidRPr="007764FC">
        <w:rPr>
          <w:rFonts w:eastAsia="Times New Roman"/>
          <w:sz w:val="28"/>
          <w:szCs w:val="28"/>
          <w:lang w:eastAsia="uk-UA"/>
        </w:rPr>
        <w:t xml:space="preserve"> </w:t>
      </w:r>
      <w:r w:rsidRPr="007764FC">
        <w:rPr>
          <w:rFonts w:eastAsia="Times New Roman"/>
          <w:sz w:val="28"/>
          <w:szCs w:val="28"/>
          <w:lang w:eastAsia="uk-UA"/>
        </w:rPr>
        <w:t xml:space="preserve">виконання вимог цього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Pr="007764FC">
        <w:rPr>
          <w:rFonts w:eastAsia="Times New Roman"/>
          <w:sz w:val="28"/>
          <w:szCs w:val="28"/>
          <w:lang w:eastAsia="uk-UA"/>
        </w:rPr>
        <w:t xml:space="preserve"> не потребує додаткових витрат</w:t>
      </w:r>
      <w:r w:rsidR="00FF4F7C" w:rsidRPr="007764FC">
        <w:rPr>
          <w:rFonts w:eastAsia="Times New Roman"/>
          <w:sz w:val="28"/>
          <w:szCs w:val="28"/>
          <w:lang w:eastAsia="uk-UA"/>
        </w:rPr>
        <w:t>;</w:t>
      </w:r>
      <w:r w:rsidRPr="007764FC">
        <w:rPr>
          <w:rFonts w:eastAsia="Times New Roman"/>
          <w:sz w:val="28"/>
          <w:szCs w:val="28"/>
          <w:lang w:eastAsia="uk-UA"/>
        </w:rPr>
        <w:t xml:space="preserve"> </w:t>
      </w:r>
    </w:p>
    <w:p w:rsidR="0024248D" w:rsidRPr="007764FC" w:rsidRDefault="0024248D" w:rsidP="00542F3A">
      <w:pPr>
        <w:shd w:val="clear" w:color="auto" w:fill="FFFFFF"/>
        <w:tabs>
          <w:tab w:val="left" w:pos="6804"/>
        </w:tabs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>г) рівень інформованості суб’єктів господарювання стосовно основних положе</w:t>
      </w:r>
      <w:r w:rsidR="009232D4" w:rsidRPr="007764FC">
        <w:rPr>
          <w:rFonts w:eastAsia="Times New Roman"/>
          <w:sz w:val="28"/>
          <w:szCs w:val="28"/>
          <w:lang w:eastAsia="uk-UA"/>
        </w:rPr>
        <w:t xml:space="preserve">нь регуляторного </w:t>
      </w:r>
      <w:proofErr w:type="spellStart"/>
      <w:r w:rsidR="009232D4"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="009232D4" w:rsidRPr="007764FC">
        <w:rPr>
          <w:rFonts w:eastAsia="Times New Roman"/>
          <w:sz w:val="28"/>
          <w:szCs w:val="28"/>
          <w:lang w:eastAsia="uk-UA"/>
        </w:rPr>
        <w:t xml:space="preserve"> – високий;</w:t>
      </w:r>
    </w:p>
    <w:p w:rsidR="0024248D" w:rsidRPr="007764FC" w:rsidRDefault="0024248D" w:rsidP="00542F3A">
      <w:pPr>
        <w:shd w:val="clear" w:color="auto" w:fill="FFFFFF"/>
        <w:tabs>
          <w:tab w:val="left" w:pos="6804"/>
        </w:tabs>
        <w:ind w:firstLine="709"/>
        <w:textAlignment w:val="baseline"/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>е)</w:t>
      </w:r>
      <w:r w:rsidR="009232D4" w:rsidRPr="007764FC">
        <w:rPr>
          <w:rFonts w:eastAsia="Times New Roman"/>
          <w:sz w:val="28"/>
          <w:szCs w:val="28"/>
          <w:lang w:eastAsia="uk-UA"/>
        </w:rPr>
        <w:t xml:space="preserve"> кількість суб’єктів господарювання, які успішно подали інформацію відповідно до Порядку та Положення.</w:t>
      </w:r>
    </w:p>
    <w:p w:rsidR="0024248D" w:rsidRPr="007764FC" w:rsidRDefault="0024248D" w:rsidP="00FF4F7C">
      <w:pPr>
        <w:rPr>
          <w:rFonts w:eastAsia="Times New Roman"/>
          <w:sz w:val="28"/>
          <w:szCs w:val="28"/>
          <w:lang w:eastAsia="uk-UA"/>
        </w:rPr>
      </w:pPr>
      <w:r w:rsidRPr="007764FC">
        <w:rPr>
          <w:rFonts w:eastAsia="Times New Roman"/>
          <w:sz w:val="28"/>
          <w:szCs w:val="28"/>
          <w:lang w:eastAsia="uk-UA"/>
        </w:rPr>
        <w:t xml:space="preserve">Проект регуляторного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Pr="007764FC">
        <w:rPr>
          <w:rFonts w:eastAsia="Times New Roman"/>
          <w:sz w:val="28"/>
          <w:szCs w:val="28"/>
          <w:lang w:eastAsia="uk-UA"/>
        </w:rPr>
        <w:t xml:space="preserve"> та відповідний аналіз регуляторного впливу розміщено на офіційному веб – сайті Мін</w:t>
      </w:r>
      <w:r w:rsidR="00FF4F7C" w:rsidRPr="007764FC">
        <w:rPr>
          <w:rFonts w:eastAsia="Times New Roman"/>
          <w:sz w:val="28"/>
          <w:szCs w:val="28"/>
          <w:lang w:eastAsia="uk-UA"/>
        </w:rPr>
        <w:t xml:space="preserve">фіну </w:t>
      </w:r>
      <w:r w:rsidRPr="007764FC">
        <w:rPr>
          <w:rFonts w:eastAsia="Times New Roman"/>
          <w:sz w:val="28"/>
          <w:szCs w:val="28"/>
          <w:lang w:eastAsia="uk-UA"/>
        </w:rPr>
        <w:t xml:space="preserve"> в мережі Інтернет </w:t>
      </w:r>
      <w:hyperlink r:id="rId6" w:history="1">
        <w:r w:rsidR="00FF4F7C" w:rsidRPr="007764FC">
          <w:rPr>
            <w:rStyle w:val="a6"/>
            <w:color w:val="auto"/>
            <w:sz w:val="28"/>
            <w:szCs w:val="28"/>
            <w:u w:val="none"/>
          </w:rPr>
          <w:t>https://www.minfin.gov.ua/</w:t>
        </w:r>
      </w:hyperlink>
      <w:r w:rsidRPr="007764FC">
        <w:rPr>
          <w:rFonts w:eastAsia="Times New Roman"/>
          <w:sz w:val="28"/>
          <w:szCs w:val="28"/>
          <w:lang w:eastAsia="uk-UA"/>
        </w:rPr>
        <w:t xml:space="preserve">. </w:t>
      </w:r>
      <w:r w:rsidR="00FF4F7C" w:rsidRPr="007764FC">
        <w:rPr>
          <w:rFonts w:eastAsia="Times New Roman"/>
          <w:sz w:val="28"/>
          <w:szCs w:val="28"/>
          <w:lang w:eastAsia="uk-UA"/>
        </w:rPr>
        <w:t>Мінфін</w:t>
      </w:r>
      <w:r w:rsidRPr="007764FC">
        <w:rPr>
          <w:rFonts w:eastAsia="Times New Roman"/>
          <w:sz w:val="28"/>
          <w:szCs w:val="28"/>
          <w:lang w:eastAsia="uk-UA"/>
        </w:rPr>
        <w:t xml:space="preserve"> надає необхідні роз’яснення щодо </w:t>
      </w:r>
      <w:r w:rsidR="00FD5D2F" w:rsidRPr="007764FC">
        <w:rPr>
          <w:rFonts w:eastAsia="Times New Roman"/>
          <w:sz w:val="28"/>
          <w:szCs w:val="28"/>
          <w:lang w:eastAsia="uk-UA"/>
        </w:rPr>
        <w:t>застосування</w:t>
      </w:r>
      <w:r w:rsidR="00FD5D2F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7764FC">
        <w:rPr>
          <w:rFonts w:eastAsia="Times New Roman"/>
          <w:sz w:val="28"/>
          <w:szCs w:val="28"/>
          <w:lang w:eastAsia="uk-UA"/>
        </w:rPr>
        <w:t>акта</w:t>
      </w:r>
      <w:proofErr w:type="spellEnd"/>
      <w:r w:rsidR="00FD5D2F">
        <w:rPr>
          <w:rFonts w:eastAsia="Times New Roman"/>
          <w:sz w:val="28"/>
          <w:szCs w:val="28"/>
          <w:lang w:eastAsia="uk-UA"/>
        </w:rPr>
        <w:t>.</w:t>
      </w:r>
    </w:p>
    <w:p w:rsidR="0024248D" w:rsidRPr="007764FC" w:rsidRDefault="0024248D" w:rsidP="0024248D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r w:rsidRPr="007764FC">
        <w:rPr>
          <w:rFonts w:eastAsia="Times New Roman"/>
          <w:b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764FC">
        <w:rPr>
          <w:rFonts w:eastAsia="Times New Roman"/>
          <w:b/>
          <w:sz w:val="28"/>
          <w:szCs w:val="28"/>
        </w:rPr>
        <w:t>акта</w:t>
      </w:r>
      <w:proofErr w:type="spellEnd"/>
    </w:p>
    <w:p w:rsidR="0024248D" w:rsidRPr="007764FC" w:rsidRDefault="0024248D" w:rsidP="0024248D">
      <w:pPr>
        <w:spacing w:before="100" w:beforeAutospacing="1" w:after="100" w:afterAutospacing="1"/>
        <w:ind w:firstLine="709"/>
        <w:contextualSpacing/>
        <w:outlineLvl w:val="2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7764FC">
        <w:rPr>
          <w:rFonts w:eastAsia="Times New Roman"/>
          <w:sz w:val="28"/>
          <w:szCs w:val="28"/>
        </w:rPr>
        <w:t>акта</w:t>
      </w:r>
      <w:proofErr w:type="spellEnd"/>
      <w:r w:rsidRPr="007764FC">
        <w:rPr>
          <w:rFonts w:eastAsia="Times New Roman"/>
          <w:sz w:val="28"/>
          <w:szCs w:val="28"/>
        </w:rPr>
        <w:t xml:space="preserve"> будуть здійснюватися </w:t>
      </w:r>
      <w:r w:rsidR="00FF4F7C" w:rsidRPr="007764FC">
        <w:rPr>
          <w:rFonts w:eastAsia="Times New Roman"/>
          <w:sz w:val="28"/>
          <w:szCs w:val="28"/>
        </w:rPr>
        <w:t xml:space="preserve">Мінфіном </w:t>
      </w:r>
      <w:r w:rsidRPr="007764FC">
        <w:rPr>
          <w:rFonts w:eastAsia="Times New Roman"/>
          <w:sz w:val="28"/>
          <w:szCs w:val="28"/>
        </w:rPr>
        <w:t xml:space="preserve"> статистичним методом, шляхом проведення моніторингу </w:t>
      </w:r>
      <w:r w:rsidR="00FF4F7C" w:rsidRPr="007764FC">
        <w:rPr>
          <w:rFonts w:eastAsia="Times New Roman"/>
          <w:sz w:val="28"/>
          <w:szCs w:val="28"/>
        </w:rPr>
        <w:t xml:space="preserve">надання відповідної інформації </w:t>
      </w:r>
      <w:r w:rsidR="00E42D19" w:rsidRPr="007764FC">
        <w:rPr>
          <w:rFonts w:eastAsia="Times New Roman"/>
          <w:sz w:val="28"/>
          <w:szCs w:val="28"/>
        </w:rPr>
        <w:t xml:space="preserve">суб’єктами </w:t>
      </w:r>
      <w:r w:rsidRPr="007764FC">
        <w:rPr>
          <w:rFonts w:eastAsia="Times New Roman"/>
          <w:sz w:val="28"/>
          <w:szCs w:val="28"/>
        </w:rPr>
        <w:t>природного газу в Україні.</w:t>
      </w:r>
    </w:p>
    <w:p w:rsidR="0024248D" w:rsidRPr="007764FC" w:rsidRDefault="0024248D" w:rsidP="0024248D">
      <w:pPr>
        <w:spacing w:before="100" w:beforeAutospacing="1" w:after="100" w:afterAutospacing="1"/>
        <w:ind w:firstLine="709"/>
        <w:contextualSpacing/>
        <w:outlineLvl w:val="2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Базове відстеження результативності </w:t>
      </w:r>
      <w:proofErr w:type="spellStart"/>
      <w:r w:rsidRPr="007764FC">
        <w:rPr>
          <w:rFonts w:eastAsia="Times New Roman"/>
          <w:sz w:val="28"/>
          <w:szCs w:val="28"/>
        </w:rPr>
        <w:t>акта</w:t>
      </w:r>
      <w:proofErr w:type="spellEnd"/>
      <w:r w:rsidRPr="007764FC">
        <w:rPr>
          <w:rFonts w:eastAsia="Times New Roman"/>
          <w:sz w:val="28"/>
          <w:szCs w:val="28"/>
        </w:rPr>
        <w:t xml:space="preserve"> здій</w:t>
      </w:r>
      <w:r w:rsidR="00A459C1" w:rsidRPr="007764FC">
        <w:rPr>
          <w:rFonts w:eastAsia="Times New Roman"/>
          <w:sz w:val="28"/>
          <w:szCs w:val="28"/>
        </w:rPr>
        <w:t>снюватиметься через шість місяців</w:t>
      </w:r>
      <w:r w:rsidRPr="007764FC">
        <w:rPr>
          <w:rFonts w:eastAsia="Times New Roman"/>
          <w:sz w:val="28"/>
          <w:szCs w:val="28"/>
        </w:rPr>
        <w:t xml:space="preserve"> з дня набрання ним чинності, шляхом аналізу статистичних даних, але не пізніше дня, з якого починається проведення повторного відст</w:t>
      </w:r>
      <w:r w:rsidR="00E42D19" w:rsidRPr="007764FC">
        <w:rPr>
          <w:rFonts w:eastAsia="Times New Roman"/>
          <w:sz w:val="28"/>
          <w:szCs w:val="28"/>
        </w:rPr>
        <w:t xml:space="preserve">еження результативності цього </w:t>
      </w:r>
      <w:proofErr w:type="spellStart"/>
      <w:r w:rsidR="00E42D19" w:rsidRPr="007764FC">
        <w:rPr>
          <w:rFonts w:eastAsia="Times New Roman"/>
          <w:sz w:val="28"/>
          <w:szCs w:val="28"/>
        </w:rPr>
        <w:t>а</w:t>
      </w:r>
      <w:r w:rsidRPr="007764FC">
        <w:rPr>
          <w:rFonts w:eastAsia="Times New Roman"/>
          <w:sz w:val="28"/>
          <w:szCs w:val="28"/>
        </w:rPr>
        <w:t>к</w:t>
      </w:r>
      <w:r w:rsidR="00E42D19" w:rsidRPr="007764FC">
        <w:rPr>
          <w:rFonts w:eastAsia="Times New Roman"/>
          <w:sz w:val="28"/>
          <w:szCs w:val="28"/>
        </w:rPr>
        <w:t>т</w:t>
      </w:r>
      <w:r w:rsidRPr="007764FC">
        <w:rPr>
          <w:rFonts w:eastAsia="Times New Roman"/>
          <w:sz w:val="28"/>
          <w:szCs w:val="28"/>
        </w:rPr>
        <w:t>а</w:t>
      </w:r>
      <w:proofErr w:type="spellEnd"/>
      <w:r w:rsidRPr="007764FC">
        <w:rPr>
          <w:rFonts w:eastAsia="Times New Roman"/>
          <w:sz w:val="28"/>
          <w:szCs w:val="28"/>
        </w:rPr>
        <w:t>.</w:t>
      </w:r>
    </w:p>
    <w:p w:rsidR="0024248D" w:rsidRPr="007764FC" w:rsidRDefault="0024248D" w:rsidP="0024248D">
      <w:pPr>
        <w:spacing w:before="100" w:beforeAutospacing="1" w:after="100" w:afterAutospacing="1"/>
        <w:ind w:firstLine="709"/>
        <w:contextualSpacing/>
        <w:outlineLvl w:val="2"/>
        <w:rPr>
          <w:rFonts w:eastAsia="Times New Roman"/>
          <w:sz w:val="28"/>
          <w:szCs w:val="28"/>
        </w:rPr>
      </w:pPr>
      <w:r w:rsidRPr="007764FC">
        <w:rPr>
          <w:rFonts w:eastAsia="Times New Roman"/>
          <w:sz w:val="28"/>
          <w:szCs w:val="28"/>
        </w:rPr>
        <w:t xml:space="preserve">Повторне відстеження результативності проекту </w:t>
      </w:r>
      <w:proofErr w:type="spellStart"/>
      <w:r w:rsidRPr="007764FC">
        <w:rPr>
          <w:rFonts w:eastAsia="Times New Roman"/>
          <w:sz w:val="28"/>
          <w:szCs w:val="28"/>
        </w:rPr>
        <w:t>акта</w:t>
      </w:r>
      <w:proofErr w:type="spellEnd"/>
      <w:r w:rsidRPr="007764FC">
        <w:rPr>
          <w:rFonts w:eastAsia="Times New Roman"/>
          <w:sz w:val="28"/>
          <w:szCs w:val="28"/>
        </w:rPr>
        <w:t xml:space="preserve"> буде </w:t>
      </w:r>
      <w:r w:rsidR="00E42D19" w:rsidRPr="007764FC">
        <w:rPr>
          <w:rFonts w:eastAsia="Times New Roman"/>
          <w:sz w:val="28"/>
          <w:szCs w:val="28"/>
        </w:rPr>
        <w:t>здійснюватися</w:t>
      </w:r>
      <w:r w:rsidRPr="007764FC">
        <w:rPr>
          <w:rFonts w:eastAsia="Times New Roman"/>
          <w:sz w:val="28"/>
          <w:szCs w:val="28"/>
        </w:rPr>
        <w:t xml:space="preserve"> через </w:t>
      </w:r>
      <w:r w:rsidR="00A459C1" w:rsidRPr="007764FC">
        <w:rPr>
          <w:rFonts w:eastAsia="Times New Roman"/>
          <w:sz w:val="28"/>
          <w:szCs w:val="28"/>
        </w:rPr>
        <w:t>1</w:t>
      </w:r>
      <w:r w:rsidRPr="007764FC">
        <w:rPr>
          <w:rFonts w:eastAsia="Times New Roman"/>
          <w:sz w:val="28"/>
          <w:szCs w:val="28"/>
        </w:rPr>
        <w:t xml:space="preserve"> р</w:t>
      </w:r>
      <w:r w:rsidR="00A459C1" w:rsidRPr="007764FC">
        <w:rPr>
          <w:rFonts w:eastAsia="Times New Roman"/>
          <w:sz w:val="28"/>
          <w:szCs w:val="28"/>
        </w:rPr>
        <w:t>і</w:t>
      </w:r>
      <w:r w:rsidRPr="007764FC">
        <w:rPr>
          <w:rFonts w:eastAsia="Times New Roman"/>
          <w:sz w:val="28"/>
          <w:szCs w:val="28"/>
        </w:rPr>
        <w:t>к з дня набрання ним чинності, але не пізніше двох років з дня набрання чинності цим актом.</w:t>
      </w:r>
    </w:p>
    <w:p w:rsidR="0024248D" w:rsidRPr="007764FC" w:rsidRDefault="0024248D" w:rsidP="0024248D">
      <w:pPr>
        <w:spacing w:before="100" w:beforeAutospacing="1" w:after="100" w:afterAutospacing="1"/>
        <w:ind w:firstLine="0"/>
        <w:contextualSpacing/>
        <w:outlineLvl w:val="2"/>
        <w:rPr>
          <w:rFonts w:eastAsia="Times New Roman"/>
          <w:sz w:val="28"/>
          <w:szCs w:val="28"/>
        </w:rPr>
      </w:pPr>
    </w:p>
    <w:p w:rsidR="0024248D" w:rsidRPr="007764FC" w:rsidRDefault="00FF4F7C" w:rsidP="0024248D">
      <w:pPr>
        <w:ind w:firstLine="0"/>
        <w:rPr>
          <w:b/>
          <w:sz w:val="28"/>
          <w:szCs w:val="28"/>
        </w:rPr>
      </w:pPr>
      <w:r w:rsidRPr="007764FC">
        <w:rPr>
          <w:b/>
          <w:sz w:val="28"/>
          <w:szCs w:val="28"/>
        </w:rPr>
        <w:t>Міністр                                                                                          О.</w:t>
      </w:r>
      <w:r w:rsidR="00C93E02">
        <w:rPr>
          <w:b/>
          <w:sz w:val="28"/>
          <w:szCs w:val="28"/>
        </w:rPr>
        <w:t xml:space="preserve"> </w:t>
      </w:r>
      <w:r w:rsidRPr="007764FC">
        <w:rPr>
          <w:b/>
          <w:sz w:val="28"/>
          <w:szCs w:val="28"/>
        </w:rPr>
        <w:t>М</w:t>
      </w:r>
      <w:r w:rsidR="000C68FE" w:rsidRPr="007764FC">
        <w:rPr>
          <w:b/>
          <w:sz w:val="28"/>
          <w:szCs w:val="28"/>
        </w:rPr>
        <w:t>АРКАРОВА</w:t>
      </w:r>
    </w:p>
    <w:p w:rsidR="008A6ACC" w:rsidRPr="007764FC" w:rsidRDefault="008A6ACC">
      <w:pPr>
        <w:rPr>
          <w:sz w:val="28"/>
          <w:szCs w:val="28"/>
        </w:rPr>
      </w:pPr>
    </w:p>
    <w:sectPr w:rsidR="008A6ACC" w:rsidRPr="00776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1E0"/>
    <w:multiLevelType w:val="hybridMultilevel"/>
    <w:tmpl w:val="7B68E0EC"/>
    <w:lvl w:ilvl="0" w:tplc="00121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94019"/>
    <w:multiLevelType w:val="hybridMultilevel"/>
    <w:tmpl w:val="A708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0077C"/>
    <w:multiLevelType w:val="hybridMultilevel"/>
    <w:tmpl w:val="DEE6BC78"/>
    <w:lvl w:ilvl="0" w:tplc="76622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D"/>
    <w:rsid w:val="000B7AC8"/>
    <w:rsid w:val="000C68FE"/>
    <w:rsid w:val="0011376C"/>
    <w:rsid w:val="0024248D"/>
    <w:rsid w:val="002B6A72"/>
    <w:rsid w:val="002C0F23"/>
    <w:rsid w:val="00321DF4"/>
    <w:rsid w:val="00377CEB"/>
    <w:rsid w:val="003D6510"/>
    <w:rsid w:val="00437756"/>
    <w:rsid w:val="00494502"/>
    <w:rsid w:val="00496230"/>
    <w:rsid w:val="00542F3A"/>
    <w:rsid w:val="005619C2"/>
    <w:rsid w:val="00590FF5"/>
    <w:rsid w:val="00773E99"/>
    <w:rsid w:val="007764FC"/>
    <w:rsid w:val="0079644B"/>
    <w:rsid w:val="00892589"/>
    <w:rsid w:val="008A6ACC"/>
    <w:rsid w:val="009232D4"/>
    <w:rsid w:val="00996620"/>
    <w:rsid w:val="00A459C1"/>
    <w:rsid w:val="00A9080B"/>
    <w:rsid w:val="00AE0AD6"/>
    <w:rsid w:val="00BA1D9E"/>
    <w:rsid w:val="00BE7FC7"/>
    <w:rsid w:val="00C93E02"/>
    <w:rsid w:val="00CA07ED"/>
    <w:rsid w:val="00CA1489"/>
    <w:rsid w:val="00CB50C6"/>
    <w:rsid w:val="00CC13D4"/>
    <w:rsid w:val="00D55D3E"/>
    <w:rsid w:val="00E01C62"/>
    <w:rsid w:val="00E263CD"/>
    <w:rsid w:val="00E3110D"/>
    <w:rsid w:val="00E42D19"/>
    <w:rsid w:val="00E664A8"/>
    <w:rsid w:val="00FD5D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60DC"/>
  <w15:docId w15:val="{8243854E-8046-41AC-A8E1-AD3BF6C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8D"/>
    <w:pPr>
      <w:spacing w:after="0" w:line="240" w:lineRule="auto"/>
      <w:ind w:firstLine="374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2424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24248D"/>
    <w:pPr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</w:rPr>
  </w:style>
  <w:style w:type="paragraph" w:styleId="a4">
    <w:name w:val="Normal (Web)"/>
    <w:basedOn w:val="a"/>
    <w:link w:val="a5"/>
    <w:uiPriority w:val="99"/>
    <w:rsid w:val="0024248D"/>
    <w:pPr>
      <w:suppressAutoHyphens/>
      <w:spacing w:before="280" w:after="280"/>
      <w:ind w:firstLine="0"/>
      <w:jc w:val="left"/>
    </w:pPr>
    <w:rPr>
      <w:rFonts w:eastAsia="Times New Roman"/>
      <w:szCs w:val="24"/>
      <w:lang w:val="ru-RU" w:eastAsia="ar-SA"/>
    </w:rPr>
  </w:style>
  <w:style w:type="character" w:customStyle="1" w:styleId="a5">
    <w:name w:val="Звичайний (веб) Знак"/>
    <w:link w:val="a4"/>
    <w:uiPriority w:val="99"/>
    <w:locked/>
    <w:rsid w:val="002424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CharStyle3">
    <w:name w:val="Char Style 3"/>
    <w:basedOn w:val="a0"/>
    <w:link w:val="Style2"/>
    <w:rsid w:val="00892589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892589"/>
    <w:pPr>
      <w:widowControl w:val="0"/>
      <w:shd w:val="clear" w:color="auto" w:fill="FFFFFF"/>
      <w:spacing w:after="240" w:line="310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CharStyle5">
    <w:name w:val="Char Style 5"/>
    <w:basedOn w:val="a0"/>
    <w:link w:val="Style4"/>
    <w:rsid w:val="00892589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892589"/>
    <w:pPr>
      <w:widowControl w:val="0"/>
      <w:shd w:val="clear" w:color="auto" w:fill="FFFFFF"/>
      <w:spacing w:before="180" w:line="302" w:lineRule="exact"/>
      <w:ind w:firstLine="640"/>
    </w:pPr>
    <w:rPr>
      <w:rFonts w:asciiTheme="minorHAnsi" w:eastAsiaTheme="minorHAnsi" w:hAnsiTheme="minorHAnsi" w:cstheme="minorBidi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F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fin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6B27-59BA-40A0-9344-16FE382B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E527CCD7.dotm</Template>
  <TotalTime>11</TotalTime>
  <Pages>8</Pages>
  <Words>5654</Words>
  <Characters>3224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Гринчук Ольга Іванівна</cp:lastModifiedBy>
  <cp:revision>8</cp:revision>
  <dcterms:created xsi:type="dcterms:W3CDTF">2019-01-31T16:56:00Z</dcterms:created>
  <dcterms:modified xsi:type="dcterms:W3CDTF">2019-03-19T10:22:00Z</dcterms:modified>
</cp:coreProperties>
</file>