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0DD92B63" w:rsidR="001B4B41" w:rsidRPr="00922C4F" w:rsidRDefault="00261D35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4B092D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6B4E21" w:rsidRPr="00922C4F">
        <w:rPr>
          <w:b/>
          <w:u w:val="none"/>
        </w:rPr>
        <w:t>0</w:t>
      </w:r>
      <w:r w:rsidR="004B092D">
        <w:rPr>
          <w:b/>
          <w:u w:val="none"/>
          <w:lang w:val="ru-RU"/>
        </w:rPr>
        <w:t>7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14:paraId="6D63AD5E" w14:textId="77777777" w:rsidR="00CC3FCE" w:rsidRPr="00922C4F" w:rsidRDefault="00CC3FCE" w:rsidP="00AD06AA">
      <w:pPr>
        <w:pStyle w:val="a3"/>
        <w:rPr>
          <w:b/>
          <w:u w:val="none"/>
        </w:rPr>
      </w:pPr>
    </w:p>
    <w:p w14:paraId="31089FC5" w14:textId="70F3D5F3"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CA462F" w:rsidRPr="00922C4F">
        <w:rPr>
          <w:lang w:val="ru-RU"/>
        </w:rPr>
        <w:t>3</w:t>
      </w:r>
      <w:r w:rsidR="009E0D16">
        <w:rPr>
          <w:lang w:val="ru-RU"/>
        </w:rPr>
        <w:t>1</w:t>
      </w:r>
      <w:r w:rsidR="0060323D" w:rsidRPr="00922C4F">
        <w:rPr>
          <w:lang w:val="ru-RU"/>
        </w:rPr>
        <w:t xml:space="preserve"> </w:t>
      </w:r>
      <w:proofErr w:type="spellStart"/>
      <w:r w:rsidR="009E0D16">
        <w:rPr>
          <w:lang w:val="ru-RU"/>
        </w:rPr>
        <w:t>липня</w:t>
      </w:r>
      <w:proofErr w:type="spellEnd"/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4B092D">
        <w:rPr>
          <w:b/>
          <w:bCs/>
        </w:rPr>
        <w:t>2 355,0</w:t>
      </w:r>
      <w:r w:rsidR="00F2777A" w:rsidRPr="00922C4F">
        <w:rPr>
          <w:b/>
          <w:bCs/>
        </w:rPr>
        <w:t>7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4B092D">
        <w:rPr>
          <w:b/>
          <w:bCs/>
        </w:rPr>
        <w:t>85,05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4B092D">
        <w:rPr>
          <w:b/>
        </w:rPr>
        <w:t>454</w:t>
      </w:r>
      <w:r w:rsidR="00732B83" w:rsidRPr="00922C4F">
        <w:rPr>
          <w:b/>
        </w:rPr>
        <w:t>,</w:t>
      </w:r>
      <w:r w:rsidR="004B092D">
        <w:rPr>
          <w:b/>
        </w:rPr>
        <w:t>79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4B092D">
        <w:t>61,77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4B092D">
        <w:rPr>
          <w:b/>
          <w:bCs/>
          <w:lang w:val="ru-RU"/>
        </w:rPr>
        <w:t>52,54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B092D">
        <w:rPr>
          <w:b/>
          <w:bCs/>
          <w:lang w:val="ru-RU"/>
        </w:rPr>
        <w:t>900,28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4B092D">
        <w:t>38,23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4B092D">
        <w:rPr>
          <w:b/>
        </w:rPr>
        <w:t>32</w:t>
      </w:r>
      <w:r w:rsidR="00732B83" w:rsidRPr="00922C4F">
        <w:rPr>
          <w:b/>
        </w:rPr>
        <w:t>,</w:t>
      </w:r>
      <w:r w:rsidR="004B092D">
        <w:rPr>
          <w:b/>
        </w:rPr>
        <w:t>51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5490C93A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4B092D">
        <w:rPr>
          <w:b/>
          <w:bCs/>
          <w:lang w:val="ru-RU"/>
        </w:rPr>
        <w:t>2 072,52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4B092D">
        <w:rPr>
          <w:bCs/>
        </w:rPr>
        <w:t>88,00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FC7B1C">
        <w:rPr>
          <w:b/>
          <w:bCs/>
          <w:lang w:val="ru-RU"/>
        </w:rPr>
        <w:t>74,84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FC7B1C">
        <w:rPr>
          <w:b/>
        </w:rPr>
        <w:t>1 193,92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FC7B1C">
        <w:t>50,70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FC7B1C">
        <w:rPr>
          <w:b/>
          <w:bCs/>
          <w:lang w:val="ru-RU"/>
        </w:rPr>
        <w:t>43,12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FC7B1C">
        <w:rPr>
          <w:b/>
          <w:bCs/>
          <w:lang w:val="ru-RU"/>
        </w:rPr>
        <w:t>878</w:t>
      </w:r>
      <w:r w:rsidR="009E0D16">
        <w:rPr>
          <w:b/>
          <w:bCs/>
          <w:lang w:val="ru-RU"/>
        </w:rPr>
        <w:t>,60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9E0D16">
        <w:rPr>
          <w:bCs/>
        </w:rPr>
        <w:t>37,31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E0D16">
        <w:rPr>
          <w:b/>
          <w:bCs/>
          <w:lang w:val="ru-RU"/>
        </w:rPr>
        <w:t>31,73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004C8C88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9E0D16">
        <w:rPr>
          <w:b/>
          <w:bCs/>
          <w:lang w:val="ru-RU"/>
        </w:rPr>
        <w:t>282,55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9E0D16">
        <w:rPr>
          <w:bCs/>
        </w:rPr>
        <w:t>12</w:t>
      </w:r>
      <w:r w:rsidR="00CA462F" w:rsidRPr="00922C4F">
        <w:rPr>
          <w:bCs/>
        </w:rPr>
        <w:t>,</w:t>
      </w:r>
      <w:r w:rsidR="009E0D16">
        <w:rPr>
          <w:bCs/>
        </w:rPr>
        <w:t>00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E0D16">
        <w:rPr>
          <w:b/>
        </w:rPr>
        <w:t>10</w:t>
      </w:r>
      <w:r w:rsidR="00F26BE1" w:rsidRPr="00922C4F">
        <w:rPr>
          <w:b/>
        </w:rPr>
        <w:t>,</w:t>
      </w:r>
      <w:r w:rsidR="009E0D16">
        <w:rPr>
          <w:b/>
        </w:rPr>
        <w:t>20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 –</w:t>
      </w:r>
      <w:r w:rsidR="009E0D16">
        <w:rPr>
          <w:lang w:val="ru-RU"/>
        </w:rPr>
        <w:t xml:space="preserve"> </w:t>
      </w:r>
      <w:r w:rsidR="009E0D16">
        <w:rPr>
          <w:b/>
          <w:bCs/>
          <w:lang w:val="ru-RU"/>
        </w:rPr>
        <w:t>260,87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9E0D16">
        <w:rPr>
          <w:bCs/>
        </w:rPr>
        <w:t>11,08</w:t>
      </w:r>
      <w:r w:rsidR="006B3FD9" w:rsidRPr="00922C4F">
        <w:rPr>
          <w:bCs/>
        </w:rPr>
        <w:t>%</w:t>
      </w:r>
      <w:r w:rsidRPr="00922C4F">
        <w:t xml:space="preserve">) або </w:t>
      </w:r>
      <w:r w:rsidR="009E0D16">
        <w:rPr>
          <w:b/>
        </w:rPr>
        <w:t>9,42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1A5F04">
        <w:rPr>
          <w:b/>
          <w:bCs/>
          <w:lang w:val="ru-RU"/>
        </w:rPr>
        <w:t>21,68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1A5F04">
        <w:t>0</w:t>
      </w:r>
      <w:r w:rsidR="00F26BE1" w:rsidRPr="00922C4F">
        <w:t>,</w:t>
      </w:r>
      <w:r w:rsidR="001A5F04">
        <w:t>92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1A5F04">
        <w:rPr>
          <w:b/>
        </w:rPr>
        <w:t>0</w:t>
      </w:r>
      <w:r w:rsidR="00D46C24" w:rsidRPr="00922C4F">
        <w:rPr>
          <w:b/>
        </w:rPr>
        <w:t>,</w:t>
      </w:r>
      <w:r w:rsidR="001A5F04">
        <w:rPr>
          <w:b/>
        </w:rPr>
        <w:t>78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690E680" w14:textId="77777777"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5C0A1F5D"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9E0D16">
        <w:rPr>
          <w:bCs/>
          <w:lang w:val="ru-RU"/>
        </w:rPr>
        <w:t>липня</w:t>
      </w:r>
      <w:proofErr w:type="spellEnd"/>
      <w:r w:rsidR="0031168D" w:rsidRPr="00922C4F">
        <w:rPr>
          <w:bCs/>
          <w:lang w:val="ru-RU"/>
        </w:rPr>
        <w:t xml:space="preserve">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17684" w:rsidRPr="00922C4F">
        <w:t>з</w:t>
      </w:r>
      <w:r w:rsidR="00F26BE1" w:rsidRPr="00922C4F">
        <w:t>більшилась</w:t>
      </w:r>
      <w:r w:rsidRPr="00922C4F">
        <w:t xml:space="preserve"> у гривневому еквіваленті на </w:t>
      </w:r>
      <w:r w:rsidR="00707403">
        <w:rPr>
          <w:b/>
          <w:lang w:val="ru-RU"/>
        </w:rPr>
        <w:t>85,88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C17684" w:rsidRPr="00922C4F">
        <w:rPr>
          <w:bCs/>
        </w:rPr>
        <w:t>збільшився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707403">
        <w:rPr>
          <w:b/>
          <w:bCs/>
          <w:lang w:val="ru-RU"/>
        </w:rPr>
        <w:t>0,04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CE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1518229D-0454-4994-9135-F291A59E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2020-08-26T07:41:00Z</dcterms:created>
  <dcterms:modified xsi:type="dcterms:W3CDTF">2020-08-26T07:41:00Z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