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61EA2E56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57020F">
        <w:rPr>
          <w:b/>
          <w:u w:val="none"/>
          <w:lang w:val="ru-RU"/>
        </w:rPr>
        <w:t>0</w:t>
      </w:r>
      <w:r w:rsidRPr="00245878">
        <w:rPr>
          <w:b/>
          <w:u w:val="none"/>
        </w:rPr>
        <w:t>.0</w:t>
      </w:r>
      <w:r w:rsidR="0057020F">
        <w:rPr>
          <w:b/>
          <w:u w:val="none"/>
          <w:lang w:val="ru-RU"/>
        </w:rPr>
        <w:t>9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7C1BE771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57020F">
        <w:rPr>
          <w:sz w:val="28"/>
          <w:szCs w:val="28"/>
        </w:rPr>
        <w:t>0</w:t>
      </w:r>
      <w:r w:rsidRPr="00245878">
        <w:rPr>
          <w:sz w:val="28"/>
          <w:szCs w:val="28"/>
          <w:lang w:val="uk-UA"/>
        </w:rPr>
        <w:t xml:space="preserve"> </w:t>
      </w:r>
      <w:r w:rsidR="0057020F">
        <w:rPr>
          <w:sz w:val="28"/>
          <w:szCs w:val="28"/>
          <w:lang w:val="uk-UA"/>
        </w:rPr>
        <w:t>вересня</w:t>
      </w:r>
      <w:r w:rsidRPr="00245878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1E1F8F">
        <w:rPr>
          <w:b/>
          <w:sz w:val="28"/>
          <w:szCs w:val="28"/>
        </w:rPr>
        <w:t>40</w:t>
      </w:r>
      <w:r w:rsidR="001E1F8F">
        <w:rPr>
          <w:b/>
          <w:sz w:val="28"/>
          <w:szCs w:val="28"/>
          <w:lang w:val="uk-UA"/>
        </w:rPr>
        <w:t>9</w:t>
      </w:r>
      <w:r w:rsidRPr="00245878">
        <w:rPr>
          <w:b/>
          <w:bCs/>
          <w:sz w:val="28"/>
          <w:szCs w:val="28"/>
          <w:lang w:val="uk-UA"/>
        </w:rPr>
        <w:t>,</w:t>
      </w:r>
      <w:r w:rsidR="001E1F8F">
        <w:rPr>
          <w:b/>
          <w:bCs/>
          <w:sz w:val="28"/>
          <w:szCs w:val="28"/>
        </w:rPr>
        <w:t>2</w:t>
      </w:r>
      <w:r w:rsidR="0057020F">
        <w:rPr>
          <w:b/>
          <w:bCs/>
          <w:sz w:val="28"/>
          <w:szCs w:val="28"/>
        </w:rPr>
        <w:t>0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57020F">
        <w:rPr>
          <w:b/>
          <w:bCs/>
          <w:sz w:val="28"/>
          <w:szCs w:val="28"/>
        </w:rPr>
        <w:t>5</w:t>
      </w:r>
      <w:r w:rsidRPr="00245878">
        <w:rPr>
          <w:b/>
          <w:bCs/>
          <w:sz w:val="28"/>
          <w:szCs w:val="28"/>
          <w:lang w:val="uk-UA"/>
        </w:rPr>
        <w:t>,</w:t>
      </w:r>
      <w:r w:rsidR="001E1F8F">
        <w:rPr>
          <w:b/>
          <w:bCs/>
          <w:sz w:val="28"/>
          <w:szCs w:val="28"/>
        </w:rPr>
        <w:t>69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57020F">
        <w:rPr>
          <w:b/>
          <w:bCs/>
          <w:sz w:val="28"/>
          <w:szCs w:val="28"/>
        </w:rPr>
        <w:t>612</w:t>
      </w:r>
      <w:r w:rsidRPr="00245878">
        <w:rPr>
          <w:b/>
          <w:bCs/>
          <w:sz w:val="28"/>
          <w:szCs w:val="28"/>
          <w:lang w:val="uk-UA"/>
        </w:rPr>
        <w:t>,</w:t>
      </w:r>
      <w:r w:rsidR="0057020F">
        <w:rPr>
          <w:b/>
          <w:bCs/>
          <w:sz w:val="28"/>
          <w:szCs w:val="28"/>
        </w:rPr>
        <w:t>99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1E1F8F">
        <w:rPr>
          <w:sz w:val="28"/>
          <w:szCs w:val="28"/>
        </w:rPr>
        <w:t>1</w:t>
      </w:r>
      <w:r w:rsidRPr="00245878">
        <w:rPr>
          <w:sz w:val="28"/>
          <w:szCs w:val="28"/>
        </w:rPr>
        <w:t>,</w:t>
      </w:r>
      <w:r w:rsidR="001E1F8F">
        <w:rPr>
          <w:sz w:val="28"/>
          <w:szCs w:val="28"/>
          <w:lang w:val="uk-UA"/>
        </w:rPr>
        <w:t>97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2D6DCE">
        <w:rPr>
          <w:b/>
          <w:bCs/>
          <w:sz w:val="28"/>
          <w:szCs w:val="28"/>
          <w:lang w:val="uk-UA"/>
        </w:rPr>
        <w:t>112</w:t>
      </w:r>
      <w:r w:rsidRPr="00245878">
        <w:rPr>
          <w:b/>
          <w:bCs/>
          <w:sz w:val="28"/>
          <w:szCs w:val="28"/>
          <w:lang w:val="uk-UA"/>
        </w:rPr>
        <w:t>,</w:t>
      </w:r>
      <w:r w:rsidR="0057020F">
        <w:rPr>
          <w:b/>
          <w:bCs/>
          <w:sz w:val="28"/>
          <w:szCs w:val="28"/>
        </w:rPr>
        <w:t>06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1 7</w:t>
      </w:r>
      <w:r w:rsidR="001E1F8F">
        <w:rPr>
          <w:b/>
          <w:sz w:val="28"/>
          <w:szCs w:val="28"/>
        </w:rPr>
        <w:t>96</w:t>
      </w:r>
      <w:r w:rsidRPr="00245878">
        <w:rPr>
          <w:b/>
          <w:sz w:val="28"/>
          <w:szCs w:val="28"/>
          <w:lang w:val="uk-UA"/>
        </w:rPr>
        <w:t>,</w:t>
      </w:r>
      <w:r w:rsidR="001E1F8F">
        <w:rPr>
          <w:b/>
          <w:sz w:val="28"/>
          <w:szCs w:val="28"/>
        </w:rPr>
        <w:t>2</w:t>
      </w:r>
      <w:r w:rsidR="0057020F">
        <w:rPr>
          <w:b/>
          <w:sz w:val="28"/>
          <w:szCs w:val="28"/>
        </w:rPr>
        <w:t>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1E1F8F">
        <w:rPr>
          <w:sz w:val="28"/>
          <w:szCs w:val="28"/>
        </w:rPr>
        <w:t>8</w:t>
      </w:r>
      <w:r w:rsidRPr="00245878">
        <w:rPr>
          <w:sz w:val="28"/>
          <w:szCs w:val="28"/>
        </w:rPr>
        <w:t>,</w:t>
      </w:r>
      <w:r w:rsidR="001E1F8F">
        <w:rPr>
          <w:sz w:val="28"/>
          <w:szCs w:val="28"/>
        </w:rPr>
        <w:t>03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57020F">
        <w:rPr>
          <w:b/>
          <w:sz w:val="28"/>
          <w:szCs w:val="28"/>
        </w:rPr>
        <w:t>3</w:t>
      </w:r>
      <w:r w:rsidRPr="00245878">
        <w:rPr>
          <w:b/>
          <w:sz w:val="28"/>
          <w:szCs w:val="28"/>
          <w:lang w:val="uk-UA"/>
        </w:rPr>
        <w:t>,</w:t>
      </w:r>
      <w:r w:rsidR="001E1F8F">
        <w:rPr>
          <w:b/>
          <w:sz w:val="28"/>
          <w:szCs w:val="28"/>
        </w:rPr>
        <w:t>63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0861CE1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1E1F8F">
        <w:rPr>
          <w:b/>
          <w:bCs/>
          <w:lang w:val="ru-RU"/>
        </w:rPr>
        <w:t>122</w:t>
      </w:r>
      <w:r w:rsidRPr="00245878">
        <w:rPr>
          <w:b/>
          <w:bCs/>
          <w:lang w:val="ru-RU"/>
        </w:rPr>
        <w:t>,</w:t>
      </w:r>
      <w:r w:rsidR="001E1F8F">
        <w:rPr>
          <w:b/>
          <w:bCs/>
          <w:lang w:val="ru-RU"/>
        </w:rPr>
        <w:t>2</w:t>
      </w:r>
      <w:r w:rsidR="0057020F">
        <w:rPr>
          <w:b/>
          <w:bCs/>
          <w:lang w:val="ru-RU"/>
        </w:rPr>
        <w:t>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57020F">
        <w:rPr>
          <w:bCs/>
        </w:rPr>
        <w:t>95,52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</w:t>
      </w:r>
      <w:r w:rsidR="0057020F">
        <w:rPr>
          <w:b/>
          <w:bCs/>
          <w:spacing w:val="-2"/>
          <w:lang w:val="ru-RU"/>
        </w:rPr>
        <w:t>8</w:t>
      </w:r>
      <w:r w:rsidRPr="00245878">
        <w:rPr>
          <w:b/>
          <w:bCs/>
          <w:spacing w:val="-2"/>
          <w:lang w:val="ru-RU"/>
        </w:rPr>
        <w:t>,</w:t>
      </w:r>
      <w:r w:rsidR="001E1F8F">
        <w:rPr>
          <w:b/>
          <w:bCs/>
          <w:spacing w:val="-2"/>
          <w:lang w:val="ru-RU"/>
        </w:rPr>
        <w:t>72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F26331">
        <w:rPr>
          <w:b/>
          <w:lang w:val="ru-RU"/>
        </w:rPr>
        <w:t>39</w:t>
      </w:r>
      <w:r w:rsidR="0057020F">
        <w:rPr>
          <w:b/>
          <w:lang w:val="ru-RU"/>
        </w:rPr>
        <w:t>3</w:t>
      </w:r>
      <w:r w:rsidRPr="00245878">
        <w:rPr>
          <w:b/>
        </w:rPr>
        <w:t>,</w:t>
      </w:r>
      <w:r w:rsidR="0057020F">
        <w:rPr>
          <w:b/>
          <w:lang w:val="ru-RU"/>
        </w:rPr>
        <w:t>21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57020F">
        <w:rPr>
          <w:lang w:val="ru-RU"/>
        </w:rPr>
        <w:t>8</w:t>
      </w:r>
      <w:r w:rsidRPr="00245878">
        <w:t>,</w:t>
      </w:r>
      <w:r w:rsidR="001E1F8F">
        <w:rPr>
          <w:lang w:val="ru-RU"/>
        </w:rPr>
        <w:t xml:space="preserve">55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02646F">
        <w:rPr>
          <w:b/>
          <w:lang w:val="ru-RU"/>
        </w:rPr>
        <w:t>6</w:t>
      </w:r>
      <w:r w:rsidRPr="00245878">
        <w:rPr>
          <w:b/>
          <w:bCs/>
          <w:lang w:val="ru-RU"/>
        </w:rPr>
        <w:t>,</w:t>
      </w:r>
      <w:r w:rsidR="0057020F">
        <w:rPr>
          <w:b/>
          <w:bCs/>
          <w:lang w:val="ru-RU"/>
        </w:rPr>
        <w:t>72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1E1F8F">
        <w:rPr>
          <w:b/>
          <w:lang w:val="ru-RU"/>
        </w:rPr>
        <w:t>1 729</w:t>
      </w:r>
      <w:r w:rsidRPr="00245878">
        <w:rPr>
          <w:b/>
          <w:lang w:val="ru-RU"/>
        </w:rPr>
        <w:t>,</w:t>
      </w:r>
      <w:r w:rsidR="001E1F8F">
        <w:rPr>
          <w:b/>
          <w:lang w:val="ru-RU"/>
        </w:rPr>
        <w:t>00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365155" w:rsidRPr="00245878">
        <w:rPr>
          <w:bCs/>
          <w:lang w:val="ru-RU"/>
        </w:rPr>
        <w:t>6</w:t>
      </w:r>
      <w:r w:rsidRPr="00245878">
        <w:rPr>
          <w:bCs/>
        </w:rPr>
        <w:t>,</w:t>
      </w:r>
      <w:r w:rsidR="001E1F8F">
        <w:rPr>
          <w:bCs/>
        </w:rPr>
        <w:t>98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1E1F8F">
        <w:rPr>
          <w:b/>
          <w:bCs/>
          <w:lang w:val="ru-RU"/>
        </w:rPr>
        <w:t>2</w:t>
      </w:r>
      <w:r w:rsidRPr="00245878">
        <w:rPr>
          <w:b/>
          <w:bCs/>
          <w:lang w:val="ru-RU"/>
        </w:rPr>
        <w:t>,</w:t>
      </w:r>
      <w:r w:rsidR="001E1F8F">
        <w:rPr>
          <w:b/>
          <w:bCs/>
          <w:lang w:val="ru-RU"/>
        </w:rPr>
        <w:t>00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0DEA265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57020F">
        <w:rPr>
          <w:b/>
          <w:bCs/>
          <w:lang w:val="ru-RU"/>
        </w:rPr>
        <w:t>286</w:t>
      </w:r>
      <w:r w:rsidRPr="00245878">
        <w:rPr>
          <w:b/>
          <w:bCs/>
          <w:lang w:val="ru-RU"/>
        </w:rPr>
        <w:t>,</w:t>
      </w:r>
      <w:r w:rsidR="0057020F">
        <w:rPr>
          <w:b/>
          <w:bCs/>
          <w:lang w:val="ru-RU"/>
        </w:rPr>
        <w:t>98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57020F">
        <w:rPr>
          <w:bCs/>
        </w:rPr>
        <w:t>(4,48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57020F">
        <w:rPr>
          <w:b/>
          <w:spacing w:val="-2"/>
        </w:rPr>
        <w:t xml:space="preserve"> 6,97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57020F">
        <w:rPr>
          <w:b/>
          <w:bCs/>
          <w:lang w:val="ru-RU"/>
        </w:rPr>
        <w:t>219</w:t>
      </w:r>
      <w:r w:rsidRPr="00245878">
        <w:rPr>
          <w:b/>
          <w:bCs/>
          <w:lang w:val="ru-RU"/>
        </w:rPr>
        <w:t>,</w:t>
      </w:r>
      <w:r w:rsidR="00F26331">
        <w:rPr>
          <w:b/>
          <w:bCs/>
          <w:lang w:val="ru-RU"/>
        </w:rPr>
        <w:t>7</w:t>
      </w:r>
      <w:r w:rsidR="0057020F">
        <w:rPr>
          <w:b/>
          <w:bCs/>
          <w:lang w:val="ru-RU"/>
        </w:rPr>
        <w:t>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57020F">
        <w:rPr>
          <w:bCs/>
        </w:rPr>
        <w:t>3,43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57020F">
        <w:rPr>
          <w:b/>
        </w:rPr>
        <w:t>5,34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57020F">
        <w:rPr>
          <w:b/>
        </w:rPr>
        <w:t>67</w:t>
      </w:r>
      <w:r w:rsidRPr="00245878">
        <w:rPr>
          <w:b/>
          <w:bCs/>
          <w:lang w:val="ru-RU"/>
        </w:rPr>
        <w:t>,</w:t>
      </w:r>
      <w:r w:rsidR="0057020F">
        <w:rPr>
          <w:b/>
          <w:bCs/>
          <w:lang w:val="ru-RU"/>
        </w:rPr>
        <w:t>20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57020F">
        <w:t>(1,05</w:t>
      </w:r>
      <w:r w:rsidR="00AC145B" w:rsidRPr="00245878">
        <w:t> </w:t>
      </w:r>
      <w:r w:rsidRPr="00245878">
        <w:t xml:space="preserve">%), або </w:t>
      </w:r>
      <w:r w:rsidR="0057020F">
        <w:rPr>
          <w:b/>
        </w:rPr>
        <w:t>1,63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6A6588A6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57020F">
        <w:rPr>
          <w:bCs/>
          <w:lang w:val="ru-RU"/>
        </w:rPr>
        <w:t>вересня</w:t>
      </w:r>
      <w:r w:rsidRPr="00245878">
        <w:rPr>
          <w:bCs/>
        </w:rPr>
        <w:t xml:space="preserve">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8F1F6D">
        <w:rPr>
          <w:b/>
          <w:lang w:val="ru-RU"/>
        </w:rPr>
        <w:t>37</w:t>
      </w:r>
      <w:r w:rsidRPr="00245878">
        <w:rPr>
          <w:b/>
          <w:lang w:val="ru-RU"/>
        </w:rPr>
        <w:t>,</w:t>
      </w:r>
      <w:r w:rsidR="008F1F6D">
        <w:rPr>
          <w:b/>
          <w:lang w:val="ru-RU"/>
        </w:rPr>
        <w:t>5</w:t>
      </w:r>
      <w:r w:rsidR="00610177">
        <w:rPr>
          <w:b/>
          <w:lang w:val="ru-RU"/>
        </w:rPr>
        <w:t>1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610177">
        <w:rPr>
          <w:lang w:val="ru-RU"/>
        </w:rPr>
        <w:t>більшився</w:t>
      </w:r>
      <w:r w:rsidRPr="00245878">
        <w:rPr>
          <w:lang w:val="ru-RU"/>
        </w:rPr>
        <w:t xml:space="preserve"> </w:t>
      </w:r>
      <w:r w:rsidRPr="00245878">
        <w:t xml:space="preserve">на </w:t>
      </w:r>
      <w:r w:rsidR="008F1F6D">
        <w:rPr>
          <w:b/>
          <w:lang w:val="ru-RU"/>
        </w:rPr>
        <w:t>1</w:t>
      </w:r>
      <w:r w:rsidRPr="002C11B7">
        <w:rPr>
          <w:b/>
        </w:rPr>
        <w:t>,</w:t>
      </w:r>
      <w:r w:rsidR="008F1F6D">
        <w:rPr>
          <w:b/>
          <w:lang w:val="ru-RU"/>
        </w:rPr>
        <w:t>00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dcmitype/"/>
    <ds:schemaRef ds:uri="http://schemas.microsoft.com/office/infopath/2007/PartnerControls"/>
    <ds:schemaRef ds:uri="acedc1b3-a6a6-4744-bb8f-c9b717f8a9c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4F0809C-7A8C-48F1-BDC7-AE3F694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2024-06-24T15:09:00Z</cp:lastPrinted>
  <dcterms:created xsi:type="dcterms:W3CDTF">2024-10-22T08:02:00Z</dcterms:created>
  <dcterms:modified xsi:type="dcterms:W3CDTF">2024-10-30T07:30:00Z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