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0B99E2B0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041AF8">
        <w:rPr>
          <w:b/>
          <w:u w:val="none"/>
          <w:lang w:val="ru-RU"/>
        </w:rPr>
        <w:t>3</w:t>
      </w:r>
      <w:r w:rsidR="0051756F" w:rsidRPr="0051756F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51756F">
        <w:rPr>
          <w:b/>
          <w:u w:val="none"/>
        </w:rPr>
        <w:t>06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1AC08A58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51756F">
        <w:rPr>
          <w:sz w:val="28"/>
          <w:szCs w:val="28"/>
        </w:rPr>
        <w:t xml:space="preserve">30 </w:t>
      </w:r>
      <w:proofErr w:type="spellStart"/>
      <w:r w:rsidR="0051756F">
        <w:rPr>
          <w:sz w:val="28"/>
          <w:szCs w:val="28"/>
        </w:rPr>
        <w:t>червня</w:t>
      </w:r>
      <w:proofErr w:type="spellEnd"/>
      <w:r w:rsidR="00BC7F43" w:rsidRPr="00627696">
        <w:rPr>
          <w:sz w:val="28"/>
          <w:szCs w:val="28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51756F">
        <w:rPr>
          <w:b/>
          <w:bCs/>
          <w:sz w:val="28"/>
          <w:szCs w:val="28"/>
        </w:rPr>
        <w:t>3</w:t>
      </w:r>
      <w:r w:rsidR="00CD1833" w:rsidRPr="00627696">
        <w:rPr>
          <w:b/>
          <w:bCs/>
          <w:sz w:val="28"/>
          <w:szCs w:val="28"/>
        </w:rPr>
        <w:t> </w:t>
      </w:r>
      <w:r w:rsidR="0051756F">
        <w:rPr>
          <w:b/>
          <w:bCs/>
          <w:sz w:val="28"/>
          <w:szCs w:val="28"/>
          <w:lang w:val="uk-UA"/>
        </w:rPr>
        <w:t>083</w:t>
      </w:r>
      <w:r w:rsidR="00C8301C" w:rsidRPr="00627696">
        <w:rPr>
          <w:b/>
          <w:bCs/>
          <w:sz w:val="28"/>
          <w:szCs w:val="28"/>
        </w:rPr>
        <w:t>,</w:t>
      </w:r>
      <w:r w:rsidR="00176194">
        <w:rPr>
          <w:b/>
          <w:bCs/>
          <w:sz w:val="28"/>
          <w:szCs w:val="28"/>
          <w:lang w:val="uk-UA"/>
        </w:rPr>
        <w:t>22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51756F">
        <w:rPr>
          <w:b/>
          <w:bCs/>
          <w:sz w:val="28"/>
          <w:szCs w:val="28"/>
          <w:lang w:val="uk-UA"/>
        </w:rPr>
        <w:t>105</w:t>
      </w:r>
      <w:r w:rsidR="00C8301C" w:rsidRPr="00627696">
        <w:rPr>
          <w:b/>
          <w:bCs/>
          <w:sz w:val="28"/>
          <w:szCs w:val="28"/>
        </w:rPr>
        <w:t>,</w:t>
      </w:r>
      <w:r w:rsidR="0051756F">
        <w:rPr>
          <w:b/>
          <w:bCs/>
          <w:sz w:val="28"/>
          <w:szCs w:val="28"/>
          <w:lang w:val="uk-UA"/>
        </w:rPr>
        <w:t>39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4E58D1">
        <w:rPr>
          <w:b/>
          <w:bCs/>
          <w:sz w:val="28"/>
          <w:szCs w:val="28"/>
        </w:rPr>
        <w:t>1</w:t>
      </w:r>
      <w:r w:rsidR="00822490">
        <w:rPr>
          <w:b/>
          <w:bCs/>
          <w:sz w:val="28"/>
          <w:szCs w:val="28"/>
          <w:lang w:val="uk-UA"/>
        </w:rPr>
        <w:t> </w:t>
      </w:r>
      <w:r w:rsidR="0051756F">
        <w:rPr>
          <w:b/>
          <w:bCs/>
          <w:sz w:val="28"/>
          <w:szCs w:val="28"/>
          <w:lang w:val="uk-UA"/>
        </w:rPr>
        <w:t>78</w:t>
      </w:r>
      <w:r w:rsidR="00041AF8">
        <w:rPr>
          <w:b/>
          <w:bCs/>
          <w:sz w:val="28"/>
          <w:szCs w:val="28"/>
          <w:lang w:val="uk-UA"/>
        </w:rPr>
        <w:t>9</w:t>
      </w:r>
      <w:r w:rsidR="0032762A" w:rsidRPr="00627696">
        <w:rPr>
          <w:b/>
          <w:bCs/>
          <w:sz w:val="28"/>
          <w:szCs w:val="28"/>
        </w:rPr>
        <w:t>,</w:t>
      </w:r>
      <w:r w:rsidR="00176194">
        <w:rPr>
          <w:b/>
          <w:bCs/>
          <w:sz w:val="28"/>
          <w:szCs w:val="28"/>
          <w:lang w:val="uk-UA"/>
        </w:rPr>
        <w:t>39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CC0016">
        <w:rPr>
          <w:sz w:val="28"/>
          <w:szCs w:val="28"/>
        </w:rPr>
        <w:t>58</w:t>
      </w:r>
      <w:r w:rsidR="00C8301C" w:rsidRPr="00627696">
        <w:rPr>
          <w:sz w:val="28"/>
          <w:szCs w:val="28"/>
        </w:rPr>
        <w:t>,</w:t>
      </w:r>
      <w:r w:rsidR="00176194">
        <w:rPr>
          <w:sz w:val="28"/>
          <w:szCs w:val="28"/>
          <w:lang w:val="uk-UA"/>
        </w:rPr>
        <w:t>04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51756F">
        <w:rPr>
          <w:b/>
          <w:bCs/>
          <w:sz w:val="28"/>
          <w:szCs w:val="28"/>
          <w:lang w:val="uk-UA"/>
        </w:rPr>
        <w:t>61</w:t>
      </w:r>
      <w:r w:rsidR="00B02A88" w:rsidRPr="00627696">
        <w:rPr>
          <w:b/>
          <w:bCs/>
          <w:sz w:val="28"/>
          <w:szCs w:val="28"/>
        </w:rPr>
        <w:t>,</w:t>
      </w:r>
      <w:r w:rsidR="00CC0016">
        <w:rPr>
          <w:b/>
          <w:bCs/>
          <w:sz w:val="28"/>
          <w:szCs w:val="28"/>
          <w:lang w:val="uk-UA"/>
        </w:rPr>
        <w:t>1</w:t>
      </w:r>
      <w:r w:rsidR="00176194">
        <w:rPr>
          <w:b/>
          <w:bCs/>
          <w:sz w:val="28"/>
          <w:szCs w:val="28"/>
          <w:lang w:val="uk-UA"/>
        </w:rPr>
        <w:t>7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51756F">
        <w:rPr>
          <w:b/>
          <w:bCs/>
          <w:sz w:val="28"/>
          <w:szCs w:val="28"/>
        </w:rPr>
        <w:t>293</w:t>
      </w:r>
      <w:r w:rsidR="0012198A" w:rsidRPr="00627696">
        <w:rPr>
          <w:b/>
          <w:bCs/>
          <w:sz w:val="28"/>
          <w:szCs w:val="28"/>
        </w:rPr>
        <w:t>,</w:t>
      </w:r>
      <w:r w:rsidR="0051756F">
        <w:rPr>
          <w:b/>
          <w:bCs/>
          <w:sz w:val="28"/>
          <w:szCs w:val="28"/>
          <w:lang w:val="uk-UA"/>
        </w:rPr>
        <w:t>83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6901D1">
        <w:rPr>
          <w:sz w:val="28"/>
          <w:szCs w:val="28"/>
        </w:rPr>
        <w:t>41</w:t>
      </w:r>
      <w:r w:rsidR="0012198A" w:rsidRPr="00627696">
        <w:rPr>
          <w:sz w:val="28"/>
          <w:szCs w:val="28"/>
        </w:rPr>
        <w:t>,</w:t>
      </w:r>
      <w:r w:rsidR="00176194">
        <w:rPr>
          <w:sz w:val="28"/>
          <w:szCs w:val="28"/>
          <w:lang w:val="uk-UA"/>
        </w:rPr>
        <w:t>96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51756F">
        <w:rPr>
          <w:b/>
          <w:sz w:val="28"/>
          <w:szCs w:val="28"/>
          <w:lang w:val="uk-UA"/>
        </w:rPr>
        <w:t>44</w:t>
      </w:r>
      <w:r w:rsidR="00732B83" w:rsidRPr="00627696">
        <w:rPr>
          <w:b/>
          <w:sz w:val="28"/>
          <w:szCs w:val="28"/>
        </w:rPr>
        <w:t>,</w:t>
      </w:r>
      <w:r w:rsidR="0051756F">
        <w:rPr>
          <w:b/>
          <w:sz w:val="28"/>
          <w:szCs w:val="28"/>
          <w:lang w:val="uk-UA"/>
        </w:rPr>
        <w:t>23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5FE8395F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908C7">
        <w:rPr>
          <w:b/>
          <w:bCs/>
          <w:lang w:val="ru-RU"/>
        </w:rPr>
        <w:t>2 </w:t>
      </w:r>
      <w:r w:rsidR="0051756F">
        <w:rPr>
          <w:b/>
          <w:bCs/>
          <w:lang w:val="ru-RU"/>
        </w:rPr>
        <w:t>771</w:t>
      </w:r>
      <w:r w:rsidR="0012198A">
        <w:rPr>
          <w:b/>
          <w:bCs/>
          <w:lang w:val="ru-RU"/>
        </w:rPr>
        <w:t>,</w:t>
      </w:r>
      <w:r w:rsidR="00176194">
        <w:rPr>
          <w:b/>
          <w:bCs/>
          <w:lang w:val="ru-RU"/>
        </w:rPr>
        <w:t>45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656D60">
        <w:rPr>
          <w:bCs/>
        </w:rPr>
        <w:t>89</w:t>
      </w:r>
      <w:r w:rsidR="0012198A">
        <w:rPr>
          <w:bCs/>
        </w:rPr>
        <w:t>,</w:t>
      </w:r>
      <w:r w:rsidR="0051756F">
        <w:rPr>
          <w:bCs/>
        </w:rPr>
        <w:t>89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51756F">
        <w:rPr>
          <w:b/>
          <w:bCs/>
          <w:lang w:val="ru-RU"/>
        </w:rPr>
        <w:t>94</w:t>
      </w:r>
      <w:r w:rsidR="0012198A">
        <w:rPr>
          <w:b/>
          <w:bCs/>
          <w:lang w:val="ru-RU"/>
        </w:rPr>
        <w:t>,</w:t>
      </w:r>
      <w:r w:rsidR="0051756F">
        <w:rPr>
          <w:b/>
          <w:bCs/>
          <w:lang w:val="ru-RU"/>
        </w:rPr>
        <w:t>73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51756F">
        <w:rPr>
          <w:b/>
        </w:rPr>
        <w:t>544</w:t>
      </w:r>
      <w:r w:rsidR="00D908C7">
        <w:rPr>
          <w:b/>
        </w:rPr>
        <w:t>,</w:t>
      </w:r>
      <w:r w:rsidR="00176194">
        <w:rPr>
          <w:b/>
        </w:rPr>
        <w:t>54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041AF8">
        <w:t>50</w:t>
      </w:r>
      <w:r w:rsidR="00D908C7">
        <w:t>,</w:t>
      </w:r>
      <w:r w:rsidR="00176194">
        <w:t>10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51756F">
        <w:rPr>
          <w:b/>
          <w:bCs/>
          <w:lang w:val="ru-RU"/>
        </w:rPr>
        <w:t>52</w:t>
      </w:r>
      <w:r w:rsidR="00C10C91">
        <w:rPr>
          <w:b/>
          <w:bCs/>
          <w:lang w:val="ru-RU"/>
        </w:rPr>
        <w:t>,</w:t>
      </w:r>
      <w:r w:rsidR="00176194">
        <w:rPr>
          <w:b/>
          <w:bCs/>
          <w:lang w:val="ru-RU"/>
        </w:rPr>
        <w:t>80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51756F">
        <w:rPr>
          <w:b/>
          <w:lang w:val="ru-RU"/>
        </w:rPr>
        <w:t>1 226</w:t>
      </w:r>
      <w:r w:rsidR="0032762A">
        <w:rPr>
          <w:b/>
          <w:lang w:val="ru-RU"/>
        </w:rPr>
        <w:t>,</w:t>
      </w:r>
      <w:r w:rsidR="0051756F">
        <w:rPr>
          <w:b/>
          <w:bCs/>
          <w:lang w:val="ru-RU"/>
        </w:rPr>
        <w:t>91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51756F">
        <w:rPr>
          <w:bCs/>
        </w:rPr>
        <w:t>39</w:t>
      </w:r>
      <w:r w:rsidR="00D908C7">
        <w:rPr>
          <w:bCs/>
        </w:rPr>
        <w:t>,</w:t>
      </w:r>
      <w:r w:rsidR="0051756F">
        <w:rPr>
          <w:bCs/>
        </w:rPr>
        <w:t>79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51756F">
        <w:rPr>
          <w:b/>
          <w:bCs/>
          <w:lang w:val="ru-RU"/>
        </w:rPr>
        <w:t>41</w:t>
      </w:r>
      <w:r w:rsidR="00C10C91">
        <w:rPr>
          <w:b/>
          <w:bCs/>
          <w:lang w:val="ru-RU"/>
        </w:rPr>
        <w:t>,</w:t>
      </w:r>
      <w:r w:rsidR="0051756F">
        <w:rPr>
          <w:b/>
          <w:bCs/>
          <w:lang w:val="ru-RU"/>
        </w:rPr>
        <w:t>94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236B9B5F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51756F">
        <w:rPr>
          <w:b/>
          <w:bCs/>
          <w:lang w:val="ru-RU"/>
        </w:rPr>
        <w:t>31</w:t>
      </w:r>
      <w:r w:rsidR="00041AF8">
        <w:rPr>
          <w:b/>
          <w:bCs/>
          <w:lang w:val="ru-RU"/>
        </w:rPr>
        <w:t>1</w:t>
      </w:r>
      <w:r w:rsidR="0012198A">
        <w:rPr>
          <w:b/>
          <w:bCs/>
          <w:lang w:val="ru-RU"/>
        </w:rPr>
        <w:t>,</w:t>
      </w:r>
      <w:r w:rsidR="0051756F">
        <w:rPr>
          <w:b/>
          <w:bCs/>
          <w:lang w:val="ru-RU"/>
        </w:rPr>
        <w:t>77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656D60">
        <w:rPr>
          <w:bCs/>
        </w:rPr>
        <w:t>0</w:t>
      </w:r>
      <w:r w:rsidR="00CA462F" w:rsidRPr="00922C4F">
        <w:rPr>
          <w:bCs/>
        </w:rPr>
        <w:t>,</w:t>
      </w:r>
      <w:r w:rsidR="0051756F">
        <w:rPr>
          <w:bCs/>
        </w:rPr>
        <w:t>11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56D60">
        <w:rPr>
          <w:b/>
        </w:rPr>
        <w:t>10</w:t>
      </w:r>
      <w:r w:rsidR="00F26BE1" w:rsidRPr="00922C4F">
        <w:rPr>
          <w:b/>
        </w:rPr>
        <w:t>,</w:t>
      </w:r>
      <w:r w:rsidR="0051756F">
        <w:rPr>
          <w:b/>
        </w:rPr>
        <w:t>66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51756F">
        <w:rPr>
          <w:b/>
          <w:bCs/>
          <w:lang w:val="ru-RU"/>
        </w:rPr>
        <w:t>44</w:t>
      </w:r>
      <w:r w:rsidR="00B176FB">
        <w:rPr>
          <w:b/>
          <w:bCs/>
          <w:lang w:val="ru-RU"/>
        </w:rPr>
        <w:t>,</w:t>
      </w:r>
      <w:r w:rsidR="0051756F">
        <w:rPr>
          <w:b/>
          <w:bCs/>
          <w:lang w:val="ru-RU"/>
        </w:rPr>
        <w:t>84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5C59A6">
        <w:rPr>
          <w:bCs/>
        </w:rPr>
        <w:t>7</w:t>
      </w:r>
      <w:r w:rsidR="00D908C7">
        <w:rPr>
          <w:bCs/>
        </w:rPr>
        <w:t>,</w:t>
      </w:r>
      <w:r w:rsidR="005C59A6">
        <w:rPr>
          <w:bCs/>
        </w:rPr>
        <w:t>94</w:t>
      </w:r>
      <w:r w:rsidR="006B3FD9" w:rsidRPr="00922C4F">
        <w:rPr>
          <w:bCs/>
        </w:rPr>
        <w:t>%</w:t>
      </w:r>
      <w:r w:rsidRPr="00922C4F">
        <w:t xml:space="preserve">) або </w:t>
      </w:r>
      <w:r w:rsidR="00656D60">
        <w:rPr>
          <w:b/>
        </w:rPr>
        <w:t>8</w:t>
      </w:r>
      <w:r w:rsidR="00D908C7">
        <w:rPr>
          <w:b/>
        </w:rPr>
        <w:t>,</w:t>
      </w:r>
      <w:r w:rsidR="005C59A6">
        <w:rPr>
          <w:b/>
        </w:rPr>
        <w:t>37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5C59A6">
        <w:rPr>
          <w:b/>
          <w:bCs/>
          <w:lang w:val="ru-RU"/>
        </w:rPr>
        <w:t>66</w:t>
      </w:r>
      <w:r w:rsidR="00D84A89">
        <w:rPr>
          <w:b/>
          <w:bCs/>
          <w:lang w:val="ru-RU"/>
        </w:rPr>
        <w:t>,</w:t>
      </w:r>
      <w:r w:rsidR="005C59A6">
        <w:rPr>
          <w:b/>
          <w:bCs/>
          <w:lang w:val="ru-RU"/>
        </w:rPr>
        <w:t>93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860AC4">
        <w:t>2</w:t>
      </w:r>
      <w:r w:rsidR="00F26BE1" w:rsidRPr="00922C4F">
        <w:t>,</w:t>
      </w:r>
      <w:r w:rsidR="005C59A6">
        <w:t>17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860AC4">
        <w:rPr>
          <w:b/>
        </w:rPr>
        <w:t>2</w:t>
      </w:r>
      <w:r w:rsidR="00D46C24" w:rsidRPr="00922C4F">
        <w:rPr>
          <w:b/>
        </w:rPr>
        <w:t>,</w:t>
      </w:r>
      <w:r w:rsidR="005C59A6">
        <w:rPr>
          <w:b/>
        </w:rPr>
        <w:t>29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0A29A05E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proofErr w:type="spellStart"/>
      <w:r w:rsidR="0051756F">
        <w:rPr>
          <w:bCs/>
          <w:lang w:val="ru-RU"/>
        </w:rPr>
        <w:t>червня</w:t>
      </w:r>
      <w:proofErr w:type="spellEnd"/>
      <w:r>
        <w:rPr>
          <w:bCs/>
          <w:lang w:val="ru-RU"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proofErr w:type="spellStart"/>
      <w:r w:rsidR="00A83B0E">
        <w:rPr>
          <w:lang w:val="ru-RU"/>
        </w:rPr>
        <w:t>бі</w:t>
      </w:r>
      <w:r w:rsidR="00656D60">
        <w:rPr>
          <w:lang w:val="ru-RU"/>
        </w:rPr>
        <w:t>льшилась</w:t>
      </w:r>
      <w:proofErr w:type="spellEnd"/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5C59A6">
        <w:rPr>
          <w:b/>
          <w:lang w:val="ru-RU"/>
        </w:rPr>
        <w:t>115</w:t>
      </w:r>
      <w:r w:rsidR="00FA2B85">
        <w:rPr>
          <w:b/>
          <w:lang w:val="ru-RU"/>
        </w:rPr>
        <w:t>,</w:t>
      </w:r>
      <w:r w:rsidR="00176194">
        <w:rPr>
          <w:b/>
          <w:lang w:val="ru-RU"/>
        </w:rPr>
        <w:t>76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BB756C">
        <w:rPr>
          <w:lang w:val="ru-RU"/>
        </w:rPr>
        <w:t>збільшився</w:t>
      </w:r>
      <w:proofErr w:type="spellEnd"/>
      <w:r w:rsidR="00B17371">
        <w:t xml:space="preserve"> на </w:t>
      </w:r>
      <w:r w:rsidR="005C59A6">
        <w:rPr>
          <w:b/>
        </w:rPr>
        <w:t>3,96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76194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01A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0AC4"/>
    <w:rsid w:val="00861F27"/>
    <w:rsid w:val="008628B0"/>
    <w:rsid w:val="00863FBE"/>
    <w:rsid w:val="008742AB"/>
    <w:rsid w:val="00877377"/>
    <w:rsid w:val="008901DC"/>
    <w:rsid w:val="008907B5"/>
    <w:rsid w:val="00893711"/>
    <w:rsid w:val="008972CF"/>
    <w:rsid w:val="008A15E2"/>
    <w:rsid w:val="008A2E11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6AF0"/>
    <w:rsid w:val="00BB11D1"/>
    <w:rsid w:val="00BB1871"/>
    <w:rsid w:val="00BB756C"/>
    <w:rsid w:val="00BB7DFB"/>
    <w:rsid w:val="00BC34EB"/>
    <w:rsid w:val="00BC7F43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3305-4A17-441C-9FC6-2FCAB0637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2022-08-11T07:54:00Z</dcterms:created>
  <dcterms:modified xsi:type="dcterms:W3CDTF">2022-08-11T07:54:00Z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