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38ACA838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>станом на 3</w:t>
      </w:r>
      <w:r w:rsidR="00E33396">
        <w:rPr>
          <w:b/>
          <w:u w:val="none"/>
        </w:rPr>
        <w:t>1</w:t>
      </w:r>
      <w:r>
        <w:rPr>
          <w:b/>
          <w:u w:val="none"/>
        </w:rPr>
        <w:t>.</w:t>
      </w:r>
      <w:r w:rsidR="00E33396">
        <w:rPr>
          <w:b/>
          <w:u w:val="none"/>
        </w:rPr>
        <w:t>1</w:t>
      </w:r>
      <w:r>
        <w:rPr>
          <w:b/>
          <w:u w:val="none"/>
        </w:rPr>
        <w:t>0</w:t>
      </w:r>
      <w:r w:rsidR="00B8325B">
        <w:rPr>
          <w:b/>
          <w:u w:val="none"/>
        </w:rPr>
        <w:t>.2025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1ACFC422" w14:textId="79784C35" w:rsidR="005F0797" w:rsidRPr="005F0797" w:rsidRDefault="00A10F78" w:rsidP="005F0797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245878">
        <w:rPr>
          <w:sz w:val="28"/>
          <w:szCs w:val="28"/>
          <w:lang w:val="uk-UA"/>
        </w:rPr>
        <w:t>С</w:t>
      </w:r>
      <w:r w:rsidR="008E62CD">
        <w:rPr>
          <w:sz w:val="28"/>
          <w:szCs w:val="28"/>
        </w:rPr>
        <w:t xml:space="preserve">таном на </w:t>
      </w:r>
      <w:r w:rsidR="000A4D99">
        <w:rPr>
          <w:sz w:val="28"/>
          <w:szCs w:val="28"/>
          <w:lang w:val="uk-UA"/>
        </w:rPr>
        <w:t>3</w:t>
      </w:r>
      <w:r w:rsidR="00E33396">
        <w:rPr>
          <w:sz w:val="28"/>
          <w:szCs w:val="28"/>
          <w:lang w:val="uk-UA"/>
        </w:rPr>
        <w:t>1</w:t>
      </w:r>
      <w:r w:rsidR="000A4D99">
        <w:rPr>
          <w:sz w:val="28"/>
          <w:szCs w:val="28"/>
          <w:lang w:val="uk-UA"/>
        </w:rPr>
        <w:t xml:space="preserve"> </w:t>
      </w:r>
      <w:r w:rsidR="00E33396">
        <w:rPr>
          <w:sz w:val="28"/>
          <w:szCs w:val="28"/>
          <w:lang w:val="uk-UA"/>
        </w:rPr>
        <w:t>жовт</w:t>
      </w:r>
      <w:r w:rsidR="001A6C5F">
        <w:rPr>
          <w:sz w:val="28"/>
          <w:szCs w:val="28"/>
          <w:lang w:val="uk-UA"/>
        </w:rPr>
        <w:t>ня</w:t>
      </w:r>
      <w:r w:rsidR="001B6129">
        <w:rPr>
          <w:sz w:val="28"/>
          <w:szCs w:val="28"/>
          <w:lang w:val="uk-UA"/>
        </w:rPr>
        <w:t xml:space="preserve"> </w:t>
      </w:r>
      <w:r w:rsidRPr="00245878">
        <w:rPr>
          <w:sz w:val="28"/>
          <w:szCs w:val="28"/>
        </w:rPr>
        <w:t>202</w:t>
      </w:r>
      <w:r w:rsidR="00B8325B">
        <w:rPr>
          <w:sz w:val="28"/>
          <w:szCs w:val="28"/>
          <w:lang w:val="uk-UA"/>
        </w:rPr>
        <w:t>5</w:t>
      </w:r>
      <w:r w:rsidRPr="00245878">
        <w:rPr>
          <w:sz w:val="28"/>
          <w:szCs w:val="28"/>
        </w:rPr>
        <w:t xml:space="preserve"> року </w:t>
      </w:r>
      <w:r w:rsidRPr="00245878">
        <w:rPr>
          <w:bCs/>
          <w:i/>
          <w:iCs/>
          <w:sz w:val="28"/>
          <w:szCs w:val="28"/>
          <w:u w:val="single"/>
        </w:rPr>
        <w:t>державний та гарантований державою борг</w:t>
      </w:r>
      <w:r w:rsidRPr="00245878">
        <w:rPr>
          <w:i/>
          <w:iCs/>
          <w:sz w:val="28"/>
          <w:szCs w:val="28"/>
          <w:u w:val="single"/>
        </w:rPr>
        <w:t xml:space="preserve"> України</w:t>
      </w:r>
      <w:r w:rsidRPr="00245878">
        <w:rPr>
          <w:sz w:val="28"/>
          <w:szCs w:val="28"/>
        </w:rPr>
        <w:t xml:space="preserve"> становив </w:t>
      </w:r>
      <w:r w:rsidR="001A6C5F" w:rsidRPr="001A6C5F">
        <w:rPr>
          <w:b/>
          <w:sz w:val="28"/>
          <w:szCs w:val="28"/>
          <w:lang w:val="uk-UA"/>
        </w:rPr>
        <w:t>8</w:t>
      </w:r>
      <w:r w:rsidR="001A6C5F">
        <w:rPr>
          <w:b/>
          <w:sz w:val="28"/>
          <w:szCs w:val="28"/>
          <w:lang w:val="uk-UA"/>
        </w:rPr>
        <w:t> </w:t>
      </w:r>
      <w:r w:rsidR="001A6C5F" w:rsidRPr="001A6C5F">
        <w:rPr>
          <w:b/>
          <w:sz w:val="28"/>
          <w:szCs w:val="28"/>
          <w:lang w:val="uk-UA"/>
        </w:rPr>
        <w:t>2</w:t>
      </w:r>
      <w:r w:rsidR="00E33396">
        <w:rPr>
          <w:b/>
          <w:sz w:val="28"/>
          <w:szCs w:val="28"/>
          <w:lang w:val="uk-UA"/>
        </w:rPr>
        <w:t>7</w:t>
      </w:r>
      <w:r w:rsidR="00406B46">
        <w:rPr>
          <w:b/>
          <w:sz w:val="28"/>
          <w:szCs w:val="28"/>
          <w:lang w:val="uk-UA"/>
        </w:rPr>
        <w:t>6</w:t>
      </w:r>
      <w:r w:rsidR="001A6C5F" w:rsidRPr="001A6C5F">
        <w:rPr>
          <w:b/>
          <w:sz w:val="28"/>
          <w:szCs w:val="28"/>
          <w:lang w:val="uk-UA"/>
        </w:rPr>
        <w:t>,</w:t>
      </w:r>
      <w:r w:rsidR="00406B46">
        <w:rPr>
          <w:b/>
          <w:sz w:val="28"/>
          <w:szCs w:val="28"/>
          <w:lang w:val="uk-UA"/>
        </w:rPr>
        <w:t>21</w:t>
      </w:r>
      <w:r w:rsidR="001A6C5F">
        <w:rPr>
          <w:b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b/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або </w:t>
      </w:r>
      <w:r w:rsidR="00E33396" w:rsidRPr="00E33396">
        <w:rPr>
          <w:b/>
          <w:bCs/>
          <w:iCs/>
          <w:sz w:val="28"/>
          <w:szCs w:val="28"/>
        </w:rPr>
        <w:t>197,1</w:t>
      </w:r>
      <w:r w:rsidR="00406B46">
        <w:rPr>
          <w:b/>
          <w:bCs/>
          <w:iCs/>
          <w:sz w:val="28"/>
          <w:szCs w:val="28"/>
          <w:lang w:val="uk-UA"/>
        </w:rPr>
        <w:t>9</w:t>
      </w:r>
      <w:r w:rsidR="00E33396">
        <w:rPr>
          <w:b/>
          <w:bCs/>
          <w:iCs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sz w:val="28"/>
          <w:szCs w:val="28"/>
        </w:rPr>
        <w:t>,</w:t>
      </w:r>
      <w:r w:rsidRPr="00245878">
        <w:rPr>
          <w:bCs/>
          <w:sz w:val="28"/>
          <w:szCs w:val="28"/>
        </w:rPr>
        <w:t xml:space="preserve"> </w:t>
      </w:r>
      <w:r w:rsidR="00AC145B" w:rsidRPr="00245878">
        <w:rPr>
          <w:bCs/>
          <w:sz w:val="28"/>
          <w:szCs w:val="28"/>
          <w:lang w:val="uk-UA"/>
        </w:rPr>
        <w:t>а саме</w:t>
      </w:r>
      <w:r w:rsidRPr="00245878">
        <w:rPr>
          <w:sz w:val="28"/>
          <w:szCs w:val="28"/>
        </w:rPr>
        <w:t xml:space="preserve">: </w:t>
      </w:r>
      <w:r w:rsidRPr="00245878">
        <w:rPr>
          <w:bCs/>
          <w:sz w:val="28"/>
          <w:szCs w:val="28"/>
        </w:rPr>
        <w:t>державний та гарантований</w:t>
      </w:r>
      <w:r w:rsidRPr="00245878">
        <w:rPr>
          <w:sz w:val="28"/>
          <w:szCs w:val="28"/>
        </w:rPr>
        <w:t xml:space="preserve"> державою зовнішній борг – </w:t>
      </w:r>
      <w:r w:rsidR="00E33396" w:rsidRPr="00E33396">
        <w:rPr>
          <w:b/>
          <w:sz w:val="28"/>
          <w:szCs w:val="28"/>
          <w:lang w:val="uk-UA"/>
        </w:rPr>
        <w:t>6</w:t>
      </w:r>
      <w:r w:rsidR="00E33396">
        <w:rPr>
          <w:b/>
          <w:sz w:val="28"/>
          <w:szCs w:val="28"/>
          <w:lang w:val="uk-UA"/>
        </w:rPr>
        <w:t> </w:t>
      </w:r>
      <w:r w:rsidR="00E33396" w:rsidRPr="00E33396">
        <w:rPr>
          <w:b/>
          <w:sz w:val="28"/>
          <w:szCs w:val="28"/>
          <w:lang w:val="uk-UA"/>
        </w:rPr>
        <w:t>298,47</w:t>
      </w:r>
      <w:r w:rsidR="00E33396">
        <w:rPr>
          <w:b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>млрд грн</w:t>
      </w:r>
      <w:r w:rsidRPr="00245878">
        <w:rPr>
          <w:sz w:val="28"/>
          <w:szCs w:val="28"/>
        </w:rPr>
        <w:t xml:space="preserve"> (</w:t>
      </w:r>
      <w:r w:rsidRPr="00245878">
        <w:rPr>
          <w:sz w:val="28"/>
          <w:szCs w:val="28"/>
          <w:lang w:val="uk-UA"/>
        </w:rPr>
        <w:t>7</w:t>
      </w:r>
      <w:r w:rsidR="00E33396">
        <w:rPr>
          <w:sz w:val="28"/>
          <w:szCs w:val="28"/>
          <w:lang w:val="uk-UA"/>
        </w:rPr>
        <w:t>6</w:t>
      </w:r>
      <w:r w:rsidRPr="00245878">
        <w:rPr>
          <w:sz w:val="28"/>
          <w:szCs w:val="28"/>
        </w:rPr>
        <w:t>,</w:t>
      </w:r>
      <w:r w:rsidR="00E33396">
        <w:rPr>
          <w:sz w:val="28"/>
          <w:szCs w:val="28"/>
          <w:lang w:val="uk-UA"/>
        </w:rPr>
        <w:t>11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 xml:space="preserve">% загальної суми </w:t>
      </w:r>
      <w:r w:rsidRPr="00245878">
        <w:rPr>
          <w:bCs/>
          <w:sz w:val="28"/>
          <w:szCs w:val="28"/>
        </w:rPr>
        <w:t>державного та гарантованого державою</w:t>
      </w:r>
      <w:r w:rsidRPr="00245878">
        <w:rPr>
          <w:sz w:val="28"/>
          <w:szCs w:val="28"/>
        </w:rPr>
        <w:t xml:space="preserve"> боргу)</w:t>
      </w:r>
      <w:r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="001A6C5F" w:rsidRPr="001A6C5F">
        <w:rPr>
          <w:b/>
          <w:bCs/>
          <w:sz w:val="28"/>
          <w:szCs w:val="28"/>
          <w:lang w:val="uk-UA"/>
        </w:rPr>
        <w:t>1</w:t>
      </w:r>
      <w:r w:rsidR="00E33396">
        <w:rPr>
          <w:b/>
          <w:bCs/>
          <w:sz w:val="28"/>
          <w:szCs w:val="28"/>
          <w:lang w:val="uk-UA"/>
        </w:rPr>
        <w:t>50</w:t>
      </w:r>
      <w:r w:rsidR="001A6C5F" w:rsidRPr="001A6C5F">
        <w:rPr>
          <w:b/>
          <w:bCs/>
          <w:sz w:val="28"/>
          <w:szCs w:val="28"/>
          <w:lang w:val="uk-UA"/>
        </w:rPr>
        <w:t>,</w:t>
      </w:r>
      <w:r w:rsidR="00E33396">
        <w:rPr>
          <w:b/>
          <w:bCs/>
          <w:sz w:val="28"/>
          <w:szCs w:val="28"/>
          <w:lang w:val="uk-UA"/>
        </w:rPr>
        <w:t>0</w:t>
      </w:r>
      <w:r w:rsidR="00406B46">
        <w:rPr>
          <w:b/>
          <w:bCs/>
          <w:sz w:val="28"/>
          <w:szCs w:val="28"/>
          <w:lang w:val="uk-UA"/>
        </w:rPr>
        <w:t>8</w:t>
      </w:r>
      <w:r w:rsidR="001A6C5F" w:rsidRPr="001A6C5F">
        <w:rPr>
          <w:b/>
          <w:bCs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bCs/>
          <w:sz w:val="28"/>
          <w:szCs w:val="28"/>
        </w:rPr>
        <w:t>;</w:t>
      </w:r>
      <w:r w:rsidRPr="00245878">
        <w:rPr>
          <w:sz w:val="28"/>
          <w:szCs w:val="28"/>
        </w:rPr>
        <w:t xml:space="preserve"> </w:t>
      </w:r>
      <w:r w:rsidRPr="00245878">
        <w:rPr>
          <w:bCs/>
          <w:sz w:val="28"/>
          <w:szCs w:val="28"/>
        </w:rPr>
        <w:t xml:space="preserve">державний та гарантований державою </w:t>
      </w:r>
      <w:r w:rsidRPr="00245878">
        <w:rPr>
          <w:sz w:val="28"/>
          <w:szCs w:val="28"/>
        </w:rPr>
        <w:t>внутрішній борг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b/>
          <w:sz w:val="28"/>
          <w:szCs w:val="28"/>
        </w:rPr>
        <w:t>–</w:t>
      </w:r>
      <w:r w:rsidRPr="00245878">
        <w:rPr>
          <w:sz w:val="28"/>
          <w:szCs w:val="28"/>
        </w:rPr>
        <w:t xml:space="preserve"> </w:t>
      </w:r>
      <w:r w:rsidR="00E33396" w:rsidRPr="00E33396">
        <w:rPr>
          <w:b/>
          <w:sz w:val="28"/>
          <w:szCs w:val="28"/>
          <w:lang w:val="uk-UA"/>
        </w:rPr>
        <w:t>1 977,34</w:t>
      </w:r>
      <w:r w:rsidR="001A6C5F">
        <w:rPr>
          <w:b/>
          <w:sz w:val="28"/>
          <w:szCs w:val="28"/>
          <w:lang w:val="uk-UA"/>
        </w:rPr>
        <w:t xml:space="preserve"> </w:t>
      </w:r>
      <w:r w:rsidRPr="00245878">
        <w:rPr>
          <w:b/>
          <w:sz w:val="28"/>
          <w:szCs w:val="28"/>
        </w:rPr>
        <w:t xml:space="preserve">млрд грн </w:t>
      </w:r>
      <w:r w:rsidRPr="00245878">
        <w:rPr>
          <w:sz w:val="28"/>
          <w:szCs w:val="28"/>
        </w:rPr>
        <w:t>(</w:t>
      </w:r>
      <w:r w:rsidRPr="00245878">
        <w:rPr>
          <w:sz w:val="28"/>
          <w:szCs w:val="28"/>
          <w:lang w:val="uk-UA"/>
        </w:rPr>
        <w:t>2</w:t>
      </w:r>
      <w:r w:rsidR="00E33396">
        <w:rPr>
          <w:sz w:val="28"/>
          <w:szCs w:val="28"/>
          <w:lang w:val="uk-UA"/>
        </w:rPr>
        <w:t>3</w:t>
      </w:r>
      <w:r w:rsidRPr="00245878">
        <w:rPr>
          <w:sz w:val="28"/>
          <w:szCs w:val="28"/>
        </w:rPr>
        <w:t>,</w:t>
      </w:r>
      <w:r w:rsidR="00E33396">
        <w:rPr>
          <w:sz w:val="28"/>
          <w:szCs w:val="28"/>
          <w:lang w:val="uk-UA"/>
        </w:rPr>
        <w:t>89</w:t>
      </w:r>
      <w:r w:rsidR="00AC145B" w:rsidRPr="00245878">
        <w:rPr>
          <w:sz w:val="28"/>
          <w:szCs w:val="28"/>
          <w:lang w:val="uk-UA"/>
        </w:rPr>
        <w:t> </w:t>
      </w:r>
      <w:r w:rsidRPr="00245878">
        <w:rPr>
          <w:sz w:val="28"/>
          <w:szCs w:val="28"/>
        </w:rPr>
        <w:t>%)</w:t>
      </w:r>
      <w:r w:rsidR="00AC145B" w:rsidRPr="00245878">
        <w:rPr>
          <w:sz w:val="28"/>
          <w:szCs w:val="28"/>
          <w:lang w:val="uk-UA"/>
        </w:rPr>
        <w:t>,</w:t>
      </w:r>
      <w:r w:rsidRPr="00245878">
        <w:rPr>
          <w:sz w:val="28"/>
          <w:szCs w:val="28"/>
        </w:rPr>
        <w:t xml:space="preserve"> або </w:t>
      </w:r>
      <w:r w:rsidR="001A6C5F" w:rsidRPr="001A6C5F">
        <w:rPr>
          <w:b/>
          <w:sz w:val="28"/>
          <w:szCs w:val="28"/>
          <w:lang w:val="uk-UA"/>
        </w:rPr>
        <w:t>47,</w:t>
      </w:r>
      <w:r w:rsidR="00E33396">
        <w:rPr>
          <w:b/>
          <w:sz w:val="28"/>
          <w:szCs w:val="28"/>
          <w:lang w:val="uk-UA"/>
        </w:rPr>
        <w:t>11</w:t>
      </w:r>
      <w:r w:rsidR="001A6C5F" w:rsidRPr="001A6C5F">
        <w:rPr>
          <w:b/>
          <w:sz w:val="28"/>
          <w:szCs w:val="28"/>
        </w:rPr>
        <w:t xml:space="preserve"> </w:t>
      </w:r>
      <w:r w:rsidRPr="00245878">
        <w:rPr>
          <w:b/>
          <w:sz w:val="28"/>
          <w:szCs w:val="28"/>
        </w:rPr>
        <w:t>млрд дол. США</w:t>
      </w:r>
      <w:r w:rsidRPr="00245878">
        <w:rPr>
          <w:bCs/>
          <w:sz w:val="28"/>
          <w:szCs w:val="28"/>
        </w:rPr>
        <w:t>.</w:t>
      </w:r>
      <w:r w:rsidR="005F0797">
        <w:rPr>
          <w:bCs/>
          <w:sz w:val="28"/>
          <w:szCs w:val="28"/>
          <w:lang w:val="uk-UA"/>
        </w:rPr>
        <w:t xml:space="preserve"> </w:t>
      </w:r>
    </w:p>
    <w:p w14:paraId="7CE4B5F9" w14:textId="50539ABF" w:rsidR="00A10F78" w:rsidRPr="005F0797" w:rsidRDefault="00A10F78" w:rsidP="00A10F78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14:paraId="6D261E18" w14:textId="548A514F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/>
        </w:rPr>
      </w:pPr>
      <w:r w:rsidRPr="00245878">
        <w:rPr>
          <w:bCs/>
          <w:i/>
          <w:iCs/>
          <w:u w:val="single"/>
        </w:rPr>
        <w:t>Державний борг України</w:t>
      </w:r>
      <w:r w:rsidRPr="00245878">
        <w:rPr>
          <w:bCs/>
          <w:iCs/>
        </w:rPr>
        <w:t xml:space="preserve"> становив</w:t>
      </w:r>
      <w:r w:rsidRPr="00245878">
        <w:rPr>
          <w:b/>
        </w:rPr>
        <w:t xml:space="preserve"> </w:t>
      </w:r>
      <w:r w:rsidR="00E33396" w:rsidRPr="00E33396">
        <w:rPr>
          <w:b/>
          <w:bCs/>
          <w:lang w:val="ru-RU"/>
        </w:rPr>
        <w:t>7</w:t>
      </w:r>
      <w:r w:rsidR="00E33396">
        <w:rPr>
          <w:b/>
          <w:bCs/>
          <w:lang w:val="ru-RU"/>
        </w:rPr>
        <w:t> </w:t>
      </w:r>
      <w:r w:rsidR="00E33396" w:rsidRPr="00E33396">
        <w:rPr>
          <w:b/>
          <w:bCs/>
          <w:lang w:val="ru-RU"/>
        </w:rPr>
        <w:t>99</w:t>
      </w:r>
      <w:r w:rsidR="00406B46">
        <w:rPr>
          <w:b/>
          <w:bCs/>
          <w:lang w:val="ru-RU"/>
        </w:rPr>
        <w:t>0</w:t>
      </w:r>
      <w:r w:rsidR="00E33396" w:rsidRPr="00E33396">
        <w:rPr>
          <w:b/>
          <w:bCs/>
          <w:lang w:val="ru-RU"/>
        </w:rPr>
        <w:t>,61</w:t>
      </w:r>
      <w:r w:rsidR="00E33396">
        <w:rPr>
          <w:b/>
          <w:bCs/>
          <w:lang w:val="ru-RU"/>
        </w:rPr>
        <w:t xml:space="preserve"> </w:t>
      </w:r>
      <w:r w:rsidRPr="00245878">
        <w:rPr>
          <w:b/>
        </w:rPr>
        <w:t>млрд грн</w:t>
      </w:r>
      <w:r w:rsidRPr="00245878">
        <w:t xml:space="preserve"> (</w:t>
      </w:r>
      <w:r w:rsidR="0078032E">
        <w:rPr>
          <w:bCs/>
        </w:rPr>
        <w:t>9</w:t>
      </w:r>
      <w:r w:rsidR="005F0797">
        <w:rPr>
          <w:bCs/>
        </w:rPr>
        <w:t>6</w:t>
      </w:r>
      <w:r w:rsidR="0078032E">
        <w:rPr>
          <w:bCs/>
        </w:rPr>
        <w:t>,</w:t>
      </w:r>
      <w:r w:rsidR="00E33396">
        <w:rPr>
          <w:bCs/>
        </w:rPr>
        <w:t>54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</w:t>
      </w:r>
      <w:r w:rsidRPr="00245878">
        <w:rPr>
          <w:spacing w:val="-2"/>
        </w:rPr>
        <w:t xml:space="preserve">суми </w:t>
      </w:r>
      <w:r w:rsidRPr="00245878">
        <w:rPr>
          <w:bCs/>
          <w:spacing w:val="-2"/>
        </w:rPr>
        <w:t>державного та гарантованого державою</w:t>
      </w:r>
      <w:r w:rsidRPr="00245878">
        <w:rPr>
          <w:spacing w:val="-2"/>
        </w:rPr>
        <w:t xml:space="preserve"> боргу), </w:t>
      </w:r>
      <w:r w:rsidRPr="00245878">
        <w:rPr>
          <w:bCs/>
          <w:spacing w:val="-2"/>
        </w:rPr>
        <w:t>або</w:t>
      </w:r>
      <w:r w:rsidRPr="00245878">
        <w:rPr>
          <w:b/>
          <w:spacing w:val="-2"/>
        </w:rPr>
        <w:t xml:space="preserve"> </w:t>
      </w:r>
      <w:r w:rsidR="0020525C" w:rsidRPr="0020525C">
        <w:rPr>
          <w:b/>
          <w:bCs/>
          <w:spacing w:val="-2"/>
          <w:lang w:val="ru-RU"/>
        </w:rPr>
        <w:t>1</w:t>
      </w:r>
      <w:r w:rsidR="00E33396">
        <w:rPr>
          <w:b/>
          <w:bCs/>
          <w:spacing w:val="-2"/>
          <w:lang w:val="ru-RU"/>
        </w:rPr>
        <w:t>90</w:t>
      </w:r>
      <w:r w:rsidR="0020525C" w:rsidRPr="0020525C">
        <w:rPr>
          <w:b/>
          <w:bCs/>
          <w:spacing w:val="-2"/>
          <w:lang w:val="ru-RU"/>
        </w:rPr>
        <w:t>,</w:t>
      </w:r>
      <w:r w:rsidR="00E33396">
        <w:rPr>
          <w:b/>
          <w:bCs/>
          <w:spacing w:val="-2"/>
          <w:lang w:val="ru-RU"/>
        </w:rPr>
        <w:t>3</w:t>
      </w:r>
      <w:r w:rsidR="00406B46">
        <w:rPr>
          <w:b/>
          <w:bCs/>
          <w:spacing w:val="-2"/>
          <w:lang w:val="ru-RU"/>
        </w:rPr>
        <w:t>7</w:t>
      </w:r>
      <w:r w:rsidR="0020525C" w:rsidRPr="0020525C">
        <w:rPr>
          <w:b/>
          <w:bCs/>
          <w:spacing w:val="-2"/>
          <w:lang w:val="ru-RU"/>
        </w:rPr>
        <w:t xml:space="preserve"> </w:t>
      </w:r>
      <w:r w:rsidRPr="00245878">
        <w:rPr>
          <w:b/>
          <w:spacing w:val="-2"/>
        </w:rPr>
        <w:t>млрд дол. США</w:t>
      </w:r>
      <w:r w:rsidRPr="00245878">
        <w:rPr>
          <w:spacing w:val="-2"/>
        </w:rPr>
        <w:t>.</w:t>
      </w:r>
      <w:r w:rsidRPr="00245878">
        <w:t xml:space="preserve"> </w:t>
      </w:r>
      <w:r w:rsidRPr="00245878">
        <w:rPr>
          <w:bCs/>
          <w:i/>
          <w:iCs/>
          <w:u w:val="single"/>
        </w:rPr>
        <w:t>Державний</w:t>
      </w:r>
      <w:r w:rsidRPr="00245878">
        <w:rPr>
          <w:i/>
          <w:iCs/>
          <w:u w:val="single"/>
        </w:rPr>
        <w:t xml:space="preserve"> зовнішній борг</w:t>
      </w:r>
      <w:r w:rsidRPr="00245878">
        <w:t xml:space="preserve"> становив </w:t>
      </w:r>
      <w:r w:rsidR="00A55840" w:rsidRPr="00A55840">
        <w:rPr>
          <w:b/>
        </w:rPr>
        <w:t>6</w:t>
      </w:r>
      <w:r w:rsidR="00A55840">
        <w:rPr>
          <w:b/>
        </w:rPr>
        <w:t> </w:t>
      </w:r>
      <w:r w:rsidR="00A55840" w:rsidRPr="00A55840">
        <w:rPr>
          <w:b/>
        </w:rPr>
        <w:t>090,</w:t>
      </w:r>
      <w:r w:rsidR="00406B46">
        <w:rPr>
          <w:b/>
        </w:rPr>
        <w:t>8</w:t>
      </w:r>
      <w:r w:rsidR="00A55840" w:rsidRPr="00A55840">
        <w:rPr>
          <w:b/>
        </w:rPr>
        <w:t>7</w:t>
      </w:r>
      <w:r w:rsidR="00A55840">
        <w:rPr>
          <w:b/>
        </w:rPr>
        <w:t xml:space="preserve"> </w:t>
      </w:r>
      <w:r w:rsidRPr="00245878">
        <w:rPr>
          <w:b/>
        </w:rPr>
        <w:t xml:space="preserve">млрд грн </w:t>
      </w:r>
      <w:r w:rsidR="0078032E">
        <w:t>(7</w:t>
      </w:r>
      <w:r w:rsidR="00A55840">
        <w:t>3</w:t>
      </w:r>
      <w:r w:rsidRPr="00245878">
        <w:t>,</w:t>
      </w:r>
      <w:r w:rsidR="00406B46">
        <w:t>6</w:t>
      </w:r>
      <w:r w:rsidR="001E1F8F">
        <w:rPr>
          <w:lang w:val="ru-RU"/>
        </w:rPr>
        <w:t xml:space="preserve"> </w:t>
      </w:r>
      <w:r w:rsidRPr="00245878">
        <w:t>%</w:t>
      </w:r>
      <w:r w:rsidRPr="00245878">
        <w:rPr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 або </w:t>
      </w:r>
      <w:r w:rsidR="0020525C" w:rsidRPr="0020525C">
        <w:rPr>
          <w:b/>
        </w:rPr>
        <w:t>14</w:t>
      </w:r>
      <w:r w:rsidR="00A55840">
        <w:rPr>
          <w:b/>
        </w:rPr>
        <w:t>5</w:t>
      </w:r>
      <w:r w:rsidR="0020525C" w:rsidRPr="0020525C">
        <w:rPr>
          <w:b/>
        </w:rPr>
        <w:t>,</w:t>
      </w:r>
      <w:r w:rsidR="00A55840">
        <w:rPr>
          <w:b/>
        </w:rPr>
        <w:t>1</w:t>
      </w:r>
      <w:r w:rsidR="00406B46">
        <w:rPr>
          <w:b/>
        </w:rPr>
        <w:t>2</w:t>
      </w:r>
      <w:r w:rsidR="0020525C" w:rsidRPr="0020525C">
        <w:rPr>
          <w:b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 xml:space="preserve">. </w:t>
      </w:r>
      <w:r w:rsidRPr="00245878">
        <w:rPr>
          <w:bCs/>
          <w:i/>
          <w:iCs/>
          <w:u w:val="single"/>
        </w:rPr>
        <w:t xml:space="preserve">Державний </w:t>
      </w:r>
      <w:r w:rsidRPr="00245878">
        <w:rPr>
          <w:i/>
          <w:iCs/>
          <w:u w:val="single"/>
        </w:rPr>
        <w:t>внутрішній борг</w:t>
      </w:r>
      <w:r w:rsidRPr="00245878">
        <w:t xml:space="preserve"> становив </w:t>
      </w:r>
      <w:r w:rsidR="00A55840" w:rsidRPr="00A55840">
        <w:rPr>
          <w:b/>
          <w:lang w:val="ru-RU"/>
        </w:rPr>
        <w:t>1 899,14</w:t>
      </w:r>
      <w:r w:rsidR="00A55840">
        <w:rPr>
          <w:b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rPr>
          <w:bCs/>
        </w:rPr>
        <w:t>(2</w:t>
      </w:r>
      <w:r w:rsidR="00A55840">
        <w:rPr>
          <w:bCs/>
          <w:lang w:val="ru-RU"/>
        </w:rPr>
        <w:t>2</w:t>
      </w:r>
      <w:r w:rsidR="005F0797">
        <w:rPr>
          <w:bCs/>
          <w:lang w:val="ru-RU"/>
        </w:rPr>
        <w:t>,</w:t>
      </w:r>
      <w:r w:rsidR="00A55840">
        <w:rPr>
          <w:bCs/>
          <w:lang w:val="ru-RU"/>
        </w:rPr>
        <w:t>95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rPr>
          <w:bCs/>
          <w:lang w:val="ru-RU"/>
        </w:rPr>
        <w:t xml:space="preserve"> </w:t>
      </w:r>
      <w:r w:rsidRPr="00245878">
        <w:t xml:space="preserve">загальної суми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боргу),</w:t>
      </w:r>
      <w:r w:rsidRPr="00245878">
        <w:rPr>
          <w:b/>
        </w:rPr>
        <w:t xml:space="preserve"> </w:t>
      </w:r>
      <w:r w:rsidRPr="00245878">
        <w:t xml:space="preserve">або </w:t>
      </w:r>
      <w:r w:rsidRPr="00245878">
        <w:rPr>
          <w:b/>
          <w:bCs/>
          <w:lang w:val="ru-RU"/>
        </w:rPr>
        <w:t>4</w:t>
      </w:r>
      <w:r w:rsidR="005F0797">
        <w:rPr>
          <w:b/>
          <w:bCs/>
          <w:lang w:val="ru-RU"/>
        </w:rPr>
        <w:t>5</w:t>
      </w:r>
      <w:r w:rsidRPr="00245878">
        <w:rPr>
          <w:b/>
          <w:bCs/>
          <w:lang w:val="ru-RU"/>
        </w:rPr>
        <w:t>,</w:t>
      </w:r>
      <w:r w:rsidR="00A55840">
        <w:rPr>
          <w:b/>
          <w:bCs/>
          <w:lang w:val="ru-RU"/>
        </w:rPr>
        <w:t>2</w:t>
      </w:r>
      <w:r w:rsidR="005F0797">
        <w:rPr>
          <w:b/>
          <w:bCs/>
          <w:lang w:val="ru-RU"/>
        </w:rPr>
        <w:t>5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t>.</w:t>
      </w:r>
    </w:p>
    <w:p w14:paraId="6A5D7CAC" w14:textId="6D527375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  <w:rPr>
          <w:bCs/>
        </w:rPr>
      </w:pPr>
      <w:r w:rsidRPr="00245878">
        <w:rPr>
          <w:i/>
          <w:iCs/>
          <w:u w:val="single"/>
        </w:rPr>
        <w:t xml:space="preserve">Гарантований державою </w:t>
      </w:r>
      <w:r w:rsidRPr="00245878">
        <w:rPr>
          <w:bCs/>
          <w:i/>
          <w:iCs/>
          <w:u w:val="single"/>
        </w:rPr>
        <w:t>борг</w:t>
      </w:r>
      <w:r w:rsidRPr="00245878">
        <w:rPr>
          <w:i/>
          <w:iCs/>
          <w:u w:val="single"/>
        </w:rPr>
        <w:t xml:space="preserve"> України</w:t>
      </w:r>
      <w:r w:rsidRPr="00245878">
        <w:t xml:space="preserve"> становив </w:t>
      </w:r>
      <w:r w:rsidR="00146F1A" w:rsidRPr="00146F1A">
        <w:rPr>
          <w:b/>
          <w:bCs/>
          <w:lang w:val="ru-RU"/>
        </w:rPr>
        <w:t>2</w:t>
      </w:r>
      <w:r w:rsidR="00A55840">
        <w:rPr>
          <w:b/>
          <w:bCs/>
          <w:lang w:val="ru-RU"/>
        </w:rPr>
        <w:t>86</w:t>
      </w:r>
      <w:r w:rsidR="00146F1A" w:rsidRPr="00146F1A">
        <w:rPr>
          <w:b/>
          <w:bCs/>
          <w:lang w:val="ru-RU"/>
        </w:rPr>
        <w:t>,</w:t>
      </w:r>
      <w:r w:rsidR="00A55840">
        <w:rPr>
          <w:b/>
          <w:bCs/>
          <w:lang w:val="ru-RU"/>
        </w:rPr>
        <w:t>19</w:t>
      </w:r>
      <w:r w:rsidR="00146F1A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78032E">
        <w:rPr>
          <w:bCs/>
        </w:rPr>
        <w:t>(3,</w:t>
      </w:r>
      <w:r w:rsidR="00146F1A">
        <w:rPr>
          <w:bCs/>
        </w:rPr>
        <w:t>4</w:t>
      </w:r>
      <w:r w:rsidR="00A55840">
        <w:rPr>
          <w:bCs/>
        </w:rPr>
        <w:t>6</w:t>
      </w:r>
      <w:r w:rsidRPr="00245878">
        <w:rPr>
          <w:bCs/>
        </w:rPr>
        <w:t xml:space="preserve">%), </w:t>
      </w:r>
      <w:r w:rsidRPr="00245878">
        <w:rPr>
          <w:bCs/>
          <w:spacing w:val="-2"/>
        </w:rPr>
        <w:t>або</w:t>
      </w:r>
      <w:r w:rsidR="0078032E">
        <w:rPr>
          <w:b/>
          <w:spacing w:val="-2"/>
        </w:rPr>
        <w:t xml:space="preserve"> </w:t>
      </w:r>
      <w:r w:rsidR="00A55840">
        <w:rPr>
          <w:b/>
          <w:spacing w:val="-2"/>
        </w:rPr>
        <w:t>6</w:t>
      </w:r>
      <w:r w:rsidR="00146F1A" w:rsidRPr="00146F1A">
        <w:rPr>
          <w:b/>
          <w:spacing w:val="-2"/>
        </w:rPr>
        <w:t>,</w:t>
      </w:r>
      <w:r w:rsidR="00A55840">
        <w:rPr>
          <w:b/>
          <w:spacing w:val="-2"/>
        </w:rPr>
        <w:t>82</w:t>
      </w:r>
      <w:r w:rsidR="00146F1A">
        <w:rPr>
          <w:b/>
          <w:spacing w:val="-2"/>
        </w:rPr>
        <w:t xml:space="preserve"> </w:t>
      </w:r>
      <w:r w:rsidRPr="00245878">
        <w:rPr>
          <w:b/>
          <w:spacing w:val="-2"/>
        </w:rPr>
        <w:t>млрд дол. США</w:t>
      </w:r>
      <w:r w:rsidRPr="00245878">
        <w:rPr>
          <w:bCs/>
          <w:spacing w:val="-2"/>
        </w:rPr>
        <w:t xml:space="preserve">, </w:t>
      </w:r>
      <w:r w:rsidR="00AC145B" w:rsidRPr="00245878">
        <w:rPr>
          <w:bCs/>
          <w:spacing w:val="-2"/>
        </w:rPr>
        <w:t>зокрема</w:t>
      </w:r>
      <w:r w:rsidRPr="00245878">
        <w:rPr>
          <w:spacing w:val="-2"/>
        </w:rPr>
        <w:t>: гарантований державою зовнішній борг –</w:t>
      </w:r>
      <w:r w:rsidRPr="00245878">
        <w:rPr>
          <w:lang w:val="ru-RU"/>
        </w:rPr>
        <w:t xml:space="preserve"> </w:t>
      </w:r>
      <w:r w:rsidR="00146F1A" w:rsidRPr="00146F1A">
        <w:rPr>
          <w:b/>
          <w:bCs/>
          <w:lang w:val="ru-RU"/>
        </w:rPr>
        <w:t>20</w:t>
      </w:r>
      <w:r w:rsidR="00A55840">
        <w:rPr>
          <w:b/>
          <w:bCs/>
          <w:lang w:val="ru-RU"/>
        </w:rPr>
        <w:t>8</w:t>
      </w:r>
      <w:r w:rsidR="00146F1A" w:rsidRPr="00146F1A">
        <w:rPr>
          <w:b/>
          <w:bCs/>
          <w:lang w:val="ru-RU"/>
        </w:rPr>
        <w:t>,</w:t>
      </w:r>
      <w:r w:rsidR="00A55840">
        <w:rPr>
          <w:b/>
          <w:bCs/>
          <w:lang w:val="ru-RU"/>
        </w:rPr>
        <w:t>0</w:t>
      </w:r>
      <w:r w:rsidR="00146F1A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Pr="00245878">
        <w:t>(</w:t>
      </w:r>
      <w:r w:rsidR="0078032E">
        <w:rPr>
          <w:bCs/>
        </w:rPr>
        <w:t>2,</w:t>
      </w:r>
      <w:r w:rsidR="00A55840">
        <w:rPr>
          <w:bCs/>
        </w:rPr>
        <w:t>51</w:t>
      </w:r>
      <w:r w:rsidR="00AC145B" w:rsidRPr="00245878">
        <w:rPr>
          <w:bCs/>
          <w:lang w:val="ru-RU"/>
        </w:rPr>
        <w:t> </w:t>
      </w:r>
      <w:r w:rsidRPr="00245878">
        <w:rPr>
          <w:bCs/>
        </w:rPr>
        <w:t>%</w:t>
      </w:r>
      <w:r w:rsidRPr="00245878">
        <w:t xml:space="preserve">), або </w:t>
      </w:r>
      <w:r w:rsidR="00A55840">
        <w:rPr>
          <w:b/>
        </w:rPr>
        <w:t>4</w:t>
      </w:r>
      <w:r w:rsidR="0078032E">
        <w:rPr>
          <w:b/>
        </w:rPr>
        <w:t>,</w:t>
      </w:r>
      <w:r w:rsidR="00A55840">
        <w:rPr>
          <w:b/>
        </w:rPr>
        <w:t>96</w:t>
      </w:r>
      <w:r w:rsidRPr="00245878">
        <w:rPr>
          <w:b/>
        </w:rPr>
        <w:t xml:space="preserve"> млрд дол. США</w:t>
      </w:r>
      <w:r w:rsidRPr="00245878">
        <w:rPr>
          <w:bCs/>
        </w:rPr>
        <w:t>;</w:t>
      </w:r>
      <w:r w:rsidRPr="00245878">
        <w:t xml:space="preserve"> гарантований державою внутрішній борг – </w:t>
      </w:r>
      <w:r w:rsidR="00A55840">
        <w:rPr>
          <w:b/>
        </w:rPr>
        <w:t>78</w:t>
      </w:r>
      <w:r w:rsidRPr="00275929">
        <w:rPr>
          <w:b/>
          <w:bCs/>
          <w:lang w:val="ru-RU"/>
        </w:rPr>
        <w:t>,</w:t>
      </w:r>
      <w:r w:rsidR="00A55840">
        <w:rPr>
          <w:b/>
          <w:bCs/>
          <w:lang w:val="ru-RU"/>
        </w:rPr>
        <w:t>2</w:t>
      </w:r>
      <w:r w:rsidRPr="00245878">
        <w:rPr>
          <w:b/>
          <w:bCs/>
          <w:lang w:val="ru-RU"/>
        </w:rPr>
        <w:t xml:space="preserve"> </w:t>
      </w:r>
      <w:r w:rsidRPr="00245878">
        <w:rPr>
          <w:b/>
        </w:rPr>
        <w:t xml:space="preserve">млрд грн </w:t>
      </w:r>
      <w:r w:rsidR="009460B8">
        <w:t>(</w:t>
      </w:r>
      <w:r w:rsidR="00A55840">
        <w:t>0</w:t>
      </w:r>
      <w:r w:rsidR="009460B8">
        <w:t>,</w:t>
      </w:r>
      <w:r w:rsidR="00A55840">
        <w:t>94</w:t>
      </w:r>
      <w:r w:rsidR="00AC145B" w:rsidRPr="00245878">
        <w:t> </w:t>
      </w:r>
      <w:r w:rsidRPr="00245878">
        <w:t xml:space="preserve">%), або </w:t>
      </w:r>
      <w:r w:rsidR="009460B8">
        <w:rPr>
          <w:b/>
        </w:rPr>
        <w:t>1,</w:t>
      </w:r>
      <w:r w:rsidR="00A55840">
        <w:rPr>
          <w:b/>
        </w:rPr>
        <w:t>8</w:t>
      </w:r>
      <w:r w:rsidR="00146F1A">
        <w:rPr>
          <w:b/>
        </w:rPr>
        <w:t>6</w:t>
      </w:r>
      <w:r w:rsidRPr="00245878">
        <w:rPr>
          <w:b/>
          <w:lang w:val="ru-RU"/>
        </w:rPr>
        <w:t xml:space="preserve"> </w:t>
      </w:r>
      <w:r w:rsidRPr="00245878">
        <w:rPr>
          <w:b/>
        </w:rPr>
        <w:t>млрд дол. США</w:t>
      </w:r>
      <w:r w:rsidRPr="00245878">
        <w:rPr>
          <w:bCs/>
        </w:rPr>
        <w:t>.</w:t>
      </w:r>
    </w:p>
    <w:p w14:paraId="1F84B95D" w14:textId="77777777" w:rsidR="00A10F78" w:rsidRPr="00245878" w:rsidRDefault="00A10F78" w:rsidP="00A10F78">
      <w:pPr>
        <w:pStyle w:val="2"/>
        <w:spacing w:line="276" w:lineRule="auto"/>
        <w:ind w:firstLine="567"/>
        <w:contextualSpacing/>
        <w:jc w:val="both"/>
      </w:pPr>
    </w:p>
    <w:p w14:paraId="41C7E752" w14:textId="56D4A507" w:rsidR="00A10F78" w:rsidRPr="00781706" w:rsidRDefault="00A10F78" w:rsidP="00987108">
      <w:pPr>
        <w:pStyle w:val="2"/>
        <w:spacing w:line="276" w:lineRule="auto"/>
        <w:ind w:firstLine="567"/>
        <w:contextualSpacing/>
        <w:jc w:val="both"/>
        <w:rPr>
          <w:bCs/>
          <w:lang w:val="ru-RU"/>
        </w:rPr>
      </w:pPr>
      <w:r w:rsidRPr="00245878">
        <w:rPr>
          <w:bCs/>
        </w:rPr>
        <w:t xml:space="preserve">Протягом </w:t>
      </w:r>
      <w:r w:rsidR="00A55840">
        <w:rPr>
          <w:bCs/>
        </w:rPr>
        <w:t>жовтня</w:t>
      </w:r>
      <w:r w:rsidR="00B8325B">
        <w:rPr>
          <w:bCs/>
        </w:rPr>
        <w:t xml:space="preserve"> 2025</w:t>
      </w:r>
      <w:r w:rsidRPr="00245878">
        <w:rPr>
          <w:bCs/>
        </w:rPr>
        <w:t xml:space="preserve"> року </w:t>
      </w:r>
      <w:r w:rsidRPr="00245878">
        <w:t xml:space="preserve">сума </w:t>
      </w:r>
      <w:r w:rsidRPr="00245878">
        <w:rPr>
          <w:bCs/>
        </w:rPr>
        <w:t>державного та гарантованого державою</w:t>
      </w:r>
      <w:r w:rsidRPr="00245878">
        <w:t xml:space="preserve"> боргу України </w:t>
      </w:r>
      <w:r w:rsidR="00AA4E0A">
        <w:t>з</w:t>
      </w:r>
      <w:r w:rsidR="008543C5">
        <w:t>більшилась</w:t>
      </w:r>
      <w:r w:rsidRPr="00245878">
        <w:t xml:space="preserve"> у гривневому еквіваленті на</w:t>
      </w:r>
      <w:r w:rsidR="00A55840">
        <w:rPr>
          <w:lang w:val="ru-RU"/>
        </w:rPr>
        <w:t xml:space="preserve"> </w:t>
      </w:r>
      <w:r w:rsidR="00A55840">
        <w:rPr>
          <w:b/>
          <w:lang w:val="ru-RU"/>
        </w:rPr>
        <w:t>25</w:t>
      </w:r>
      <w:r w:rsidR="00406B46">
        <w:rPr>
          <w:b/>
          <w:lang w:val="ru-RU"/>
        </w:rPr>
        <w:t>2</w:t>
      </w:r>
      <w:r w:rsidR="00A55840">
        <w:rPr>
          <w:b/>
          <w:lang w:val="ru-RU"/>
        </w:rPr>
        <w:t>,</w:t>
      </w:r>
      <w:r w:rsidR="00406B46">
        <w:rPr>
          <w:b/>
          <w:lang w:val="ru-RU"/>
        </w:rPr>
        <w:t>0</w:t>
      </w:r>
      <w:r w:rsidR="00A55840">
        <w:rPr>
          <w:b/>
          <w:lang w:val="ru-RU"/>
        </w:rPr>
        <w:t>5</w:t>
      </w:r>
      <w:r w:rsidRPr="00245878">
        <w:rPr>
          <w:b/>
        </w:rPr>
        <w:t xml:space="preserve"> млрд грн</w:t>
      </w:r>
      <w:r w:rsidRPr="00245878">
        <w:t xml:space="preserve"> </w:t>
      </w:r>
      <w:r w:rsidR="00AC145B" w:rsidRPr="00245878">
        <w:t>і в</w:t>
      </w:r>
      <w:r w:rsidRPr="00245878">
        <w:t xml:space="preserve"> доларовому еквіваленті державний та гарантований державою борг </w:t>
      </w:r>
      <w:r w:rsidR="00384793">
        <w:rPr>
          <w:lang w:val="ru-RU"/>
        </w:rPr>
        <w:t>збільшився</w:t>
      </w:r>
      <w:r w:rsidR="00E038C4">
        <w:rPr>
          <w:lang w:val="ru-RU"/>
        </w:rPr>
        <w:t xml:space="preserve"> </w:t>
      </w:r>
      <w:r w:rsidRPr="00245878">
        <w:t xml:space="preserve">на </w:t>
      </w:r>
      <w:r w:rsidR="00A55840">
        <w:rPr>
          <w:b/>
        </w:rPr>
        <w:t>2</w:t>
      </w:r>
      <w:r w:rsidRPr="005347BF">
        <w:rPr>
          <w:b/>
        </w:rPr>
        <w:t>,</w:t>
      </w:r>
      <w:r w:rsidR="00A55840">
        <w:rPr>
          <w:b/>
        </w:rPr>
        <w:t>98</w:t>
      </w:r>
      <w:r w:rsidRPr="00245878">
        <w:rPr>
          <w:b/>
        </w:rPr>
        <w:t xml:space="preserve"> млрд дол. США</w:t>
      </w:r>
      <w:r w:rsidRPr="00245878">
        <w:t>.</w:t>
      </w:r>
    </w:p>
    <w:p w14:paraId="2D021A05" w14:textId="77777777" w:rsidR="00A10F78" w:rsidRPr="00245878" w:rsidRDefault="00A10F78" w:rsidP="00A10F7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  <w:bookmarkStart w:id="0" w:name="_GoBack"/>
      <w:bookmarkEnd w:id="0"/>
    </w:p>
    <w:p w14:paraId="0FBF18F7" w14:textId="74B06FCE" w:rsidR="00D45255" w:rsidRPr="00245878" w:rsidRDefault="00A10F78" w:rsidP="00AC145B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245878">
        <w:rPr>
          <w:i/>
          <w:u w:val="single"/>
        </w:rPr>
        <w:t>Довідково</w:t>
      </w:r>
      <w:r w:rsidRPr="00245878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245878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C5CE" w14:textId="77777777" w:rsidR="007E231C" w:rsidRDefault="007E231C" w:rsidP="00AC145B">
      <w:r>
        <w:separator/>
      </w:r>
    </w:p>
  </w:endnote>
  <w:endnote w:type="continuationSeparator" w:id="0">
    <w:p w14:paraId="139C9FD4" w14:textId="77777777" w:rsidR="007E231C" w:rsidRDefault="007E231C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D3C6" w14:textId="77777777" w:rsidR="007E231C" w:rsidRDefault="007E231C" w:rsidP="00AC145B">
      <w:r>
        <w:separator/>
      </w:r>
    </w:p>
  </w:footnote>
  <w:footnote w:type="continuationSeparator" w:id="0">
    <w:p w14:paraId="2E187A8E" w14:textId="77777777" w:rsidR="007E231C" w:rsidRDefault="007E231C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663E"/>
    <w:rsid w:val="000B4F2F"/>
    <w:rsid w:val="000B7F8A"/>
    <w:rsid w:val="000C0D03"/>
    <w:rsid w:val="000C159E"/>
    <w:rsid w:val="000C3DD4"/>
    <w:rsid w:val="000D19AF"/>
    <w:rsid w:val="000D26BC"/>
    <w:rsid w:val="000D2FC7"/>
    <w:rsid w:val="000D482F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4E8"/>
    <w:rsid w:val="001431D1"/>
    <w:rsid w:val="00143587"/>
    <w:rsid w:val="00144EBE"/>
    <w:rsid w:val="00144F04"/>
    <w:rsid w:val="00146F1A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2002CF"/>
    <w:rsid w:val="0020525C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547E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71CC3"/>
    <w:rsid w:val="003808A7"/>
    <w:rsid w:val="00381B06"/>
    <w:rsid w:val="00384793"/>
    <w:rsid w:val="003912C9"/>
    <w:rsid w:val="003923E3"/>
    <w:rsid w:val="00392FC8"/>
    <w:rsid w:val="00395A94"/>
    <w:rsid w:val="0039699F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6B46"/>
    <w:rsid w:val="00407F3C"/>
    <w:rsid w:val="00413D76"/>
    <w:rsid w:val="004145F2"/>
    <w:rsid w:val="00424039"/>
    <w:rsid w:val="00431102"/>
    <w:rsid w:val="00432C37"/>
    <w:rsid w:val="00435693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5F0F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901D1"/>
    <w:rsid w:val="006912BA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7403"/>
    <w:rsid w:val="007074E1"/>
    <w:rsid w:val="007100FF"/>
    <w:rsid w:val="00724C6F"/>
    <w:rsid w:val="00725E85"/>
    <w:rsid w:val="0072663C"/>
    <w:rsid w:val="007309B4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A104A"/>
    <w:rsid w:val="007A1308"/>
    <w:rsid w:val="007A3652"/>
    <w:rsid w:val="007A391B"/>
    <w:rsid w:val="007A49BF"/>
    <w:rsid w:val="007A4A10"/>
    <w:rsid w:val="007A5B3D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31E3"/>
    <w:rsid w:val="009B1F63"/>
    <w:rsid w:val="009B24E6"/>
    <w:rsid w:val="009B57AD"/>
    <w:rsid w:val="009B5E28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63A"/>
    <w:rsid w:val="00A4076E"/>
    <w:rsid w:val="00A44DEB"/>
    <w:rsid w:val="00A46D37"/>
    <w:rsid w:val="00A55840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0570A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30838"/>
    <w:rsid w:val="00E32954"/>
    <w:rsid w:val="00E33058"/>
    <w:rsid w:val="00E33396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F070B"/>
    <w:rsid w:val="00EF138C"/>
    <w:rsid w:val="00F01811"/>
    <w:rsid w:val="00F04A37"/>
    <w:rsid w:val="00F056A4"/>
    <w:rsid w:val="00F07227"/>
    <w:rsid w:val="00F0785A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26059F-DA62-4179-A85E-B762FB2F6204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cedc1b3-a6a6-4744-bb8f-c9b717f8a9c9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367B80-2655-44C3-9933-E4D32811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Капленко Оксана Ігорівна</cp:lastModifiedBy>
  <cp:revision>3</cp:revision>
  <cp:lastPrinted>2025-08-25T08:44:00Z</cp:lastPrinted>
  <dcterms:created xsi:type="dcterms:W3CDTF">2025-12-01T12:10:00Z</dcterms:created>
  <dcterms:modified xsi:type="dcterms:W3CDTF">2025-12-01T12:17:00Z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