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7B" w:rsidRPr="00717618" w:rsidRDefault="00DB1FBF" w:rsidP="000017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0177B" w:rsidRPr="0071761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0177B" w:rsidRPr="00717618" w:rsidRDefault="0000177B" w:rsidP="000017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17618">
        <w:rPr>
          <w:rFonts w:ascii="Times New Roman" w:hAnsi="Times New Roman" w:cs="Times New Roman"/>
          <w:sz w:val="28"/>
          <w:szCs w:val="28"/>
        </w:rPr>
        <w:t xml:space="preserve">         Наказ Міністерства фінансів України</w:t>
      </w:r>
    </w:p>
    <w:p w:rsidR="00DB1FBF" w:rsidRPr="00717618" w:rsidRDefault="0000177B" w:rsidP="0000177B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_______________2019 року №______</w:t>
      </w:r>
      <w:r w:rsidR="00DB1FB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DB1FBF" w:rsidRPr="00717618" w:rsidRDefault="00DB1FBF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563" w:rsidRPr="00717618" w:rsidRDefault="00C00563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83C" w:rsidRPr="00717618" w:rsidRDefault="00D2783C" w:rsidP="00DB1FBF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7391" w:rsidRPr="00717618" w:rsidRDefault="004E7391" w:rsidP="00E74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ІНСТРУКЦІЯ </w:t>
      </w:r>
    </w:p>
    <w:p w:rsidR="00AB2F70" w:rsidRPr="00717618" w:rsidRDefault="00AB2F70" w:rsidP="00E74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>щодо заповнення форми</w:t>
      </w:r>
      <w:r w:rsidR="004E7391"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фінансово-економічних розрахунків </w:t>
      </w:r>
    </w:p>
    <w:p w:rsidR="004E7391" w:rsidRPr="00717618" w:rsidRDefault="004E7391" w:rsidP="00E74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="00DB1FBF"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CB71ED" w:rsidRPr="00717618" w:rsidRDefault="00CB71ED" w:rsidP="00E74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>І. Загальні положення</w:t>
      </w:r>
    </w:p>
    <w:p w:rsidR="008A5280" w:rsidRPr="00717618" w:rsidRDefault="008A5280" w:rsidP="00E74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Фінансово-економічні розрахунки до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00177B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розробл</w:t>
      </w:r>
      <w:r w:rsidR="00E74688" w:rsidRPr="00717618">
        <w:rPr>
          <w:rFonts w:ascii="Times New Roman" w:eastAsia="Times New Roman" w:hAnsi="Times New Roman" w:cs="Times New Roman"/>
          <w:bCs/>
          <w:sz w:val="28"/>
          <w:szCs w:val="28"/>
        </w:rPr>
        <w:t>яються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відповідно </w:t>
      </w:r>
      <w:r w:rsidR="00426A7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пунктів 2 і 3 §</w:t>
      </w:r>
      <w:r w:rsidR="00336CD4" w:rsidRPr="0071761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34 </w:t>
      </w:r>
      <w:r w:rsidR="00E74688" w:rsidRPr="00717618">
        <w:rPr>
          <w:rFonts w:ascii="Times New Roman" w:hAnsi="Times New Roman" w:cs="Times New Roman"/>
          <w:sz w:val="28"/>
          <w:szCs w:val="28"/>
        </w:rPr>
        <w:t xml:space="preserve">глави 2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Регламенту Кабінету Міністрів України</w:t>
      </w:r>
      <w:r w:rsidR="00426A7F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249F" w:rsidRPr="00717618">
        <w:rPr>
          <w:rFonts w:ascii="Times New Roman" w:eastAsia="Times New Roman" w:hAnsi="Times New Roman" w:cs="Times New Roman"/>
          <w:bCs/>
          <w:sz w:val="28"/>
          <w:szCs w:val="28"/>
        </w:rPr>
        <w:t>затвердженого</w:t>
      </w:r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249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постановою </w:t>
      </w:r>
      <w:r w:rsidR="00B7125D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Кабінету Міністрів України </w:t>
      </w:r>
      <w:r w:rsidR="0006249F" w:rsidRPr="00717618">
        <w:rPr>
          <w:rFonts w:ascii="Times New Roman" w:eastAsia="Times New Roman" w:hAnsi="Times New Roman" w:cs="Times New Roman"/>
          <w:bCs/>
          <w:sz w:val="28"/>
          <w:szCs w:val="28"/>
        </w:rPr>
        <w:t>від 18 липня 2007 р</w:t>
      </w:r>
      <w:r w:rsidR="00336CD4" w:rsidRPr="00717618">
        <w:rPr>
          <w:rFonts w:ascii="Times New Roman" w:eastAsia="Times New Roman" w:hAnsi="Times New Roman" w:cs="Times New Roman"/>
          <w:bCs/>
          <w:sz w:val="28"/>
          <w:szCs w:val="28"/>
        </w:rPr>
        <w:t>оку</w:t>
      </w:r>
      <w:r w:rsidR="0006249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336CD4" w:rsidRPr="0071761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06249F" w:rsidRPr="00717618">
        <w:rPr>
          <w:rFonts w:ascii="Times New Roman" w:eastAsia="Times New Roman" w:hAnsi="Times New Roman" w:cs="Times New Roman"/>
          <w:bCs/>
          <w:sz w:val="28"/>
          <w:szCs w:val="28"/>
        </w:rPr>
        <w:t>950</w:t>
      </w:r>
      <w:r w:rsidR="0000177B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6249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</w:t>
      </w:r>
      <w:r w:rsidR="00240E7A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призначені для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відображення у єдиному форматі 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прямого та опосередкованого впливу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0177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bookmarkStart w:id="0" w:name="_GoBack"/>
      <w:bookmarkEnd w:id="0"/>
      <w:r w:rsidRPr="00717618">
        <w:rPr>
          <w:rFonts w:ascii="Times New Roman" w:eastAsia="Times New Roman" w:hAnsi="Times New Roman" w:cs="Times New Roman"/>
          <w:sz w:val="28"/>
          <w:szCs w:val="28"/>
        </w:rPr>
        <w:t>а надходження та витрати державного та/або місцевого бюджетів.</w:t>
      </w:r>
    </w:p>
    <w:p w:rsidR="00080B98" w:rsidRPr="00717618" w:rsidRDefault="00080B98" w:rsidP="00E74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Будь-який нормативно-правовий або законодавчий акт має цінність тільки у випадку його фактичного застосування/реалізації. Одна з найбільших перешкод для цього – відсутність фінансового обґрунтування для реалізації передбачених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00177B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ктом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00177B" w:rsidRPr="007176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дій. Розроблення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720643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2B83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720643" w:rsidRPr="007176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EA2B8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є способом не лише дізнатися, що саме розробник </w:t>
      </w:r>
      <w:r w:rsidR="0072064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цього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720643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вважає своїми головними проблемами і яким чином бажає розв’язати ці проблем</w:t>
      </w:r>
      <w:r w:rsidR="00720643" w:rsidRPr="0071761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й способом </w:t>
      </w:r>
      <w:r w:rsidR="003F161C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належного </w:t>
      </w:r>
      <w:r w:rsidR="003F161C" w:rsidRPr="007176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середньострокового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планування, необхідного для здійснення бажаних змін.</w:t>
      </w:r>
    </w:p>
    <w:p w:rsidR="00080B98" w:rsidRPr="00717618" w:rsidRDefault="00080B98" w:rsidP="00E74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Розробник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720643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кт</w:t>
      </w:r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оцінює ресурси, потрібні для виконання завдань</w:t>
      </w:r>
      <w:r w:rsidR="00720643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розраховує надходження/витрати, </w:t>
      </w:r>
      <w:r w:rsidR="00144A52" w:rsidRPr="0071761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тому числі</w:t>
      </w:r>
      <w:r w:rsidR="008A5280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визначає потребу фінансування з державного та/або місцевих бюджетів та проводить необхідні фінансово-економічні розрахунки за формою</w:t>
      </w:r>
      <w:r w:rsidR="00E74688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A5280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визначеною у Додатку </w:t>
      </w:r>
      <w:r w:rsidR="00E74688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Методики проведення фінансово-економічних розрахунків при підготовці проекту </w:t>
      </w:r>
      <w:proofErr w:type="spellStart"/>
      <w:r w:rsidR="00E74688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E74688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0B98" w:rsidRPr="00717618" w:rsidRDefault="00080B98" w:rsidP="00E74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Фінансово-економічні розрахунки обов’язково додаються розробником </w:t>
      </w:r>
      <w:proofErr w:type="spellStart"/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пояснювальної записки до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71ED" w:rsidRPr="00717618" w:rsidRDefault="00124E01" w:rsidP="00E74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Заповнення </w:t>
      </w:r>
      <w:r w:rsidR="00D46A2B"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 </w:t>
      </w:r>
      <w:r w:rsidRPr="00717618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фінансово-економічних розрахунків</w:t>
      </w:r>
    </w:p>
    <w:p w:rsidR="0082424D" w:rsidRPr="00717618" w:rsidRDefault="00E74688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82424D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пункті 1 зазначається найменування </w:t>
      </w:r>
      <w:r w:rsidR="00ED2EB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головного </w:t>
      </w:r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розробника.</w:t>
      </w:r>
    </w:p>
    <w:p w:rsidR="0082424D" w:rsidRPr="00717618" w:rsidRDefault="00E74688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 xml:space="preserve"> пункті 2 зазначається вид </w:t>
      </w:r>
      <w:proofErr w:type="spellStart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оє</w:t>
      </w:r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: постанова, розпорядження, закон тощо.</w:t>
      </w:r>
    </w:p>
    <w:p w:rsidR="0082424D" w:rsidRPr="00717618" w:rsidRDefault="00E74688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 xml:space="preserve"> пункті 3 зазначається назва </w:t>
      </w:r>
      <w:proofErr w:type="spellStart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82424D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E26" w:rsidRPr="00717618" w:rsidRDefault="00E74688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82424D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пункті 4 наводиться </w:t>
      </w:r>
      <w:r w:rsidR="00D137EE" w:rsidRPr="00717618">
        <w:rPr>
          <w:rFonts w:ascii="Times New Roman" w:eastAsia="Times New Roman" w:hAnsi="Times New Roman" w:cs="Times New Roman"/>
          <w:bCs/>
          <w:sz w:val="28"/>
          <w:szCs w:val="28"/>
        </w:rPr>
        <w:t>період</w:t>
      </w:r>
      <w:r w:rsidR="00A14E26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реалізації </w:t>
      </w:r>
      <w:proofErr w:type="spellStart"/>
      <w:r w:rsidR="00A14E26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>, зокрема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137EE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необхідно вказати прогнозний </w:t>
      </w:r>
      <w:r w:rsidR="00AF52F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рік </w:t>
      </w:r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>почат</w:t>
      </w:r>
      <w:r w:rsidR="00AF52FF" w:rsidRPr="00717618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581044" w:rsidRPr="00717618">
        <w:rPr>
          <w:rFonts w:ascii="Times New Roman" w:eastAsia="Times New Roman" w:hAnsi="Times New Roman" w:cs="Times New Roman"/>
          <w:sz w:val="28"/>
          <w:szCs w:val="28"/>
        </w:rPr>
        <w:t xml:space="preserve"> реалізації </w:t>
      </w:r>
      <w:proofErr w:type="spellStart"/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 xml:space="preserve"> та кінцевий </w:t>
      </w:r>
      <w:r w:rsidR="00AF52FF" w:rsidRPr="00717618">
        <w:rPr>
          <w:rFonts w:ascii="Times New Roman" w:eastAsia="Times New Roman" w:hAnsi="Times New Roman" w:cs="Times New Roman"/>
          <w:sz w:val="28"/>
          <w:szCs w:val="28"/>
        </w:rPr>
        <w:t>рік</w:t>
      </w:r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 xml:space="preserve"> реалізації </w:t>
      </w:r>
      <w:proofErr w:type="spellStart"/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D137EE"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14E26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якщо </w:t>
      </w:r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 xml:space="preserve">термін 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реалізації </w:t>
      </w:r>
      <w:proofErr w:type="spellStart"/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не обмежен</w:t>
      </w:r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часовими рамками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 xml:space="preserve"> у колонці «кінцевий термін реалізації </w:t>
      </w:r>
      <w:proofErr w:type="spellStart"/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вказується «постійно»</w:t>
      </w:r>
      <w:r w:rsidR="00D137EE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2FF" w:rsidRPr="00717618" w:rsidRDefault="00E74688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пункті 5 н</w:t>
      </w:r>
      <w:r w:rsidR="00AF52F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аводиться перелік стратегічних цілей та зазначаються очікувані у поточному </w:t>
      </w:r>
      <w:r w:rsidR="00144A52" w:rsidRPr="00717618">
        <w:rPr>
          <w:rFonts w:ascii="Times New Roman" w:eastAsia="Times New Roman" w:hAnsi="Times New Roman" w:cs="Times New Roman"/>
          <w:bCs/>
          <w:sz w:val="28"/>
          <w:szCs w:val="28"/>
        </w:rPr>
        <w:t>та середньостроковому</w:t>
      </w:r>
      <w:r w:rsidR="00AF52F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періодах показники результату діяльності головного розпорядника</w:t>
      </w:r>
      <w:r w:rsidR="00B8206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бюджетних коштів</w:t>
      </w:r>
      <w:r w:rsidR="00144A52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8206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повноважень якого віднесено виконання </w:t>
      </w:r>
      <w:proofErr w:type="spellStart"/>
      <w:r w:rsidR="00B8206B"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B8206B"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="00B8206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06B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AF52FF"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67E4" w:rsidRPr="00717618" w:rsidRDefault="00D967E4" w:rsidP="00501E3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Стратегічні цілі та показники результату мають відповідати критеріям</w:t>
      </w:r>
      <w:r w:rsidR="008109BB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визначеним </w:t>
      </w:r>
      <w:r w:rsidR="00CF4CBD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Методичними рекомендаціями щодо розроблення планів діяльності </w:t>
      </w:r>
      <w:r w:rsidR="00CF4CBD" w:rsidRPr="007176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головних розпорядників бюджетних коштів (за бюджетними призначеннями, визначеними законом про Державний бюджет України на відповідний бюджетний період) на плановий та два бюджетні періоди</w:t>
      </w:r>
      <w:r w:rsidR="008109BB" w:rsidRPr="00717618">
        <w:rPr>
          <w:rFonts w:ascii="Times New Roman" w:eastAsia="Times New Roman" w:hAnsi="Times New Roman" w:cs="Times New Roman"/>
          <w:bCs/>
          <w:sz w:val="28"/>
          <w:szCs w:val="28"/>
        </w:rPr>
        <w:t>, що настають за плановим</w:t>
      </w:r>
      <w:r w:rsidR="00CF4CBD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(наказ Міністерства економічного розвитку і торгівлі України 25.07.2012 № 869) та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Інструкцією з підготовки бюджетних запитів</w:t>
      </w:r>
      <w:r w:rsidR="00CF4CBD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наказ Мін</w:t>
      </w:r>
      <w:r w:rsidR="008109B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істерства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фін</w:t>
      </w:r>
      <w:r w:rsidR="008109BB" w:rsidRPr="00717618">
        <w:rPr>
          <w:rFonts w:ascii="Times New Roman" w:eastAsia="Times New Roman" w:hAnsi="Times New Roman" w:cs="Times New Roman"/>
          <w:bCs/>
          <w:sz w:val="28"/>
          <w:szCs w:val="28"/>
        </w:rPr>
        <w:t>ансів України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 06.06.2012 № 687</w:t>
      </w:r>
      <w:r w:rsidR="00501E38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зареєстрований </w:t>
      </w:r>
      <w:r w:rsidR="006678AF" w:rsidRPr="0071761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501E38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Міністерстві юстиції України</w:t>
      </w:r>
      <w:r w:rsidR="006678A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1E38" w:rsidRPr="00717618">
        <w:rPr>
          <w:rFonts w:ascii="Times New Roman" w:eastAsia="Times New Roman" w:hAnsi="Times New Roman" w:cs="Times New Roman"/>
          <w:bCs/>
          <w:sz w:val="28"/>
          <w:szCs w:val="28"/>
        </w:rPr>
        <w:t>26 червня 2012 р</w:t>
      </w:r>
      <w:r w:rsidR="006678AF" w:rsidRPr="00717618">
        <w:rPr>
          <w:rFonts w:ascii="Times New Roman" w:eastAsia="Times New Roman" w:hAnsi="Times New Roman" w:cs="Times New Roman"/>
          <w:bCs/>
          <w:sz w:val="28"/>
          <w:szCs w:val="28"/>
        </w:rPr>
        <w:t>оку</w:t>
      </w:r>
      <w:r w:rsidR="00501E38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r w:rsidR="006678AF" w:rsidRPr="00717618">
        <w:rPr>
          <w:rFonts w:ascii="Times New Roman" w:eastAsia="Times New Roman" w:hAnsi="Times New Roman" w:cs="Times New Roman"/>
          <w:bCs/>
          <w:sz w:val="28"/>
          <w:szCs w:val="28"/>
        </w:rPr>
        <w:t> №</w:t>
      </w:r>
      <w:r w:rsidR="00501E38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1057/21369</w:t>
      </w:r>
      <w:r w:rsidR="00CF4CBD" w:rsidRPr="0071761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148A0" w:rsidRPr="00717618" w:rsidRDefault="009148A0" w:rsidP="00E7468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разі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якщо заходи</w:t>
      </w:r>
      <w:r w:rsidR="00E74688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передбачені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ктом</w:t>
      </w:r>
      <w:proofErr w:type="spellEnd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будуть реалізовуватись в рамках діючої стратегічної цілі, визначеної Бюджетною декларацією та бюджетним запитом головного розпорядника бюджетних коштів, показники результату зазначаються в цілому по стратегічній цілі.</w:t>
      </w:r>
    </w:p>
    <w:p w:rsidR="00AF52FF" w:rsidRPr="00717618" w:rsidRDefault="00D967E4" w:rsidP="00E7468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Нові стратегічні цілі та показники результату, як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планує досягти розробник з прийняттям </w:t>
      </w:r>
      <w:proofErr w:type="spellStart"/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мають відповідати</w:t>
      </w:r>
      <w:r w:rsidR="00AF52F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пріоритет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E74688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F52FF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>визначеним у щорічному посланні Президента України до Верховної Ради України про внутрішнє і зовнішнє становище України, Програмі діяльності Кабінету Міністрів України, прогнозних та програмних документах економічного і соціального розвитку</w:t>
      </w:r>
      <w:r w:rsidR="00AF52FF"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249F" w:rsidRPr="00717618" w:rsidRDefault="0077700B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У пункті 6 </w:t>
      </w:r>
      <w:r w:rsidR="0006249F" w:rsidRPr="00717618">
        <w:rPr>
          <w:rFonts w:ascii="Times New Roman" w:eastAsia="Times New Roman" w:hAnsi="Times New Roman" w:cs="Times New Roman"/>
          <w:sz w:val="28"/>
          <w:szCs w:val="28"/>
        </w:rPr>
        <w:t xml:space="preserve">розробник </w:t>
      </w:r>
      <w:proofErr w:type="spellStart"/>
      <w:r w:rsidR="0006249F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06249F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06249F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249F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06249F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>обов’язково зазначає бюджетну програму</w:t>
      </w:r>
      <w:r w:rsidR="0055181D" w:rsidRPr="007176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5181D" w:rsidRPr="00717618">
        <w:rPr>
          <w:rFonts w:ascii="Times New Roman" w:eastAsia="Times New Roman" w:hAnsi="Times New Roman" w:cs="Times New Roman"/>
          <w:sz w:val="28"/>
          <w:szCs w:val="28"/>
        </w:rPr>
        <w:t>межах</w:t>
      </w:r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 xml:space="preserve"> якої планується виконувати </w:t>
      </w:r>
      <w:proofErr w:type="spellStart"/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7E4" w:rsidRPr="00717618" w:rsidRDefault="007D4213" w:rsidP="00E74688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Якщо виконання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буде здійснюватися в </w:t>
      </w:r>
      <w:r w:rsidR="0055181D" w:rsidRPr="00717618">
        <w:rPr>
          <w:rFonts w:ascii="Times New Roman" w:eastAsia="Times New Roman" w:hAnsi="Times New Roman" w:cs="Times New Roman"/>
          <w:sz w:val="28"/>
          <w:szCs w:val="28"/>
        </w:rPr>
        <w:t>межах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діючої бюджетної програми, </w:t>
      </w:r>
      <w:r w:rsidR="0077700B" w:rsidRPr="007176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 xml:space="preserve">озробник </w:t>
      </w:r>
      <w:proofErr w:type="spellStart"/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00B" w:rsidRPr="00717618">
        <w:rPr>
          <w:rFonts w:ascii="Times New Roman" w:eastAsia="Times New Roman" w:hAnsi="Times New Roman" w:cs="Times New Roman"/>
          <w:sz w:val="28"/>
          <w:szCs w:val="28"/>
        </w:rPr>
        <w:t>вказує</w:t>
      </w:r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 xml:space="preserve"> код програмної класифікації видатків та кредитування державного бюджету</w:t>
      </w:r>
      <w:r w:rsidR="0077700B" w:rsidRPr="00717618">
        <w:rPr>
          <w:rFonts w:ascii="Times New Roman" w:eastAsia="Times New Roman" w:hAnsi="Times New Roman" w:cs="Times New Roman"/>
          <w:sz w:val="28"/>
          <w:szCs w:val="28"/>
        </w:rPr>
        <w:t xml:space="preserve"> (КПКВК)</w:t>
      </w:r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="00BB6F37" w:rsidRPr="00717618">
        <w:rPr>
          <w:rFonts w:ascii="Times New Roman" w:eastAsia="Times New Roman" w:hAnsi="Times New Roman" w:cs="Times New Roman"/>
          <w:sz w:val="28"/>
          <w:szCs w:val="28"/>
        </w:rPr>
        <w:t>типової програмної класифікації видатків та кредитування місце</w:t>
      </w:r>
      <w:r w:rsidR="0077700B" w:rsidRPr="00717618">
        <w:rPr>
          <w:rFonts w:ascii="Times New Roman" w:eastAsia="Times New Roman" w:hAnsi="Times New Roman" w:cs="Times New Roman"/>
          <w:sz w:val="28"/>
          <w:szCs w:val="28"/>
        </w:rPr>
        <w:t>вих бюджетів</w:t>
      </w:r>
      <w:r w:rsidR="0055181D" w:rsidRPr="00717618">
        <w:rPr>
          <w:rFonts w:ascii="Times New Roman" w:eastAsia="Times New Roman" w:hAnsi="Times New Roman" w:cs="Times New Roman"/>
          <w:sz w:val="28"/>
          <w:szCs w:val="28"/>
        </w:rPr>
        <w:t xml:space="preserve"> (ТПКВКМБ</w:t>
      </w:r>
      <w:r w:rsidR="0077700B" w:rsidRPr="0071761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6F37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>та назву б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юджетн</w:t>
      </w:r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770A21" w:rsidRPr="007176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, якою буде забезпечуватись виконання </w:t>
      </w:r>
      <w:proofErr w:type="spellStart"/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BB6F37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E26" w:rsidRPr="00717618" w:rsidRDefault="00BB6F37" w:rsidP="00E74688">
      <w:pPr>
        <w:pStyle w:val="a3"/>
        <w:spacing w:after="0" w:line="36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випадку необхідності </w:t>
      </w:r>
      <w:r w:rsidR="0055181D" w:rsidRPr="00717618">
        <w:rPr>
          <w:rFonts w:ascii="Times New Roman" w:eastAsia="Times New Roman" w:hAnsi="Times New Roman" w:cs="Times New Roman"/>
          <w:sz w:val="28"/>
          <w:szCs w:val="28"/>
        </w:rPr>
        <w:t>відкриття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нової бюджетної програми вказується назва бюджетної програми без </w:t>
      </w:r>
      <w:r w:rsidR="004964DC" w:rsidRPr="00717618">
        <w:rPr>
          <w:rFonts w:ascii="Times New Roman" w:eastAsia="Times New Roman" w:hAnsi="Times New Roman" w:cs="Times New Roman"/>
          <w:sz w:val="28"/>
          <w:szCs w:val="28"/>
        </w:rPr>
        <w:t xml:space="preserve">зазначення 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коду</w:t>
      </w:r>
      <w:r w:rsidR="000D15A3" w:rsidRPr="00717618">
        <w:rPr>
          <w:rFonts w:ascii="Times New Roman" w:eastAsia="Times New Roman" w:hAnsi="Times New Roman" w:cs="Times New Roman"/>
          <w:sz w:val="28"/>
          <w:szCs w:val="28"/>
        </w:rPr>
        <w:t>, але із зазначенням головного розпорядника коштів</w:t>
      </w:r>
      <w:r w:rsidR="0055181D" w:rsidRPr="007176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5A3" w:rsidRPr="00717618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відповідального за виконання цієї програми.</w:t>
      </w:r>
    </w:p>
    <w:p w:rsidR="0089565A" w:rsidRPr="00717618" w:rsidRDefault="0077700B" w:rsidP="00E74688">
      <w:pPr>
        <w:pStyle w:val="a3"/>
        <w:numPr>
          <w:ilvl w:val="0"/>
          <w:numId w:val="3"/>
        </w:numPr>
        <w:spacing w:after="0" w:line="36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 пункті 7 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розробник </w:t>
      </w:r>
      <w:proofErr w:type="spellStart"/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зазначає загальну вартість </w:t>
      </w:r>
      <w:r w:rsidR="004964DC" w:rsidRPr="00717618">
        <w:rPr>
          <w:rFonts w:ascii="Times New Roman" w:eastAsia="Times New Roman" w:hAnsi="Times New Roman" w:cs="Times New Roman"/>
          <w:bCs/>
          <w:sz w:val="28"/>
          <w:szCs w:val="28"/>
        </w:rPr>
        <w:t>реалізації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181D" w:rsidRPr="00717618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181D" w:rsidRPr="00717618">
        <w:rPr>
          <w:rFonts w:ascii="Times New Roman" w:eastAsia="Times New Roman" w:hAnsi="Times New Roman" w:cs="Times New Roman"/>
          <w:bCs/>
          <w:sz w:val="28"/>
          <w:szCs w:val="28"/>
        </w:rPr>
        <w:t>вказує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джерел</w:t>
      </w:r>
      <w:r w:rsidR="0055181D" w:rsidRPr="007176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здійснення витрат, зокрема</w:t>
      </w:r>
      <w:r w:rsidR="006D6B7C" w:rsidRPr="007176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рахунок бюджету та/або за рахунок інших джерел</w:t>
      </w:r>
      <w:r w:rsidR="000D15A3" w:rsidRPr="00717618">
        <w:rPr>
          <w:rFonts w:ascii="Times New Roman" w:hAnsi="Times New Roman" w:cs="Times New Roman"/>
          <w:sz w:val="28"/>
          <w:szCs w:val="28"/>
        </w:rPr>
        <w:t xml:space="preserve"> </w:t>
      </w:r>
      <w:r w:rsidR="000D15A3" w:rsidRPr="00717618">
        <w:rPr>
          <w:rFonts w:ascii="Times New Roman" w:eastAsia="Times New Roman" w:hAnsi="Times New Roman" w:cs="Times New Roman"/>
          <w:bCs/>
          <w:sz w:val="28"/>
          <w:szCs w:val="28"/>
        </w:rPr>
        <w:t>(з розбивкою за роками)</w:t>
      </w:r>
      <w:r w:rsidR="0055181D"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7700B" w:rsidRPr="00717618" w:rsidRDefault="0089565A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У пункті 8 </w:t>
      </w:r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розробник </w:t>
      </w:r>
      <w:proofErr w:type="spellStart"/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надає в</w:t>
      </w:r>
      <w:r w:rsidR="00BB6F37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ідповіді на </w:t>
      </w:r>
      <w:r w:rsidR="00FB48C4" w:rsidRPr="00717618">
        <w:rPr>
          <w:rFonts w:ascii="Times New Roman" w:eastAsia="Times New Roman" w:hAnsi="Times New Roman" w:cs="Times New Roman"/>
          <w:bCs/>
          <w:sz w:val="28"/>
          <w:szCs w:val="28"/>
        </w:rPr>
        <w:t>перелік питань</w:t>
      </w:r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>, які</w:t>
      </w:r>
      <w:r w:rsidR="00BB6F37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мають на меті допомогти </w:t>
      </w:r>
      <w:r w:rsidR="0077700B" w:rsidRPr="00717618">
        <w:rPr>
          <w:rFonts w:ascii="Times New Roman" w:eastAsia="Times New Roman" w:hAnsi="Times New Roman" w:cs="Times New Roman"/>
          <w:bCs/>
          <w:sz w:val="28"/>
          <w:szCs w:val="28"/>
        </w:rPr>
        <w:t>йому</w:t>
      </w:r>
      <w:r w:rsidR="00BB6F37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визначити необхідність здійснення зведених фінансово-економічних розрахунків</w:t>
      </w:r>
      <w:r w:rsidR="005D05D5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Перелік питань не є вичерпним і розробник </w:t>
      </w:r>
      <w:proofErr w:type="spellStart"/>
      <w:r w:rsidR="005D05D5" w:rsidRPr="00717618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5D05D5" w:rsidRPr="00717618">
        <w:rPr>
          <w:rFonts w:ascii="Times New Roman" w:eastAsia="Times New Roman" w:hAnsi="Times New Roman" w:cs="Times New Roman"/>
          <w:bCs/>
          <w:sz w:val="28"/>
          <w:szCs w:val="28"/>
        </w:rPr>
        <w:t>кту</w:t>
      </w:r>
      <w:proofErr w:type="spellEnd"/>
      <w:r w:rsidR="005D05D5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05D5" w:rsidRPr="00717618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5D05D5" w:rsidRPr="0071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 доповнювати його іншими питаннями у </w:t>
      </w:r>
      <w:r w:rsidR="005D05D5" w:rsidRPr="00717618">
        <w:rPr>
          <w:rFonts w:ascii="Times New Roman" w:eastAsia="Times New Roman" w:hAnsi="Times New Roman" w:cs="Times New Roman"/>
          <w:sz w:val="28"/>
          <w:szCs w:val="28"/>
        </w:rPr>
        <w:t>відповідній галузі (сфері)</w:t>
      </w:r>
      <w:r w:rsidR="005D05D5" w:rsidRPr="00717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B6F37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5F51" w:rsidRPr="00717618" w:rsidRDefault="00BB6F37" w:rsidP="00E7468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якщо на всі питання 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 xml:space="preserve">надається 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відповідь «ні»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зведені фінансово-економічні розрахунки можуть не здійснюватися. 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У цьому випадку розробником заповнюються пункти 1-</w:t>
      </w:r>
      <w:r w:rsidR="0089565A" w:rsidRPr="0071761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 xml:space="preserve"> та 10 форми фінансово-економічних розрахунків </w:t>
      </w:r>
      <w:proofErr w:type="spellStart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2B" w:rsidRPr="00717618" w:rsidRDefault="005D05D5" w:rsidP="00E7468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 xml:space="preserve">надається 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відповід</w:t>
      </w:r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«так»</w:t>
      </w:r>
      <w:r w:rsidR="00ED2EBB" w:rsidRPr="00717618">
        <w:rPr>
          <w:rFonts w:ascii="Times New Roman" w:eastAsia="Times New Roman" w:hAnsi="Times New Roman" w:cs="Times New Roman"/>
          <w:sz w:val="28"/>
          <w:szCs w:val="28"/>
        </w:rPr>
        <w:t xml:space="preserve"> хоча </w:t>
      </w:r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ED2EBB" w:rsidRPr="00717618">
        <w:rPr>
          <w:rFonts w:ascii="Times New Roman" w:eastAsia="Times New Roman" w:hAnsi="Times New Roman" w:cs="Times New Roman"/>
          <w:sz w:val="28"/>
          <w:szCs w:val="28"/>
        </w:rPr>
        <w:t>на одне питання</w:t>
      </w:r>
      <w:r w:rsidR="007D4213" w:rsidRPr="00717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46A2B" w:rsidRPr="00717618">
        <w:rPr>
          <w:rFonts w:ascii="Times New Roman" w:eastAsia="Times New Roman" w:hAnsi="Times New Roman" w:cs="Times New Roman"/>
          <w:sz w:val="28"/>
          <w:szCs w:val="28"/>
        </w:rPr>
        <w:t xml:space="preserve">озробник </w:t>
      </w:r>
      <w:proofErr w:type="spellStart"/>
      <w:r w:rsidR="00D46A2B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D46A2B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D46A2B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6A2B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D46A2B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 xml:space="preserve">здійснює </w:t>
      </w:r>
      <w:r w:rsidR="00D51BAD" w:rsidRPr="00717618">
        <w:rPr>
          <w:rFonts w:ascii="Times New Roman" w:eastAsia="Times New Roman" w:hAnsi="Times New Roman" w:cs="Times New Roman"/>
          <w:sz w:val="28"/>
          <w:szCs w:val="28"/>
        </w:rPr>
        <w:t>попередні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 xml:space="preserve"> розрахунки та заповнює всі пункти форми фінансово-економічних розрахунків </w:t>
      </w:r>
      <w:proofErr w:type="spellStart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D46A2B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 xml:space="preserve"> Відповідаючи на питання, розробник </w:t>
      </w:r>
      <w:proofErr w:type="spellStart"/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 xml:space="preserve"> має враховувати відмінність </w:t>
      </w:r>
      <w:r w:rsidR="004964DC" w:rsidRPr="00717618">
        <w:rPr>
          <w:rFonts w:ascii="Times New Roman" w:eastAsia="Times New Roman" w:hAnsi="Times New Roman" w:cs="Times New Roman"/>
          <w:sz w:val="28"/>
          <w:szCs w:val="28"/>
        </w:rPr>
        <w:t xml:space="preserve">показників </w:t>
      </w:r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>кожного року реалізації до попереднього періоду.</w:t>
      </w:r>
    </w:p>
    <w:p w:rsidR="00585F51" w:rsidRPr="00717618" w:rsidRDefault="00D51BAD" w:rsidP="00E7468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Попередні 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 xml:space="preserve">розрахунки додаються до фінансово-економічних розрахунків </w:t>
      </w:r>
      <w:proofErr w:type="spellStart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, які</w:t>
      </w:r>
      <w:r w:rsidR="00A57F1C" w:rsidRPr="00717618">
        <w:rPr>
          <w:rFonts w:ascii="Times New Roman" w:eastAsia="Times New Roman" w:hAnsi="Times New Roman" w:cs="Times New Roman"/>
          <w:sz w:val="28"/>
          <w:szCs w:val="28"/>
        </w:rPr>
        <w:t xml:space="preserve"> є їх невід’ємною частиною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F51" w:rsidRPr="00717618" w:rsidRDefault="0077700B" w:rsidP="00E74688">
      <w:pPr>
        <w:pStyle w:val="a3"/>
        <w:numPr>
          <w:ilvl w:val="0"/>
          <w:numId w:val="3"/>
        </w:numPr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У пункті </w:t>
      </w:r>
      <w:r w:rsidR="0089565A" w:rsidRPr="007176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визначається </w:t>
      </w:r>
      <w:r w:rsidR="00FB1C23" w:rsidRPr="00717618">
        <w:rPr>
          <w:rFonts w:ascii="Times New Roman" w:eastAsia="Times New Roman" w:hAnsi="Times New Roman" w:cs="Times New Roman"/>
          <w:sz w:val="28"/>
          <w:szCs w:val="28"/>
        </w:rPr>
        <w:t xml:space="preserve">цільова аудиторія. </w:t>
      </w:r>
    </w:p>
    <w:p w:rsidR="00585F51" w:rsidRPr="00717618" w:rsidRDefault="0077700B" w:rsidP="00E74688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Якщо актом будуть забезпечуватися потреби всього населення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7C" w:rsidRPr="00717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графі «Назва цільової </w:t>
      </w:r>
      <w:r w:rsidR="00233FAB" w:rsidRPr="00717618">
        <w:rPr>
          <w:rFonts w:ascii="Times New Roman" w:eastAsia="Times New Roman" w:hAnsi="Times New Roman" w:cs="Times New Roman"/>
          <w:sz w:val="28"/>
          <w:szCs w:val="28"/>
        </w:rPr>
        <w:t>аудиторії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B1C23" w:rsidRPr="00717618"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«все населення», а інші графи не заповнюються. </w:t>
      </w:r>
    </w:p>
    <w:p w:rsidR="0077700B" w:rsidRPr="00717618" w:rsidRDefault="0077700B" w:rsidP="00E74688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Розробник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C23" w:rsidRPr="00717618">
        <w:rPr>
          <w:rFonts w:ascii="Times New Roman" w:eastAsia="Times New Roman" w:hAnsi="Times New Roman" w:cs="Times New Roman"/>
          <w:sz w:val="28"/>
          <w:szCs w:val="28"/>
        </w:rPr>
        <w:t>розподіляє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цільову аудиторію на групи (наприклад, </w:t>
      </w:r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за контингентом осіб у відповідній галузі (сфері),</w:t>
      </w:r>
      <w:r w:rsidR="000F0CA2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віком, статтю, місцем проживання, станом здоров’я, категорією пільг</w:t>
      </w:r>
      <w:r w:rsidR="00797A73" w:rsidRPr="00717618">
        <w:rPr>
          <w:rFonts w:ascii="Times New Roman" w:eastAsia="Times New Roman" w:hAnsi="Times New Roman" w:cs="Times New Roman"/>
          <w:sz w:val="28"/>
          <w:szCs w:val="28"/>
        </w:rPr>
        <w:t xml:space="preserve">, суб’єктом </w:t>
      </w:r>
      <w:r w:rsidR="00797A73" w:rsidRPr="00717618">
        <w:rPr>
          <w:rFonts w:ascii="Times New Roman" w:eastAsia="Times New Roman" w:hAnsi="Times New Roman" w:cs="Times New Roman"/>
          <w:sz w:val="28"/>
          <w:szCs w:val="28"/>
        </w:rPr>
        <w:lastRenderedPageBreak/>
        <w:t>підприємницької діяльності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тощо) тільки у разі різної вартості забезпечення потреб цих груп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врахованих у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кті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FB1C23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F51" w:rsidRPr="00717618" w:rsidRDefault="00FB1C23" w:rsidP="00E7468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У пункті </w:t>
      </w:r>
      <w:r w:rsidR="0089565A" w:rsidRPr="0071761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розробник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наводить зведені фінансово-економічні розрахунки до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585F51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904" w:rsidRPr="00717618" w:rsidRDefault="004A561A" w:rsidP="00E74688">
      <w:pPr>
        <w:pStyle w:val="a3"/>
        <w:shd w:val="clear" w:color="auto" w:fill="FFFFFF"/>
        <w:spacing w:after="0" w:line="36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При заповненні пункту </w:t>
      </w:r>
      <w:r w:rsidR="0089565A" w:rsidRPr="0071761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37904" w:rsidRPr="00717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561A" w:rsidRPr="00717618" w:rsidRDefault="004A561A" w:rsidP="00E74688">
      <w:pPr>
        <w:pStyle w:val="a3"/>
        <w:shd w:val="clear" w:color="auto" w:fill="FFFFFF"/>
        <w:spacing w:after="0" w:line="36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видатки наводяться за </w:t>
      </w:r>
      <w:r w:rsidR="00F37904" w:rsidRPr="00717618">
        <w:rPr>
          <w:rFonts w:ascii="Times New Roman" w:eastAsia="Times New Roman" w:hAnsi="Times New Roman" w:cs="Times New Roman"/>
          <w:sz w:val="28"/>
          <w:szCs w:val="28"/>
        </w:rPr>
        <w:t xml:space="preserve">КПКВК або ТПКВКМБ з подальшою їх деталізацією 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37904" w:rsidRPr="00717618">
        <w:rPr>
          <w:rFonts w:ascii="Times New Roman" w:eastAsia="Times New Roman" w:hAnsi="Times New Roman" w:cs="Times New Roman"/>
          <w:sz w:val="28"/>
          <w:szCs w:val="28"/>
        </w:rPr>
        <w:t>а напрями використання бюджетних коштів та за кодами економічної класифікації видатків бюджету (КЕКВ);</w:t>
      </w:r>
    </w:p>
    <w:p w:rsidR="00F37904" w:rsidRPr="00717618" w:rsidRDefault="00F37904" w:rsidP="00E74688">
      <w:pPr>
        <w:pStyle w:val="a3"/>
        <w:shd w:val="clear" w:color="auto" w:fill="FFFFFF"/>
        <w:spacing w:after="0" w:line="36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доходи – за класифікацією доходів бюджету</w:t>
      </w:r>
      <w:r w:rsidR="00546691" w:rsidRPr="00717618">
        <w:rPr>
          <w:rFonts w:ascii="Times New Roman" w:eastAsia="Times New Roman" w:hAnsi="Times New Roman" w:cs="Times New Roman"/>
          <w:sz w:val="28"/>
          <w:szCs w:val="28"/>
        </w:rPr>
        <w:t xml:space="preserve"> (ККД)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7904" w:rsidRPr="00717618" w:rsidRDefault="00F37904" w:rsidP="00E74688">
      <w:pPr>
        <w:pStyle w:val="a3"/>
        <w:shd w:val="clear" w:color="auto" w:fill="FFFFFF"/>
        <w:spacing w:after="0" w:line="36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повернення кредитів до бюджету та розподіл надання кредитів з бюджету – за 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КПКВК або ТПКВКМБ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37904" w:rsidRPr="00717618" w:rsidRDefault="00DA3BCC" w:rsidP="00E74688">
      <w:pPr>
        <w:pStyle w:val="a3"/>
        <w:shd w:val="clear" w:color="auto" w:fill="FFFFFF"/>
        <w:spacing w:after="0" w:line="36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державні / місцеві гарантії – за назвою суб'єкта господарювання.</w:t>
      </w:r>
    </w:p>
    <w:p w:rsidR="00A14E26" w:rsidRPr="00717618" w:rsidRDefault="00FB1C23" w:rsidP="00E7468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Зазначені показники формуються 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здійсненої р</w:t>
      </w:r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>озробник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оцінк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и впливу на бюджет та детальних розрахунків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EF" w:rsidRPr="00717618">
        <w:rPr>
          <w:rFonts w:ascii="Times New Roman" w:eastAsia="Times New Roman" w:hAnsi="Times New Roman" w:cs="Times New Roman"/>
          <w:sz w:val="28"/>
          <w:szCs w:val="28"/>
        </w:rPr>
        <w:t xml:space="preserve">надходжень і </w:t>
      </w:r>
      <w:r w:rsidR="00A14E26" w:rsidRPr="00717618">
        <w:rPr>
          <w:rFonts w:ascii="Times New Roman" w:eastAsia="Times New Roman" w:hAnsi="Times New Roman" w:cs="Times New Roman"/>
          <w:sz w:val="28"/>
          <w:szCs w:val="28"/>
        </w:rPr>
        <w:t>витрат на підставі чинного законодавства з урахуванням норм, нормативів, стандартів, ставок, лімітів тощо, встановлених законодавством у відповідній галузі (сфері), а також з використанням офіційних статистичних даних, даних органів державної влади та органів місцевого самоврядування, підвідомчих установ, наукових організацій, висновків експертів, власних спостережень і досліджень тощо із зазначенням джерел інформації.</w:t>
      </w:r>
    </w:p>
    <w:p w:rsidR="00D220DD" w:rsidRPr="00717618" w:rsidRDefault="00D220DD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n101"/>
      <w:bookmarkStart w:id="2" w:name="n102"/>
      <w:bookmarkStart w:id="3" w:name="n103"/>
      <w:bookmarkEnd w:id="1"/>
      <w:bookmarkEnd w:id="2"/>
      <w:bookmarkEnd w:id="3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Прямий та опосередкований вплив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на надходження та витрати бюджету має відображатися як різниця</w:t>
      </w:r>
      <w:r w:rsidR="004964DC" w:rsidRPr="00717618">
        <w:rPr>
          <w:rFonts w:ascii="Times New Roman" w:eastAsia="Times New Roman" w:hAnsi="Times New Roman" w:cs="Times New Roman"/>
          <w:sz w:val="28"/>
          <w:szCs w:val="28"/>
        </w:rPr>
        <w:t xml:space="preserve"> показників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кожного року реалізації до попереднього періоду.</w:t>
      </w:r>
    </w:p>
    <w:p w:rsidR="00AE4920" w:rsidRPr="00717618" w:rsidRDefault="00AE4920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є прямий та опосередкований вплив </w:t>
      </w:r>
      <w:proofErr w:type="spellStart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 на надходження та витрати державного та місцевого бюджетів, спочатку заповнюються </w:t>
      </w:r>
      <w:r w:rsidR="002637B3" w:rsidRPr="00717618">
        <w:rPr>
          <w:rFonts w:ascii="Times New Roman" w:eastAsia="Times New Roman" w:hAnsi="Times New Roman" w:cs="Times New Roman"/>
          <w:sz w:val="28"/>
          <w:szCs w:val="28"/>
        </w:rPr>
        <w:t xml:space="preserve">таблиці щодо такого впливу на державному рівні, а потім 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>на місцевому рівні.</w:t>
      </w:r>
      <w:r w:rsidR="00D220DD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3BCC" w:rsidRPr="00717618" w:rsidRDefault="00DA3BCC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Якщо реалізація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потребує збільшення видатків бю</w:t>
      </w:r>
      <w:r w:rsidR="006349F4" w:rsidRPr="007176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жету, розробник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F4" w:rsidRPr="00717618">
        <w:rPr>
          <w:rFonts w:ascii="Times New Roman" w:eastAsia="Times New Roman" w:hAnsi="Times New Roman" w:cs="Times New Roman"/>
          <w:sz w:val="28"/>
          <w:szCs w:val="28"/>
        </w:rPr>
        <w:t xml:space="preserve">обов’язково зазначає </w:t>
      </w:r>
      <w:r w:rsidR="00D51BAD" w:rsidRPr="00717618">
        <w:rPr>
          <w:rFonts w:ascii="Times New Roman" w:eastAsia="Times New Roman" w:hAnsi="Times New Roman" w:cs="Times New Roman"/>
          <w:sz w:val="28"/>
          <w:szCs w:val="28"/>
        </w:rPr>
        <w:t>джерело</w:t>
      </w:r>
      <w:r w:rsidR="006349F4" w:rsidRPr="00717618">
        <w:rPr>
          <w:rFonts w:ascii="Times New Roman" w:eastAsia="Times New Roman" w:hAnsi="Times New Roman" w:cs="Times New Roman"/>
          <w:sz w:val="28"/>
          <w:szCs w:val="28"/>
        </w:rPr>
        <w:t xml:space="preserve"> збільшення доходів або скорочення видатків 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бюджету. </w:t>
      </w:r>
    </w:p>
    <w:p w:rsidR="00DA3BCC" w:rsidRPr="00717618" w:rsidRDefault="00FB1C23" w:rsidP="00E7468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У пункті 1</w:t>
      </w:r>
      <w:r w:rsidR="0089565A" w:rsidRPr="007176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озробник </w:t>
      </w:r>
      <w:proofErr w:type="spellStart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 обов’язково 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 фінансово-економічних розрахунк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 xml:space="preserve">додає </w:t>
      </w:r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 xml:space="preserve">обґрунтування та припущення щодо оцінки прямого та опосередкованого впливу </w:t>
      </w:r>
      <w:proofErr w:type="spellStart"/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 xml:space="preserve"> на надходження та витрати державного та/або місцевого бюджетів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37B3" w:rsidRPr="00717618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r w:rsidR="00A57F1C" w:rsidRPr="00717618">
        <w:rPr>
          <w:rFonts w:ascii="Times New Roman" w:eastAsia="Times New Roman" w:hAnsi="Times New Roman" w:cs="Times New Roman"/>
          <w:sz w:val="28"/>
          <w:szCs w:val="28"/>
        </w:rPr>
        <w:t>обґрунтувань та припущень</w:t>
      </w:r>
      <w:r w:rsidR="002637B3" w:rsidRPr="00717618">
        <w:rPr>
          <w:rFonts w:ascii="Times New Roman" w:eastAsia="Times New Roman" w:hAnsi="Times New Roman" w:cs="Times New Roman"/>
          <w:sz w:val="28"/>
          <w:szCs w:val="28"/>
        </w:rPr>
        <w:t xml:space="preserve"> має бути викладений чітко, лаконічно та зрозуміло. </w:t>
      </w:r>
    </w:p>
    <w:p w:rsidR="00666544" w:rsidRPr="00717618" w:rsidRDefault="002637B3" w:rsidP="00E74688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21848" w:rsidRPr="00717618">
        <w:rPr>
          <w:rFonts w:ascii="Times New Roman" w:eastAsia="Times New Roman" w:hAnsi="Times New Roman" w:cs="Times New Roman"/>
          <w:sz w:val="28"/>
          <w:szCs w:val="28"/>
        </w:rPr>
        <w:t xml:space="preserve">озробник </w:t>
      </w:r>
      <w:proofErr w:type="spellStart"/>
      <w:r w:rsidR="00321848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321848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321848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848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321848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надає</w:t>
      </w:r>
      <w:r w:rsidR="00C00563" w:rsidRPr="00717618">
        <w:rPr>
          <w:rFonts w:ascii="Times New Roman" w:eastAsia="Times New Roman" w:hAnsi="Times New Roman" w:cs="Times New Roman"/>
          <w:sz w:val="28"/>
          <w:szCs w:val="28"/>
        </w:rPr>
        <w:t xml:space="preserve"> обґрунтування щодо</w:t>
      </w:r>
      <w:r w:rsidR="00666544" w:rsidRPr="00717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0563" w:rsidRPr="00717618" w:rsidRDefault="0033041C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вартісного </w:t>
      </w:r>
      <w:r w:rsidR="00A57F1C" w:rsidRPr="00717618">
        <w:rPr>
          <w:rFonts w:ascii="Times New Roman" w:eastAsia="Times New Roman" w:hAnsi="Times New Roman" w:cs="Times New Roman"/>
          <w:sz w:val="28"/>
          <w:szCs w:val="28"/>
        </w:rPr>
        <w:t>впливу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 або його відсутності</w:t>
      </w:r>
      <w:r w:rsidR="00A57F1C" w:rsidRPr="00717618">
        <w:rPr>
          <w:rFonts w:ascii="Times New Roman" w:eastAsia="Times New Roman" w:hAnsi="Times New Roman" w:cs="Times New Roman"/>
          <w:sz w:val="28"/>
          <w:szCs w:val="28"/>
        </w:rPr>
        <w:t xml:space="preserve"> на надходження і витрати державного та/або місцевих бюджетів</w:t>
      </w:r>
      <w:r w:rsidR="00C00563" w:rsidRPr="00717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0563" w:rsidRPr="00717618" w:rsidRDefault="0033041C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необхідності включення нового заходу</w:t>
      </w:r>
      <w:r w:rsidR="00B303CD" w:rsidRPr="00717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544" w:rsidRPr="00717618" w:rsidRDefault="0033041C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прогнозного обсягу витрат на його реалізацію з розбивкою </w:t>
      </w:r>
      <w:r w:rsidR="00B303CD" w:rsidRPr="0071761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рока</w:t>
      </w:r>
      <w:r w:rsidR="00B303CD" w:rsidRPr="007176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та ефекту від його впровадження, я</w:t>
      </w:r>
      <w:r w:rsidR="00486FD4" w:rsidRPr="00717618">
        <w:rPr>
          <w:rFonts w:ascii="Times New Roman" w:eastAsia="Times New Roman" w:hAnsi="Times New Roman" w:cs="Times New Roman"/>
          <w:sz w:val="28"/>
          <w:szCs w:val="28"/>
        </w:rPr>
        <w:t xml:space="preserve">кщо </w:t>
      </w:r>
      <w:proofErr w:type="spellStart"/>
      <w:r w:rsidR="00486FD4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486FD4" w:rsidRPr="00717618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="00486FD4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6FD4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486FD4" w:rsidRPr="00717618">
        <w:rPr>
          <w:rFonts w:ascii="Times New Roman" w:eastAsia="Times New Roman" w:hAnsi="Times New Roman" w:cs="Times New Roman"/>
          <w:sz w:val="28"/>
          <w:szCs w:val="28"/>
        </w:rPr>
        <w:t xml:space="preserve"> передбачає затвердження переліку заходів (внесення змін до нього)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6FD4" w:rsidRPr="0071761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E26A8B" w:rsidRPr="00717618" w:rsidRDefault="00321848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17618">
        <w:rPr>
          <w:rFonts w:ascii="Times New Roman" w:eastAsia="Times New Roman" w:hAnsi="Times New Roman" w:cs="Times New Roman"/>
          <w:sz w:val="28"/>
          <w:szCs w:val="28"/>
        </w:rPr>
        <w:t>припущення</w:t>
      </w:r>
      <w:r w:rsidR="00B303CD" w:rsidRPr="007176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чи реалізація </w:t>
      </w:r>
      <w:proofErr w:type="spellStart"/>
      <w:r w:rsidRPr="00717618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303CD" w:rsidRPr="007176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разі його прийняття, при</w:t>
      </w:r>
      <w:r w:rsidR="00B303CD" w:rsidRPr="007176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веде до </w:t>
      </w:r>
      <w:r w:rsidR="00AB2452" w:rsidRPr="00717618">
        <w:rPr>
          <w:rFonts w:ascii="Times New Roman" w:eastAsia="Times New Roman" w:hAnsi="Times New Roman" w:cs="Times New Roman"/>
          <w:sz w:val="28"/>
          <w:szCs w:val="28"/>
        </w:rPr>
        <w:t>можливого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 впливу на надходження 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 витрати державного та/або місцевих бюджетів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, виникнення ризиків</w:t>
      </w:r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B7164" w:rsidRPr="00717618">
        <w:rPr>
          <w:rFonts w:ascii="Times New Roman" w:eastAsia="Times New Roman" w:hAnsi="Times New Roman" w:cs="Times New Roman"/>
          <w:sz w:val="28"/>
          <w:szCs w:val="28"/>
        </w:rPr>
        <w:t>ислі</w:t>
      </w:r>
      <w:r w:rsidR="0033129E" w:rsidRPr="00717618">
        <w:rPr>
          <w:rFonts w:ascii="Times New Roman" w:eastAsia="Times New Roman" w:hAnsi="Times New Roman" w:cs="Times New Roman"/>
          <w:sz w:val="28"/>
          <w:szCs w:val="28"/>
        </w:rPr>
        <w:t xml:space="preserve"> фіскальних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2452" w:rsidRPr="00717618">
        <w:rPr>
          <w:rFonts w:ascii="Times New Roman" w:eastAsia="Times New Roman" w:hAnsi="Times New Roman" w:cs="Times New Roman"/>
          <w:sz w:val="28"/>
          <w:szCs w:val="28"/>
        </w:rPr>
        <w:t xml:space="preserve">та інших обставин, 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>які неможливо спрогнозувати під час розробки 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>кту акт</w:t>
      </w:r>
      <w:r w:rsidR="00B303CD" w:rsidRPr="007176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Розробник </w:t>
      </w:r>
      <w:proofErr w:type="spellStart"/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 обов’язково надає </w:t>
      </w:r>
      <w:r w:rsidR="00AB2452" w:rsidRPr="00717618">
        <w:rPr>
          <w:rFonts w:ascii="Times New Roman" w:eastAsia="Times New Roman" w:hAnsi="Times New Roman" w:cs="Times New Roman"/>
          <w:sz w:val="28"/>
          <w:szCs w:val="28"/>
        </w:rPr>
        <w:t>ймовірні</w:t>
      </w:r>
      <w:r w:rsidR="00F01234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544" w:rsidRPr="00717618">
        <w:rPr>
          <w:rFonts w:ascii="Times New Roman" w:eastAsia="Times New Roman" w:hAnsi="Times New Roman" w:cs="Times New Roman"/>
          <w:sz w:val="28"/>
          <w:szCs w:val="28"/>
        </w:rPr>
        <w:t>граничні межі впливу на надходження та витрати бюджету</w:t>
      </w:r>
      <w:r w:rsidRPr="00717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A8B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B20" w:rsidRPr="00717618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proofErr w:type="spellStart"/>
      <w:r w:rsidR="00C94B20" w:rsidRPr="007176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C94B20" w:rsidRPr="00717618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="00C94B20" w:rsidRPr="0071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4B20" w:rsidRPr="0071761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C94B20" w:rsidRPr="00717618">
        <w:rPr>
          <w:rFonts w:ascii="Times New Roman" w:eastAsia="Times New Roman" w:hAnsi="Times New Roman" w:cs="Times New Roman"/>
          <w:sz w:val="28"/>
          <w:szCs w:val="28"/>
        </w:rPr>
        <w:t xml:space="preserve"> передбачає надання державних гарантій та встановлення </w:t>
      </w:r>
      <w:r w:rsidR="00C94B20" w:rsidRPr="00717618">
        <w:rPr>
          <w:rFonts w:ascii="Times New Roman" w:hAnsi="Times New Roman" w:cs="Times New Roman"/>
          <w:sz w:val="28"/>
          <w:szCs w:val="28"/>
        </w:rPr>
        <w:t xml:space="preserve">інших зобов’язань, розробник </w:t>
      </w:r>
      <w:proofErr w:type="spellStart"/>
      <w:r w:rsidR="00C94B20" w:rsidRPr="00717618">
        <w:rPr>
          <w:rFonts w:ascii="Times New Roman" w:hAnsi="Times New Roman" w:cs="Times New Roman"/>
          <w:sz w:val="28"/>
          <w:szCs w:val="28"/>
        </w:rPr>
        <w:t>про</w:t>
      </w:r>
      <w:r w:rsidR="00EC041B" w:rsidRPr="00717618">
        <w:rPr>
          <w:rFonts w:ascii="Times New Roman" w:hAnsi="Times New Roman" w:cs="Times New Roman"/>
          <w:sz w:val="28"/>
          <w:szCs w:val="28"/>
        </w:rPr>
        <w:t>є</w:t>
      </w:r>
      <w:r w:rsidR="00C94B20" w:rsidRPr="00717618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C94B20" w:rsidRPr="0071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20" w:rsidRPr="0071761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C94B20" w:rsidRPr="00717618">
        <w:rPr>
          <w:rFonts w:ascii="Times New Roman" w:hAnsi="Times New Roman" w:cs="Times New Roman"/>
          <w:sz w:val="28"/>
          <w:szCs w:val="28"/>
        </w:rPr>
        <w:t xml:space="preserve"> має надати припущення щодо можливої загальної суми збільшення зобов’язань та періоду настання такого випадку.</w:t>
      </w:r>
    </w:p>
    <w:p w:rsidR="009932EC" w:rsidRPr="00717618" w:rsidRDefault="009932EC" w:rsidP="00E74688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9932EC" w:rsidRPr="00717618" w:rsidSect="00EB5A2A">
      <w:headerReference w:type="default" r:id="rId8"/>
      <w:foot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85" w:rsidRDefault="00B44385" w:rsidP="00E458FF">
      <w:pPr>
        <w:spacing w:after="0" w:line="240" w:lineRule="auto"/>
      </w:pPr>
      <w:r>
        <w:separator/>
      </w:r>
    </w:p>
  </w:endnote>
  <w:endnote w:type="continuationSeparator" w:id="0">
    <w:p w:rsidR="00B44385" w:rsidRDefault="00B44385" w:rsidP="00E4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FF" w:rsidRDefault="00E458FF">
    <w:pPr>
      <w:pStyle w:val="a6"/>
      <w:jc w:val="right"/>
    </w:pPr>
  </w:p>
  <w:p w:rsidR="00E458FF" w:rsidRDefault="00E458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85" w:rsidRDefault="00B44385" w:rsidP="00E458FF">
      <w:pPr>
        <w:spacing w:after="0" w:line="240" w:lineRule="auto"/>
      </w:pPr>
      <w:r>
        <w:separator/>
      </w:r>
    </w:p>
  </w:footnote>
  <w:footnote w:type="continuationSeparator" w:id="0">
    <w:p w:rsidR="00B44385" w:rsidRDefault="00B44385" w:rsidP="00E4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398014"/>
      <w:docPartObj>
        <w:docPartGallery w:val="Page Numbers (Top of Page)"/>
        <w:docPartUnique/>
      </w:docPartObj>
    </w:sdtPr>
    <w:sdtEndPr/>
    <w:sdtContent>
      <w:p w:rsidR="00EB5A2A" w:rsidRDefault="00EB5A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618">
          <w:rPr>
            <w:noProof/>
          </w:rPr>
          <w:t>6</w:t>
        </w:r>
        <w:r>
          <w:fldChar w:fldCharType="end"/>
        </w:r>
      </w:p>
    </w:sdtContent>
  </w:sdt>
  <w:p w:rsidR="00EB5A2A" w:rsidRDefault="00EB5A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CDA"/>
    <w:multiLevelType w:val="hybridMultilevel"/>
    <w:tmpl w:val="470E730E"/>
    <w:lvl w:ilvl="0" w:tplc="66E838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DA53F0B"/>
    <w:multiLevelType w:val="hybridMultilevel"/>
    <w:tmpl w:val="B73AC376"/>
    <w:lvl w:ilvl="0" w:tplc="66E838E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92A4681"/>
    <w:multiLevelType w:val="hybridMultilevel"/>
    <w:tmpl w:val="E6B0949C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0D42996"/>
    <w:multiLevelType w:val="hybridMultilevel"/>
    <w:tmpl w:val="6800329A"/>
    <w:lvl w:ilvl="0" w:tplc="199609A6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1C51C9D"/>
    <w:multiLevelType w:val="hybridMultilevel"/>
    <w:tmpl w:val="CF50E968"/>
    <w:lvl w:ilvl="0" w:tplc="66E838E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2F104A7"/>
    <w:multiLevelType w:val="hybridMultilevel"/>
    <w:tmpl w:val="5D842B6C"/>
    <w:lvl w:ilvl="0" w:tplc="66E838E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48"/>
    <w:rsid w:val="0000177B"/>
    <w:rsid w:val="00040B2A"/>
    <w:rsid w:val="000615A1"/>
    <w:rsid w:val="0006249F"/>
    <w:rsid w:val="00080B98"/>
    <w:rsid w:val="000D15A3"/>
    <w:rsid w:val="000F0CA2"/>
    <w:rsid w:val="00124E01"/>
    <w:rsid w:val="00133826"/>
    <w:rsid w:val="00144A52"/>
    <w:rsid w:val="001E2282"/>
    <w:rsid w:val="00233FAB"/>
    <w:rsid w:val="00240E7A"/>
    <w:rsid w:val="002637B3"/>
    <w:rsid w:val="00274A8D"/>
    <w:rsid w:val="00296F37"/>
    <w:rsid w:val="003109DF"/>
    <w:rsid w:val="00315B5E"/>
    <w:rsid w:val="00321848"/>
    <w:rsid w:val="0033041C"/>
    <w:rsid w:val="0033129E"/>
    <w:rsid w:val="00336CD4"/>
    <w:rsid w:val="003F161C"/>
    <w:rsid w:val="00422975"/>
    <w:rsid w:val="00426A7F"/>
    <w:rsid w:val="00486FD4"/>
    <w:rsid w:val="004964DC"/>
    <w:rsid w:val="004A33A3"/>
    <w:rsid w:val="004A561A"/>
    <w:rsid w:val="004B34FF"/>
    <w:rsid w:val="004E7391"/>
    <w:rsid w:val="00501E38"/>
    <w:rsid w:val="00543FBE"/>
    <w:rsid w:val="00546691"/>
    <w:rsid w:val="0055181D"/>
    <w:rsid w:val="00560397"/>
    <w:rsid w:val="00581044"/>
    <w:rsid w:val="00585F51"/>
    <w:rsid w:val="005866B5"/>
    <w:rsid w:val="005B79AF"/>
    <w:rsid w:val="005D05D5"/>
    <w:rsid w:val="005D4632"/>
    <w:rsid w:val="00603560"/>
    <w:rsid w:val="00610352"/>
    <w:rsid w:val="0061585F"/>
    <w:rsid w:val="00615BE9"/>
    <w:rsid w:val="006349F4"/>
    <w:rsid w:val="00663ED6"/>
    <w:rsid w:val="00666544"/>
    <w:rsid w:val="006678AF"/>
    <w:rsid w:val="006A4A10"/>
    <w:rsid w:val="006D6B7C"/>
    <w:rsid w:val="00717618"/>
    <w:rsid w:val="00720643"/>
    <w:rsid w:val="00745E26"/>
    <w:rsid w:val="00770A21"/>
    <w:rsid w:val="0077700B"/>
    <w:rsid w:val="00797A73"/>
    <w:rsid w:val="007A222F"/>
    <w:rsid w:val="007D4213"/>
    <w:rsid w:val="007D5244"/>
    <w:rsid w:val="007E3E7A"/>
    <w:rsid w:val="008109BB"/>
    <w:rsid w:val="008114BF"/>
    <w:rsid w:val="0082424D"/>
    <w:rsid w:val="00881295"/>
    <w:rsid w:val="00884076"/>
    <w:rsid w:val="0089565A"/>
    <w:rsid w:val="008A5280"/>
    <w:rsid w:val="009148A0"/>
    <w:rsid w:val="009712B7"/>
    <w:rsid w:val="0098420A"/>
    <w:rsid w:val="009932EC"/>
    <w:rsid w:val="00994FF8"/>
    <w:rsid w:val="009A01FA"/>
    <w:rsid w:val="009B7164"/>
    <w:rsid w:val="009E6A51"/>
    <w:rsid w:val="00A14E26"/>
    <w:rsid w:val="00A433B1"/>
    <w:rsid w:val="00A57F1C"/>
    <w:rsid w:val="00A60770"/>
    <w:rsid w:val="00A618CE"/>
    <w:rsid w:val="00A80E7C"/>
    <w:rsid w:val="00AB2452"/>
    <w:rsid w:val="00AB2F70"/>
    <w:rsid w:val="00AE4920"/>
    <w:rsid w:val="00AF1370"/>
    <w:rsid w:val="00AF52FF"/>
    <w:rsid w:val="00B23DA4"/>
    <w:rsid w:val="00B303CD"/>
    <w:rsid w:val="00B44385"/>
    <w:rsid w:val="00B7125D"/>
    <w:rsid w:val="00B8206B"/>
    <w:rsid w:val="00B903A8"/>
    <w:rsid w:val="00B908C0"/>
    <w:rsid w:val="00BA480A"/>
    <w:rsid w:val="00BB6F37"/>
    <w:rsid w:val="00BC7D8F"/>
    <w:rsid w:val="00C00563"/>
    <w:rsid w:val="00C05E98"/>
    <w:rsid w:val="00C24EEF"/>
    <w:rsid w:val="00C27C12"/>
    <w:rsid w:val="00C94B20"/>
    <w:rsid w:val="00CB71ED"/>
    <w:rsid w:val="00CF4CBD"/>
    <w:rsid w:val="00D00B7F"/>
    <w:rsid w:val="00D137EE"/>
    <w:rsid w:val="00D220DD"/>
    <w:rsid w:val="00D2783C"/>
    <w:rsid w:val="00D46A2B"/>
    <w:rsid w:val="00D51BAD"/>
    <w:rsid w:val="00D967E4"/>
    <w:rsid w:val="00DA3BCC"/>
    <w:rsid w:val="00DB1FBF"/>
    <w:rsid w:val="00DC4424"/>
    <w:rsid w:val="00DE18B1"/>
    <w:rsid w:val="00E256F2"/>
    <w:rsid w:val="00E26A8B"/>
    <w:rsid w:val="00E429CA"/>
    <w:rsid w:val="00E458FF"/>
    <w:rsid w:val="00E74688"/>
    <w:rsid w:val="00EA2B83"/>
    <w:rsid w:val="00EB5A2A"/>
    <w:rsid w:val="00EC041B"/>
    <w:rsid w:val="00EC5302"/>
    <w:rsid w:val="00ED2EBB"/>
    <w:rsid w:val="00EF2F09"/>
    <w:rsid w:val="00F01234"/>
    <w:rsid w:val="00F164E1"/>
    <w:rsid w:val="00F37904"/>
    <w:rsid w:val="00F71989"/>
    <w:rsid w:val="00FB1C23"/>
    <w:rsid w:val="00FB48C4"/>
    <w:rsid w:val="00FC0EB4"/>
    <w:rsid w:val="00F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89C90-8B99-41EC-8248-6CBB8C4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8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58FF"/>
    <w:rPr>
      <w:lang w:val="uk-UA"/>
    </w:rPr>
  </w:style>
  <w:style w:type="paragraph" w:styleId="a6">
    <w:name w:val="footer"/>
    <w:basedOn w:val="a"/>
    <w:link w:val="a7"/>
    <w:uiPriority w:val="99"/>
    <w:unhideWhenUsed/>
    <w:rsid w:val="00E458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58F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E9B8-544C-4F24-BC1D-ACB9BEE3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644888C0</Template>
  <TotalTime>27</TotalTime>
  <Pages>1</Pages>
  <Words>5918</Words>
  <Characters>3374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Москаленко Юлія Сергіївна</cp:lastModifiedBy>
  <cp:revision>8</cp:revision>
  <cp:lastPrinted>2019-08-22T16:08:00Z</cp:lastPrinted>
  <dcterms:created xsi:type="dcterms:W3CDTF">2019-08-22T14:14:00Z</dcterms:created>
  <dcterms:modified xsi:type="dcterms:W3CDTF">2019-08-22T16:08:00Z</dcterms:modified>
</cp:coreProperties>
</file>