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D03" w:rsidRPr="005C117E" w:rsidRDefault="000F7D03" w:rsidP="003A4991">
      <w:pPr>
        <w:pStyle w:val="a3"/>
        <w:tabs>
          <w:tab w:val="clear" w:pos="9639"/>
        </w:tabs>
        <w:ind w:right="-284"/>
        <w:jc w:val="right"/>
        <w:rPr>
          <w:b/>
          <w:bCs/>
          <w:color w:val="657C9C" w:themeColor="text2" w:themeTint="BF"/>
          <w:lang w:val="uk-UA"/>
        </w:rPr>
      </w:pPr>
      <w:r w:rsidRPr="00752923">
        <w:rPr>
          <w:noProof/>
          <w:lang w:val="uk-UA" w:eastAsia="uk-UA"/>
        </w:rPr>
        <w:drawing>
          <wp:anchor distT="0" distB="0" distL="114300" distR="114300" simplePos="0" relativeHeight="251660288" behindDoc="0" locked="0" layoutInCell="1" allowOverlap="1" wp14:anchorId="7351291B" wp14:editId="0BA2E04E">
            <wp:simplePos x="0" y="0"/>
            <wp:positionH relativeFrom="margin">
              <wp:posOffset>0</wp:posOffset>
            </wp:positionH>
            <wp:positionV relativeFrom="margin">
              <wp:posOffset>143139</wp:posOffset>
            </wp:positionV>
            <wp:extent cx="1062990" cy="306705"/>
            <wp:effectExtent l="0" t="0" r="3810" b="0"/>
            <wp:wrapSquare wrapText="bothSides"/>
            <wp:docPr id="1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971880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6E6D">
        <w:rPr>
          <w:b/>
          <w:bCs/>
          <w:noProof/>
          <w:color w:val="657C9C" w:themeColor="text2" w:themeTint="BF"/>
          <w:lang w:val="uk-UA" w:eastAsia="uk-UA"/>
        </w:rPr>
        <w:t xml:space="preserve"> </w:t>
      </w:r>
      <w:r w:rsidRPr="00FE28EA">
        <w:rPr>
          <w:lang w:val="ru-RU"/>
        </w:rPr>
        <w:t xml:space="preserve"> </w:t>
      </w:r>
    </w:p>
    <w:p w:rsidR="000F7D03" w:rsidRPr="009E6D35" w:rsidRDefault="00924A09" w:rsidP="00B9403E">
      <w:pPr>
        <w:pStyle w:val="a3"/>
        <w:tabs>
          <w:tab w:val="clear" w:pos="9639"/>
          <w:tab w:val="right" w:pos="9781"/>
        </w:tabs>
        <w:ind w:right="-567"/>
        <w:jc w:val="right"/>
        <w:rPr>
          <w:color w:val="2F5496" w:themeColor="accent1" w:themeShade="BF"/>
          <w:sz w:val="26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2F5496" w:themeColor="accent1" w:themeShade="BF"/>
          <w:sz w:val="26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вересень</w:t>
      </w:r>
      <w:r w:rsidR="00610F4B" w:rsidRPr="009E6D35">
        <w:rPr>
          <w:color w:val="2F5496" w:themeColor="accent1" w:themeShade="BF"/>
          <w:sz w:val="26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</w:t>
      </w:r>
    </w:p>
    <w:p w:rsidR="000F7D03" w:rsidRPr="009E6D35" w:rsidRDefault="000F7D03" w:rsidP="00B9403E">
      <w:pPr>
        <w:pStyle w:val="a3"/>
        <w:rPr>
          <w:color w:val="2F5496" w:themeColor="accent1" w:themeShade="BF"/>
        </w:rPr>
      </w:pPr>
    </w:p>
    <w:p w:rsidR="009A72BF" w:rsidRPr="00612511" w:rsidRDefault="003A4991">
      <w:pPr>
        <w:rPr>
          <w:rFonts w:cstheme="minorHAnsi"/>
          <w:color w:val="2F5496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6D35">
        <w:rPr>
          <w:noProof/>
          <w:color w:val="2F5496" w:themeColor="accent1" w:themeShade="BF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83CE9B" wp14:editId="1599C19D">
                <wp:simplePos x="0" y="0"/>
                <wp:positionH relativeFrom="margin">
                  <wp:posOffset>14605</wp:posOffset>
                </wp:positionH>
                <wp:positionV relativeFrom="paragraph">
                  <wp:posOffset>8890</wp:posOffset>
                </wp:positionV>
                <wp:extent cx="6477000" cy="9525"/>
                <wp:effectExtent l="0" t="0" r="19050" b="28575"/>
                <wp:wrapNone/>
                <wp:docPr id="892267499" name="Пряма сполучна ліні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2DB4C8" id="Пряма сполучна ліні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15pt,.7pt" to="511.1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" strokecolor="#4472c4 [3204]" strokeweight="1.5pt">
                <v:stroke joinstyle="miter"/>
                <w10:wrap anchorx="margin"/>
              </v:line>
            </w:pict>
          </mc:Fallback>
        </mc:AlternateContent>
      </w:r>
    </w:p>
    <w:p w:rsidR="00C62D24" w:rsidRPr="00612511" w:rsidRDefault="00766399">
      <w:pPr>
        <w:rPr>
          <w:rFonts w:cstheme="minorHAnsi"/>
          <w:color w:val="2F5496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2F5496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І</w:t>
      </w:r>
      <w:r w:rsidR="00D1086B" w:rsidRPr="00612511">
        <w:rPr>
          <w:rFonts w:cstheme="minorHAnsi"/>
          <w:color w:val="2F5496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ндикатори</w:t>
      </w:r>
      <w:r>
        <w:rPr>
          <w:rFonts w:cstheme="minorHAnsi"/>
          <w:color w:val="2F5496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051AF">
        <w:rPr>
          <w:rFonts w:cstheme="minorHAnsi"/>
          <w:color w:val="2F5496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оцінки боргових ризиків</w:t>
      </w:r>
    </w:p>
    <w:tbl>
      <w:tblPr>
        <w:tblStyle w:val="2"/>
        <w:tblW w:w="10204" w:type="dxa"/>
        <w:tblLook w:val="04A0" w:firstRow="1" w:lastRow="0" w:firstColumn="1" w:lastColumn="0" w:noHBand="0" w:noVBand="1"/>
      </w:tblPr>
      <w:tblGrid>
        <w:gridCol w:w="1760"/>
        <w:gridCol w:w="4763"/>
        <w:gridCol w:w="1188"/>
        <w:gridCol w:w="1286"/>
        <w:gridCol w:w="1207"/>
      </w:tblGrid>
      <w:tr w:rsidR="00774777" w:rsidRPr="00612511" w:rsidTr="00EA3D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3" w:type="dxa"/>
            <w:gridSpan w:val="2"/>
            <w:noWrap/>
            <w:hideMark/>
          </w:tcPr>
          <w:p w:rsidR="00774777" w:rsidRPr="00612511" w:rsidRDefault="00774777" w:rsidP="00BD6357">
            <w:pPr>
              <w:jc w:val="center"/>
              <w:rPr>
                <w:rFonts w:eastAsia="Times New Roman" w:cstheme="minorHAnsi"/>
                <w:lang w:eastAsia="uk-UA"/>
              </w:rPr>
            </w:pPr>
            <w:r w:rsidRPr="00612511">
              <w:rPr>
                <w:rFonts w:eastAsia="Times New Roman" w:cstheme="minorHAnsi"/>
                <w:lang w:eastAsia="uk-UA"/>
              </w:rPr>
              <w:t>Індикатори ризику</w:t>
            </w:r>
          </w:p>
        </w:tc>
        <w:tc>
          <w:tcPr>
            <w:tcW w:w="1188" w:type="dxa"/>
            <w:hideMark/>
          </w:tcPr>
          <w:p w:rsidR="00774777" w:rsidRPr="00612511" w:rsidRDefault="00774777" w:rsidP="00795D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uk-UA"/>
              </w:rPr>
            </w:pPr>
            <w:r w:rsidRPr="00612511">
              <w:rPr>
                <w:rFonts w:eastAsia="Times New Roman" w:cstheme="minorHAnsi"/>
                <w:lang w:eastAsia="uk-UA"/>
              </w:rPr>
              <w:t>Зовнішній борг</w:t>
            </w:r>
          </w:p>
        </w:tc>
        <w:tc>
          <w:tcPr>
            <w:tcW w:w="1286" w:type="dxa"/>
            <w:hideMark/>
          </w:tcPr>
          <w:p w:rsidR="00774777" w:rsidRPr="00612511" w:rsidRDefault="00774777" w:rsidP="00774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lang w:eastAsia="uk-UA"/>
              </w:rPr>
            </w:pPr>
            <w:r w:rsidRPr="00612511">
              <w:rPr>
                <w:rFonts w:eastAsia="Times New Roman" w:cstheme="minorHAnsi"/>
                <w:lang w:eastAsia="uk-UA"/>
              </w:rPr>
              <w:t>Внутрішній борг</w:t>
            </w:r>
          </w:p>
        </w:tc>
        <w:tc>
          <w:tcPr>
            <w:tcW w:w="1207" w:type="dxa"/>
            <w:hideMark/>
          </w:tcPr>
          <w:p w:rsidR="00774777" w:rsidRPr="00612511" w:rsidRDefault="00774777" w:rsidP="00795D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uk-UA"/>
              </w:rPr>
            </w:pPr>
            <w:r w:rsidRPr="00612511">
              <w:rPr>
                <w:rFonts w:eastAsia="Times New Roman" w:cstheme="minorHAnsi"/>
                <w:lang w:eastAsia="uk-UA"/>
              </w:rPr>
              <w:t>Загальний борг</w:t>
            </w:r>
          </w:p>
        </w:tc>
      </w:tr>
      <w:tr w:rsidR="00DA67C0" w:rsidRPr="00612511" w:rsidTr="00C02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hideMark/>
          </w:tcPr>
          <w:p w:rsidR="005A11F5" w:rsidRPr="00612511" w:rsidRDefault="005A11F5" w:rsidP="00612511">
            <w:pPr>
              <w:ind w:right="-193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>Процентний ризик</w:t>
            </w: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>Середньозважена вартість державного боргу, %</w:t>
            </w:r>
          </w:p>
        </w:tc>
        <w:tc>
          <w:tcPr>
            <w:tcW w:w="1188" w:type="dxa"/>
            <w:noWrap/>
            <w:hideMark/>
          </w:tcPr>
          <w:p w:rsidR="005A11F5" w:rsidRPr="00612511" w:rsidRDefault="002E78A6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>
              <w:rPr>
                <w:rFonts w:eastAsia="Times New Roman" w:cstheme="minorHAnsi"/>
                <w:color w:val="000000" w:themeColor="text1"/>
                <w:lang w:val="en-US" w:eastAsia="uk-UA"/>
              </w:rPr>
              <w:t>2,02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13,2</w:t>
            </w:r>
            <w:r w:rsidR="002E78A6">
              <w:rPr>
                <w:rFonts w:eastAsia="Times New Roman" w:cstheme="minorHAnsi"/>
                <w:color w:val="000000" w:themeColor="text1"/>
                <w:lang w:eastAsia="uk-UA"/>
              </w:rPr>
              <w:t>8</w:t>
            </w:r>
          </w:p>
        </w:tc>
        <w:tc>
          <w:tcPr>
            <w:tcW w:w="1207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4,</w:t>
            </w:r>
            <w:r w:rsidR="002E78A6">
              <w:rPr>
                <w:rFonts w:eastAsia="Times New Roman" w:cstheme="minorHAnsi"/>
                <w:color w:val="000000" w:themeColor="text1"/>
                <w:lang w:eastAsia="uk-UA"/>
              </w:rPr>
              <w:t>44</w:t>
            </w:r>
          </w:p>
        </w:tc>
      </w:tr>
      <w:tr w:rsidR="005A11F5" w:rsidRPr="00612511" w:rsidTr="00C02AE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hideMark/>
          </w:tcPr>
          <w:p w:rsidR="005A11F5" w:rsidRPr="00612511" w:rsidRDefault="005A11F5" w:rsidP="00612511">
            <w:pPr>
              <w:rPr>
                <w:rFonts w:eastAsia="Times New Roman" w:cstheme="minorHAnsi"/>
                <w:color w:val="000000"/>
                <w:lang w:eastAsia="uk-UA"/>
              </w:rPr>
            </w:pP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 xml:space="preserve">Середній термін до </w:t>
            </w:r>
            <w:proofErr w:type="spellStart"/>
            <w:r w:rsidRPr="00612511">
              <w:rPr>
                <w:rFonts w:eastAsia="Times New Roman" w:cstheme="minorHAnsi"/>
                <w:color w:val="000000"/>
                <w:lang w:eastAsia="uk-UA"/>
              </w:rPr>
              <w:t>рефіксації</w:t>
            </w:r>
            <w:proofErr w:type="spellEnd"/>
            <w:r w:rsidRPr="00612511">
              <w:rPr>
                <w:rFonts w:eastAsia="Times New Roman" w:cstheme="minorHAnsi"/>
                <w:color w:val="000000"/>
                <w:lang w:eastAsia="uk-UA"/>
              </w:rPr>
              <w:t xml:space="preserve"> державного боргу, років</w:t>
            </w:r>
          </w:p>
        </w:tc>
        <w:tc>
          <w:tcPr>
            <w:tcW w:w="1188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12,</w:t>
            </w:r>
            <w:r w:rsidR="00FA0604">
              <w:rPr>
                <w:rFonts w:eastAsia="Times New Roman" w:cstheme="minorHAnsi"/>
                <w:color w:val="000000" w:themeColor="text1"/>
                <w:lang w:eastAsia="uk-UA"/>
              </w:rPr>
              <w:t>25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2,4</w:t>
            </w:r>
            <w:r w:rsidR="002E78A6">
              <w:rPr>
                <w:rFonts w:eastAsia="Times New Roman" w:cstheme="minorHAnsi"/>
                <w:color w:val="000000" w:themeColor="text1"/>
                <w:lang w:eastAsia="uk-UA"/>
              </w:rPr>
              <w:t>5</w:t>
            </w:r>
          </w:p>
        </w:tc>
        <w:tc>
          <w:tcPr>
            <w:tcW w:w="1207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10,</w:t>
            </w:r>
            <w:r w:rsidR="002E78A6">
              <w:rPr>
                <w:rFonts w:eastAsia="Times New Roman" w:cstheme="minorHAnsi"/>
                <w:color w:val="000000" w:themeColor="text1"/>
                <w:lang w:eastAsia="uk-UA"/>
              </w:rPr>
              <w:t>00</w:t>
            </w:r>
          </w:p>
        </w:tc>
      </w:tr>
      <w:tr w:rsidR="005A11F5" w:rsidRPr="00612511" w:rsidTr="00C02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hideMark/>
          </w:tcPr>
          <w:p w:rsidR="005A11F5" w:rsidRPr="00612511" w:rsidRDefault="005A11F5" w:rsidP="00612511">
            <w:pPr>
              <w:rPr>
                <w:rFonts w:eastAsia="Times New Roman" w:cstheme="minorHAnsi"/>
                <w:color w:val="000000"/>
                <w:lang w:eastAsia="uk-UA"/>
              </w:rPr>
            </w:pP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 xml:space="preserve">Частка державного боргу, що підлягає </w:t>
            </w:r>
            <w:proofErr w:type="spellStart"/>
            <w:r w:rsidRPr="00612511">
              <w:rPr>
                <w:rFonts w:eastAsia="Times New Roman" w:cstheme="minorHAnsi"/>
                <w:color w:val="000000"/>
                <w:lang w:eastAsia="uk-UA"/>
              </w:rPr>
              <w:t>рефіксації</w:t>
            </w:r>
            <w:proofErr w:type="spellEnd"/>
            <w:r w:rsidRPr="00612511">
              <w:rPr>
                <w:rFonts w:eastAsia="Times New Roman" w:cstheme="minorHAnsi"/>
                <w:color w:val="000000"/>
                <w:lang w:eastAsia="uk-UA"/>
              </w:rPr>
              <w:t>, %</w:t>
            </w:r>
          </w:p>
        </w:tc>
        <w:tc>
          <w:tcPr>
            <w:tcW w:w="1188" w:type="dxa"/>
            <w:noWrap/>
            <w:hideMark/>
          </w:tcPr>
          <w:p w:rsidR="005A11F5" w:rsidRPr="00FA0604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</w:t>
            </w:r>
            <w:r w:rsidR="00FA0604">
              <w:rPr>
                <w:rFonts w:eastAsia="Times New Roman" w:cstheme="minorHAnsi"/>
                <w:color w:val="000000" w:themeColor="text1"/>
                <w:lang w:val="en-US" w:eastAsia="uk-UA"/>
              </w:rPr>
              <w:t>8,38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46,</w:t>
            </w:r>
            <w:r w:rsidR="00FA0604">
              <w:rPr>
                <w:rFonts w:eastAsia="Times New Roman" w:cstheme="minorHAnsi"/>
                <w:color w:val="000000" w:themeColor="text1"/>
                <w:lang w:val="en-US" w:eastAsia="uk-UA"/>
              </w:rPr>
              <w:t>1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5</w:t>
            </w:r>
          </w:p>
        </w:tc>
        <w:tc>
          <w:tcPr>
            <w:tcW w:w="1207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3</w:t>
            </w:r>
            <w:r w:rsidR="00FA0604">
              <w:rPr>
                <w:rFonts w:eastAsia="Times New Roman" w:cstheme="minorHAnsi"/>
                <w:color w:val="000000" w:themeColor="text1"/>
                <w:lang w:val="en-US" w:eastAsia="uk-UA"/>
              </w:rPr>
              <w:t>2</w:t>
            </w: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,</w:t>
            </w:r>
            <w:r w:rsidR="00FA0604">
              <w:rPr>
                <w:rFonts w:eastAsia="Times New Roman" w:cstheme="minorHAnsi"/>
                <w:color w:val="000000" w:themeColor="text1"/>
                <w:lang w:eastAsia="uk-UA"/>
              </w:rPr>
              <w:t>20</w:t>
            </w:r>
          </w:p>
        </w:tc>
      </w:tr>
      <w:tr w:rsidR="005A11F5" w:rsidRPr="00612511" w:rsidTr="00C02AE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hideMark/>
          </w:tcPr>
          <w:p w:rsidR="005A11F5" w:rsidRPr="00612511" w:rsidRDefault="005A11F5" w:rsidP="00612511">
            <w:pPr>
              <w:rPr>
                <w:rFonts w:eastAsia="Times New Roman" w:cstheme="minorHAnsi"/>
                <w:color w:val="000000"/>
                <w:lang w:eastAsia="uk-UA"/>
              </w:rPr>
            </w:pP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 xml:space="preserve">Частка боргу з плаваючою  процентною ставкою в загальному обсязі </w:t>
            </w:r>
            <w:r w:rsidR="003446E3" w:rsidRPr="00612511">
              <w:rPr>
                <w:rFonts w:eastAsia="Times New Roman" w:cstheme="minorHAnsi"/>
                <w:color w:val="000000"/>
                <w:lang w:eastAsia="uk-UA"/>
              </w:rPr>
              <w:t>державного боргу</w:t>
            </w:r>
            <w:r w:rsidRPr="00612511">
              <w:rPr>
                <w:rFonts w:eastAsia="Times New Roman" w:cstheme="minorHAnsi"/>
                <w:color w:val="000000"/>
                <w:lang w:eastAsia="uk-UA"/>
              </w:rPr>
              <w:t>, %</w:t>
            </w:r>
          </w:p>
        </w:tc>
        <w:tc>
          <w:tcPr>
            <w:tcW w:w="1188" w:type="dxa"/>
            <w:noWrap/>
            <w:hideMark/>
          </w:tcPr>
          <w:p w:rsidR="005A11F5" w:rsidRPr="00FA0604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</w:t>
            </w:r>
            <w:r w:rsidR="00FA0604">
              <w:rPr>
                <w:rFonts w:eastAsia="Times New Roman" w:cstheme="minorHAnsi"/>
                <w:color w:val="000000" w:themeColor="text1"/>
                <w:lang w:val="en-US" w:eastAsia="uk-UA"/>
              </w:rPr>
              <w:t>9,71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21,</w:t>
            </w:r>
            <w:r w:rsidR="00FA0604">
              <w:rPr>
                <w:rFonts w:eastAsia="Times New Roman" w:cstheme="minorHAnsi"/>
                <w:color w:val="000000" w:themeColor="text1"/>
                <w:lang w:eastAsia="uk-UA"/>
              </w:rPr>
              <w:t>30</w:t>
            </w:r>
          </w:p>
        </w:tc>
        <w:tc>
          <w:tcPr>
            <w:tcW w:w="1207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27,</w:t>
            </w:r>
            <w:r w:rsidR="00FA0604">
              <w:rPr>
                <w:rFonts w:eastAsia="Times New Roman" w:cstheme="minorHAnsi"/>
                <w:color w:val="000000" w:themeColor="text1"/>
                <w:lang w:eastAsia="uk-UA"/>
              </w:rPr>
              <w:t>90</w:t>
            </w:r>
          </w:p>
        </w:tc>
      </w:tr>
      <w:tr w:rsidR="005A11F5" w:rsidRPr="00612511" w:rsidTr="00C02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hideMark/>
          </w:tcPr>
          <w:p w:rsidR="005A11F5" w:rsidRPr="00612511" w:rsidRDefault="005A11F5" w:rsidP="00612511">
            <w:pPr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>Валютний ризик</w:t>
            </w: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>Частка державного боргу в іноземній валюті, %</w:t>
            </w:r>
          </w:p>
        </w:tc>
        <w:tc>
          <w:tcPr>
            <w:tcW w:w="1188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100,00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7,</w:t>
            </w:r>
            <w:r w:rsidR="00FA0604">
              <w:rPr>
                <w:rFonts w:eastAsia="Times New Roman" w:cstheme="minorHAnsi"/>
                <w:color w:val="000000" w:themeColor="text1"/>
                <w:lang w:eastAsia="uk-UA"/>
              </w:rPr>
              <w:t>31</w:t>
            </w:r>
          </w:p>
        </w:tc>
        <w:tc>
          <w:tcPr>
            <w:tcW w:w="1207" w:type="dxa"/>
            <w:noWrap/>
            <w:hideMark/>
          </w:tcPr>
          <w:p w:rsidR="005A11F5" w:rsidRPr="00FA0604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80,</w:t>
            </w:r>
            <w:r w:rsidR="00FA0604">
              <w:rPr>
                <w:rFonts w:eastAsia="Times New Roman" w:cstheme="minorHAnsi"/>
                <w:color w:val="000000" w:themeColor="text1"/>
                <w:lang w:val="en-US" w:eastAsia="uk-UA"/>
              </w:rPr>
              <w:t>08</w:t>
            </w:r>
          </w:p>
        </w:tc>
      </w:tr>
      <w:tr w:rsidR="005A11F5" w:rsidRPr="00612511" w:rsidTr="00C02AE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hideMark/>
          </w:tcPr>
          <w:p w:rsidR="005A11F5" w:rsidRPr="00612511" w:rsidRDefault="005A11F5" w:rsidP="00612511">
            <w:pPr>
              <w:rPr>
                <w:rFonts w:eastAsia="Times New Roman" w:cstheme="minorHAnsi"/>
                <w:color w:val="000000"/>
                <w:lang w:eastAsia="uk-UA"/>
              </w:rPr>
            </w:pP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 xml:space="preserve">Співвідношення короткострокового державного зовнішнього боргу до міжнародних </w:t>
            </w:r>
            <w:r w:rsidR="00A46ECB" w:rsidRPr="00612511">
              <w:rPr>
                <w:rFonts w:eastAsia="Times New Roman" w:cstheme="minorHAnsi"/>
                <w:color w:val="000000"/>
                <w:lang w:eastAsia="uk-UA"/>
              </w:rPr>
              <w:t>резервів</w:t>
            </w:r>
            <w:r w:rsidRPr="00612511">
              <w:rPr>
                <w:rFonts w:eastAsia="Times New Roman" w:cstheme="minorHAnsi"/>
                <w:color w:val="000000"/>
                <w:lang w:eastAsia="uk-UA"/>
              </w:rPr>
              <w:t>, %</w:t>
            </w:r>
          </w:p>
        </w:tc>
        <w:tc>
          <w:tcPr>
            <w:tcW w:w="1188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 </w:t>
            </w:r>
          </w:p>
        </w:tc>
        <w:tc>
          <w:tcPr>
            <w:tcW w:w="1207" w:type="dxa"/>
            <w:noWrap/>
            <w:hideMark/>
          </w:tcPr>
          <w:p w:rsidR="005A11F5" w:rsidRPr="00612511" w:rsidRDefault="00344D03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7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,</w:t>
            </w:r>
            <w:r w:rsidR="00FA0604">
              <w:rPr>
                <w:rFonts w:eastAsia="Times New Roman" w:cstheme="minorHAnsi"/>
                <w:color w:val="000000" w:themeColor="text1"/>
                <w:lang w:val="en-US" w:eastAsia="uk-UA"/>
              </w:rPr>
              <w:t>86</w:t>
            </w:r>
          </w:p>
        </w:tc>
      </w:tr>
      <w:tr w:rsidR="005A11F5" w:rsidRPr="00612511" w:rsidTr="00C02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hideMark/>
          </w:tcPr>
          <w:p w:rsidR="005A11F5" w:rsidRPr="00612511" w:rsidRDefault="005A11F5" w:rsidP="00612511">
            <w:pPr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>Ризик рефінансування</w:t>
            </w: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>Середньозважений термін до погашення, роки</w:t>
            </w:r>
          </w:p>
        </w:tc>
        <w:tc>
          <w:tcPr>
            <w:tcW w:w="1188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15,</w:t>
            </w:r>
            <w:r w:rsidR="00FA0604">
              <w:rPr>
                <w:rFonts w:eastAsia="Times New Roman" w:cstheme="minorHAnsi"/>
                <w:color w:val="000000" w:themeColor="text1"/>
                <w:lang w:eastAsia="uk-UA"/>
              </w:rPr>
              <w:t>15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5,</w:t>
            </w:r>
            <w:r w:rsidR="00FA0604">
              <w:rPr>
                <w:rFonts w:eastAsia="Times New Roman" w:cstheme="minorHAnsi"/>
                <w:color w:val="000000" w:themeColor="text1"/>
                <w:lang w:eastAsia="uk-UA"/>
              </w:rPr>
              <w:t>26</w:t>
            </w:r>
          </w:p>
        </w:tc>
        <w:tc>
          <w:tcPr>
            <w:tcW w:w="1207" w:type="dxa"/>
            <w:noWrap/>
            <w:hideMark/>
          </w:tcPr>
          <w:p w:rsidR="005A11F5" w:rsidRPr="00FA0604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1</w:t>
            </w:r>
            <w:r w:rsidR="00FA0604">
              <w:rPr>
                <w:rFonts w:eastAsia="Times New Roman" w:cstheme="minorHAnsi"/>
                <w:color w:val="000000" w:themeColor="text1"/>
                <w:lang w:val="en-US" w:eastAsia="uk-UA"/>
              </w:rPr>
              <w:t>2,87</w:t>
            </w:r>
          </w:p>
        </w:tc>
      </w:tr>
      <w:tr w:rsidR="005A11F5" w:rsidRPr="00612511" w:rsidTr="00C02AE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hideMark/>
          </w:tcPr>
          <w:p w:rsidR="005A11F5" w:rsidRPr="00612511" w:rsidRDefault="005A11F5" w:rsidP="00795D3C">
            <w:pPr>
              <w:rPr>
                <w:rFonts w:eastAsia="Times New Roman" w:cstheme="minorHAnsi"/>
                <w:color w:val="000000"/>
                <w:lang w:eastAsia="uk-UA"/>
              </w:rPr>
            </w:pP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 xml:space="preserve">Частка </w:t>
            </w:r>
            <w:r w:rsidR="003446E3" w:rsidRPr="00612511">
              <w:rPr>
                <w:rFonts w:eastAsia="Times New Roman" w:cstheme="minorHAnsi"/>
                <w:color w:val="000000"/>
                <w:lang w:eastAsia="uk-UA"/>
              </w:rPr>
              <w:t>державного боргу</w:t>
            </w:r>
            <w:r w:rsidRPr="00612511">
              <w:rPr>
                <w:rFonts w:eastAsia="Times New Roman" w:cstheme="minorHAnsi"/>
                <w:color w:val="000000"/>
                <w:lang w:eastAsia="uk-UA"/>
              </w:rPr>
              <w:t>, що підлягає погашенню протягом року, %</w:t>
            </w:r>
          </w:p>
        </w:tc>
        <w:tc>
          <w:tcPr>
            <w:tcW w:w="1188" w:type="dxa"/>
            <w:noWrap/>
            <w:hideMark/>
          </w:tcPr>
          <w:p w:rsidR="005A11F5" w:rsidRPr="00FA0604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2,</w:t>
            </w:r>
            <w:r w:rsidR="00FA0604">
              <w:rPr>
                <w:rFonts w:eastAsia="Times New Roman" w:cstheme="minorHAnsi"/>
                <w:color w:val="000000" w:themeColor="text1"/>
                <w:lang w:val="en-US" w:eastAsia="uk-UA"/>
              </w:rPr>
              <w:t>28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</w:t>
            </w:r>
            <w:r w:rsidR="00FA0604">
              <w:rPr>
                <w:rFonts w:eastAsia="Times New Roman" w:cstheme="minorHAnsi"/>
                <w:color w:val="000000" w:themeColor="text1"/>
                <w:lang w:eastAsia="uk-UA"/>
              </w:rPr>
              <w:t>4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,</w:t>
            </w:r>
            <w:r w:rsidR="00FA0604">
              <w:rPr>
                <w:rFonts w:eastAsia="Times New Roman" w:cstheme="minorHAnsi"/>
                <w:color w:val="000000" w:themeColor="text1"/>
                <w:lang w:val="en-US" w:eastAsia="uk-UA"/>
              </w:rPr>
              <w:t>85</w:t>
            </w:r>
          </w:p>
        </w:tc>
        <w:tc>
          <w:tcPr>
            <w:tcW w:w="1207" w:type="dxa"/>
            <w:noWrap/>
            <w:hideMark/>
          </w:tcPr>
          <w:p w:rsidR="005A11F5" w:rsidRPr="00545262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7,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1</w:t>
            </w:r>
            <w:r w:rsidR="00545262">
              <w:rPr>
                <w:rFonts w:eastAsia="Times New Roman" w:cstheme="minorHAnsi"/>
                <w:color w:val="000000" w:themeColor="text1"/>
                <w:lang w:eastAsia="uk-UA"/>
              </w:rPr>
              <w:t>3</w:t>
            </w:r>
            <w:bookmarkStart w:id="0" w:name="_GoBack"/>
            <w:bookmarkEnd w:id="0"/>
          </w:p>
        </w:tc>
      </w:tr>
    </w:tbl>
    <w:p w:rsidR="00612511" w:rsidRPr="00612511" w:rsidRDefault="00612511">
      <w:pPr>
        <w:rPr>
          <w:rFonts w:cstheme="minorHAnsi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74777" w:rsidRDefault="00774777">
      <w:pPr>
        <w:rPr>
          <w:rFonts w:cstheme="minorHAnsi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74777" w:rsidRDefault="00924A09">
      <w:pPr>
        <w:rPr>
          <w:rFonts w:cstheme="minorHAnsi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41E0CE5B" wp14:editId="40ACF867">
            <wp:extent cx="6120765" cy="3053080"/>
            <wp:effectExtent l="0" t="0" r="13335" b="13970"/>
            <wp:docPr id="1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F183D73D-6898-4B86-814F-8D7618CD65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24A09" w:rsidRDefault="00924A09">
      <w:pPr>
        <w:rPr>
          <w:rFonts w:cstheme="minorHAnsi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24A09" w:rsidRDefault="00924A09">
      <w:pPr>
        <w:rPr>
          <w:rFonts w:cstheme="minorHAnsi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14749" w:rsidRPr="00924A09" w:rsidRDefault="00774777" w:rsidP="00924A09">
      <w:pPr>
        <w:pStyle w:val="a3"/>
        <w:jc w:val="right"/>
        <w:rPr>
          <w:color w:val="2F5496" w:themeColor="accent1" w:themeShade="BF"/>
          <w:sz w:val="26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4777">
        <w:rPr>
          <w:color w:val="2F5496" w:themeColor="accent1" w:themeShade="BF"/>
          <w:sz w:val="26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Департамент боргової політики</w:t>
      </w:r>
    </w:p>
    <w:sectPr w:rsidR="00F14749" w:rsidRPr="00924A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0604" w:rsidRDefault="00FA0604" w:rsidP="00FA0604">
      <w:pPr>
        <w:spacing w:after="0" w:line="240" w:lineRule="auto"/>
      </w:pPr>
      <w:r>
        <w:separator/>
      </w:r>
    </w:p>
  </w:endnote>
  <w:endnote w:type="continuationSeparator" w:id="0">
    <w:p w:rsidR="00FA0604" w:rsidRDefault="00FA0604" w:rsidP="00FA0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0604" w:rsidRDefault="00FA0604" w:rsidP="00FA0604">
      <w:pPr>
        <w:spacing w:after="0" w:line="240" w:lineRule="auto"/>
      </w:pPr>
      <w:r>
        <w:separator/>
      </w:r>
    </w:p>
  </w:footnote>
  <w:footnote w:type="continuationSeparator" w:id="0">
    <w:p w:rsidR="00FA0604" w:rsidRDefault="00FA0604" w:rsidP="00FA06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03"/>
    <w:rsid w:val="000A4DB4"/>
    <w:rsid w:val="000B0B08"/>
    <w:rsid w:val="000B3018"/>
    <w:rsid w:val="000F7D03"/>
    <w:rsid w:val="00156FB8"/>
    <w:rsid w:val="002E78A6"/>
    <w:rsid w:val="00331956"/>
    <w:rsid w:val="00343DFF"/>
    <w:rsid w:val="003446E3"/>
    <w:rsid w:val="00344D03"/>
    <w:rsid w:val="00387252"/>
    <w:rsid w:val="003A4991"/>
    <w:rsid w:val="00406650"/>
    <w:rsid w:val="00406BAE"/>
    <w:rsid w:val="004A5416"/>
    <w:rsid w:val="00533D44"/>
    <w:rsid w:val="00545262"/>
    <w:rsid w:val="00596B4E"/>
    <w:rsid w:val="005A11F5"/>
    <w:rsid w:val="005E59C8"/>
    <w:rsid w:val="00604344"/>
    <w:rsid w:val="00610F4B"/>
    <w:rsid w:val="00612511"/>
    <w:rsid w:val="006C3B5D"/>
    <w:rsid w:val="006F3CA3"/>
    <w:rsid w:val="00701DC8"/>
    <w:rsid w:val="007170DB"/>
    <w:rsid w:val="00732A5F"/>
    <w:rsid w:val="00766399"/>
    <w:rsid w:val="00774777"/>
    <w:rsid w:val="00795D3C"/>
    <w:rsid w:val="007D5677"/>
    <w:rsid w:val="00817DAC"/>
    <w:rsid w:val="00852CC0"/>
    <w:rsid w:val="008B4CD4"/>
    <w:rsid w:val="009051AF"/>
    <w:rsid w:val="0090559F"/>
    <w:rsid w:val="00924A09"/>
    <w:rsid w:val="009328C0"/>
    <w:rsid w:val="00977403"/>
    <w:rsid w:val="009A72BF"/>
    <w:rsid w:val="009E6D35"/>
    <w:rsid w:val="00A37685"/>
    <w:rsid w:val="00A46ECB"/>
    <w:rsid w:val="00A74BCE"/>
    <w:rsid w:val="00A77809"/>
    <w:rsid w:val="00AB00CC"/>
    <w:rsid w:val="00AB02B4"/>
    <w:rsid w:val="00B0190B"/>
    <w:rsid w:val="00B2234C"/>
    <w:rsid w:val="00B2493B"/>
    <w:rsid w:val="00B316F3"/>
    <w:rsid w:val="00B43A3E"/>
    <w:rsid w:val="00B9403E"/>
    <w:rsid w:val="00B966C4"/>
    <w:rsid w:val="00BD6357"/>
    <w:rsid w:val="00C02AE2"/>
    <w:rsid w:val="00C21453"/>
    <w:rsid w:val="00C62D24"/>
    <w:rsid w:val="00CD11DD"/>
    <w:rsid w:val="00CF639C"/>
    <w:rsid w:val="00D1086B"/>
    <w:rsid w:val="00D3643A"/>
    <w:rsid w:val="00DA67C0"/>
    <w:rsid w:val="00E07E7E"/>
    <w:rsid w:val="00E52DFE"/>
    <w:rsid w:val="00E75E0C"/>
    <w:rsid w:val="00E87A5E"/>
    <w:rsid w:val="00EA3D94"/>
    <w:rsid w:val="00EC3712"/>
    <w:rsid w:val="00F14749"/>
    <w:rsid w:val="00F5558C"/>
    <w:rsid w:val="00FA0604"/>
    <w:rsid w:val="00FC482D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E6B00"/>
  <w15:chartTrackingRefBased/>
  <w15:docId w15:val="{6BBB25A6-4E65-442E-AAF8-3FA21BA92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D03"/>
    <w:pPr>
      <w:tabs>
        <w:tab w:val="center" w:pos="4819"/>
        <w:tab w:val="right" w:pos="9639"/>
      </w:tabs>
      <w:spacing w:after="0" w:line="240" w:lineRule="auto"/>
    </w:pPr>
    <w:rPr>
      <w:rFonts w:ascii="Aptos" w:hAnsi="Aptos" w:cstheme="minorHAnsi"/>
      <w:kern w:val="2"/>
      <w:lang w:val="en-US"/>
      <w14:ligatures w14:val="standardContextual"/>
    </w:rPr>
  </w:style>
  <w:style w:type="character" w:customStyle="1" w:styleId="a4">
    <w:name w:val="Верхній колонтитул Знак"/>
    <w:basedOn w:val="a0"/>
    <w:link w:val="a3"/>
    <w:uiPriority w:val="99"/>
    <w:rsid w:val="000F7D03"/>
    <w:rPr>
      <w:rFonts w:ascii="Aptos" w:hAnsi="Aptos" w:cstheme="minorHAnsi"/>
      <w:kern w:val="2"/>
      <w:lang w:val="en-US"/>
      <w14:ligatures w14:val="standardContextual"/>
    </w:rPr>
  </w:style>
  <w:style w:type="table" w:styleId="2">
    <w:name w:val="Plain Table 2"/>
    <w:basedOn w:val="a1"/>
    <w:uiPriority w:val="42"/>
    <w:rsid w:val="00B0190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MOF.LOCAL\NetDisks\N\12000\12040\12040\&#1052;&#1040;&#1050;&#1056;&#1054;%20&#1090;&#1072;%20&#1041;&#1054;&#1056;&#1043;\&#1042;&#1072;&#1088;&#1090;&#1110;&#1089;&#1090;&#1100;%20&#1090;&#1072;%20&#1089;&#1090;&#1088;&#1086;&#1082;%20&#1076;&#1086;%20&#1087;&#1086;&#1075;&#1072;&#1096;&#1077;&#1085;&#1085;&#1103;%20&#1073;&#1086;&#1088;&#1075;&#1091;\&#1041;&#1086;&#1088;&#1075;&#1086;&#1074;&#1110;%20&#1110;&#1085;&#1076;&#1080;&#1082;&#1072;&#1090;&#1086;&#1088;&#1080;\09.2026%20&#1072;&#1074;&#1090;&#1086;&#1084;&#1072;&#109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uk-UA" sz="1400" b="1" i="0" baseline="0">
                <a:solidFill>
                  <a:sysClr val="windowText" lastClr="000000"/>
                </a:solidFill>
                <a:effectLst/>
              </a:rPr>
              <a:t>Графік платежів з погашення державного боргу, млрд грн</a:t>
            </a:r>
            <a:endParaRPr lang="uk-UA" sz="1400">
              <a:solidFill>
                <a:sysClr val="windowText" lastClr="000000"/>
              </a:solidFill>
              <a:effectLst/>
            </a:endParaRPr>
          </a:p>
        </c:rich>
      </c:tx>
      <c:layout>
        <c:manualLayout>
          <c:xMode val="edge"/>
          <c:yMode val="edge"/>
          <c:x val="0.12736283781520774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Платежі!$A$65</c:f>
              <c:strCache>
                <c:ptCount val="1"/>
                <c:pt idx="0">
                  <c:v>Внутрішній борг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numRef>
              <c:f>Платежі!$B$1:$AK$1</c:f>
              <c:numCache>
                <c:formatCode>General</c:formatCode>
                <c:ptCount val="36"/>
                <c:pt idx="0">
                  <c:v>2026</c:v>
                </c:pt>
                <c:pt idx="1">
                  <c:v>2027</c:v>
                </c:pt>
                <c:pt idx="2" formatCode="@">
                  <c:v>2028</c:v>
                </c:pt>
                <c:pt idx="3" formatCode="@">
                  <c:v>2029</c:v>
                </c:pt>
                <c:pt idx="4" formatCode="@">
                  <c:v>2030</c:v>
                </c:pt>
                <c:pt idx="5" formatCode="@">
                  <c:v>2031</c:v>
                </c:pt>
                <c:pt idx="6" formatCode="@">
                  <c:v>2032</c:v>
                </c:pt>
                <c:pt idx="7" formatCode="@">
                  <c:v>2033</c:v>
                </c:pt>
                <c:pt idx="8" formatCode="@">
                  <c:v>2034</c:v>
                </c:pt>
                <c:pt idx="9" formatCode="@">
                  <c:v>2035</c:v>
                </c:pt>
                <c:pt idx="10" formatCode="@">
                  <c:v>2036</c:v>
                </c:pt>
                <c:pt idx="11" formatCode="@">
                  <c:v>2037</c:v>
                </c:pt>
                <c:pt idx="12" formatCode="@">
                  <c:v>2038</c:v>
                </c:pt>
                <c:pt idx="13" formatCode="@">
                  <c:v>2039</c:v>
                </c:pt>
                <c:pt idx="14" formatCode="@">
                  <c:v>2040</c:v>
                </c:pt>
                <c:pt idx="15" formatCode="@">
                  <c:v>2041</c:v>
                </c:pt>
                <c:pt idx="16" formatCode="@">
                  <c:v>2042</c:v>
                </c:pt>
                <c:pt idx="17" formatCode="@">
                  <c:v>2043</c:v>
                </c:pt>
                <c:pt idx="18" formatCode="@">
                  <c:v>2044</c:v>
                </c:pt>
                <c:pt idx="19" formatCode="@">
                  <c:v>2045</c:v>
                </c:pt>
                <c:pt idx="20" formatCode="@">
                  <c:v>2046</c:v>
                </c:pt>
                <c:pt idx="21" formatCode="@">
                  <c:v>2047</c:v>
                </c:pt>
                <c:pt idx="22" formatCode="@">
                  <c:v>2048</c:v>
                </c:pt>
                <c:pt idx="23" formatCode="@">
                  <c:v>2049</c:v>
                </c:pt>
                <c:pt idx="24" formatCode="@">
                  <c:v>2050</c:v>
                </c:pt>
                <c:pt idx="25" formatCode="@">
                  <c:v>2051</c:v>
                </c:pt>
                <c:pt idx="26" formatCode="@">
                  <c:v>2052</c:v>
                </c:pt>
                <c:pt idx="27" formatCode="@">
                  <c:v>2053</c:v>
                </c:pt>
                <c:pt idx="28" formatCode="@">
                  <c:v>2054</c:v>
                </c:pt>
                <c:pt idx="29" formatCode="@">
                  <c:v>2055</c:v>
                </c:pt>
                <c:pt idx="30" formatCode="@">
                  <c:v>2056</c:v>
                </c:pt>
                <c:pt idx="31" formatCode="@">
                  <c:v>2057</c:v>
                </c:pt>
                <c:pt idx="32" formatCode="@">
                  <c:v>2058</c:v>
                </c:pt>
                <c:pt idx="33" formatCode="@">
                  <c:v>2059</c:v>
                </c:pt>
                <c:pt idx="34" formatCode="@">
                  <c:v>2060</c:v>
                </c:pt>
                <c:pt idx="35" formatCode="@">
                  <c:v>2061</c:v>
                </c:pt>
              </c:numCache>
            </c:numRef>
          </c:cat>
          <c:val>
            <c:numRef>
              <c:f>Платежі!$B$65:$AK$65</c:f>
              <c:numCache>
                <c:formatCode>0.00</c:formatCode>
                <c:ptCount val="36"/>
                <c:pt idx="0">
                  <c:v>433.27937575930173</c:v>
                </c:pt>
                <c:pt idx="1">
                  <c:v>526.25290862078998</c:v>
                </c:pt>
                <c:pt idx="2">
                  <c:v>275.49210927710999</c:v>
                </c:pt>
                <c:pt idx="3">
                  <c:v>335.09401852847998</c:v>
                </c:pt>
                <c:pt idx="4">
                  <c:v>76.907523681000001</c:v>
                </c:pt>
                <c:pt idx="5">
                  <c:v>81.641822550430007</c:v>
                </c:pt>
                <c:pt idx="6">
                  <c:v>66.978801533679999</c:v>
                </c:pt>
                <c:pt idx="7">
                  <c:v>52.980116522480003</c:v>
                </c:pt>
                <c:pt idx="8">
                  <c:v>52.22999652248</c:v>
                </c:pt>
                <c:pt idx="9">
                  <c:v>64.069996522980006</c:v>
                </c:pt>
                <c:pt idx="10">
                  <c:v>83.921043999999995</c:v>
                </c:pt>
                <c:pt idx="11">
                  <c:v>132.09774400000001</c:v>
                </c:pt>
                <c:pt idx="12">
                  <c:v>27.097743999999999</c:v>
                </c:pt>
                <c:pt idx="13">
                  <c:v>27.097743999999999</c:v>
                </c:pt>
                <c:pt idx="14">
                  <c:v>27.097743999999999</c:v>
                </c:pt>
                <c:pt idx="15">
                  <c:v>12.097744</c:v>
                </c:pt>
                <c:pt idx="16">
                  <c:v>12.097744</c:v>
                </c:pt>
                <c:pt idx="17">
                  <c:v>12.097744</c:v>
                </c:pt>
                <c:pt idx="18">
                  <c:v>12.097744</c:v>
                </c:pt>
                <c:pt idx="19">
                  <c:v>12.097744</c:v>
                </c:pt>
                <c:pt idx="20">
                  <c:v>12.097744</c:v>
                </c:pt>
                <c:pt idx="21">
                  <c:v>12.097751000000001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70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A0B-4D1F-8581-340015A50EC7}"/>
            </c:ext>
          </c:extLst>
        </c:ser>
        <c:ser>
          <c:idx val="1"/>
          <c:order val="1"/>
          <c:tx>
            <c:strRef>
              <c:f>Платежі!$A$66</c:f>
              <c:strCache>
                <c:ptCount val="1"/>
                <c:pt idx="0">
                  <c:v>Зовнішній борг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numRef>
              <c:f>Платежі!$B$1:$AK$1</c:f>
              <c:numCache>
                <c:formatCode>General</c:formatCode>
                <c:ptCount val="36"/>
                <c:pt idx="0">
                  <c:v>2026</c:v>
                </c:pt>
                <c:pt idx="1">
                  <c:v>2027</c:v>
                </c:pt>
                <c:pt idx="2" formatCode="@">
                  <c:v>2028</c:v>
                </c:pt>
                <c:pt idx="3" formatCode="@">
                  <c:v>2029</c:v>
                </c:pt>
                <c:pt idx="4" formatCode="@">
                  <c:v>2030</c:v>
                </c:pt>
                <c:pt idx="5" formatCode="@">
                  <c:v>2031</c:v>
                </c:pt>
                <c:pt idx="6" formatCode="@">
                  <c:v>2032</c:v>
                </c:pt>
                <c:pt idx="7" formatCode="@">
                  <c:v>2033</c:v>
                </c:pt>
                <c:pt idx="8" formatCode="@">
                  <c:v>2034</c:v>
                </c:pt>
                <c:pt idx="9" formatCode="@">
                  <c:v>2035</c:v>
                </c:pt>
                <c:pt idx="10" formatCode="@">
                  <c:v>2036</c:v>
                </c:pt>
                <c:pt idx="11" formatCode="@">
                  <c:v>2037</c:v>
                </c:pt>
                <c:pt idx="12" formatCode="@">
                  <c:v>2038</c:v>
                </c:pt>
                <c:pt idx="13" formatCode="@">
                  <c:v>2039</c:v>
                </c:pt>
                <c:pt idx="14" formatCode="@">
                  <c:v>2040</c:v>
                </c:pt>
                <c:pt idx="15" formatCode="@">
                  <c:v>2041</c:v>
                </c:pt>
                <c:pt idx="16" formatCode="@">
                  <c:v>2042</c:v>
                </c:pt>
                <c:pt idx="17" formatCode="@">
                  <c:v>2043</c:v>
                </c:pt>
                <c:pt idx="18" formatCode="@">
                  <c:v>2044</c:v>
                </c:pt>
                <c:pt idx="19" formatCode="@">
                  <c:v>2045</c:v>
                </c:pt>
                <c:pt idx="20" formatCode="@">
                  <c:v>2046</c:v>
                </c:pt>
                <c:pt idx="21" formatCode="@">
                  <c:v>2047</c:v>
                </c:pt>
                <c:pt idx="22" formatCode="@">
                  <c:v>2048</c:v>
                </c:pt>
                <c:pt idx="23" formatCode="@">
                  <c:v>2049</c:v>
                </c:pt>
                <c:pt idx="24" formatCode="@">
                  <c:v>2050</c:v>
                </c:pt>
                <c:pt idx="25" formatCode="@">
                  <c:v>2051</c:v>
                </c:pt>
                <c:pt idx="26" formatCode="@">
                  <c:v>2052</c:v>
                </c:pt>
                <c:pt idx="27" formatCode="@">
                  <c:v>2053</c:v>
                </c:pt>
                <c:pt idx="28" formatCode="@">
                  <c:v>2054</c:v>
                </c:pt>
                <c:pt idx="29" formatCode="@">
                  <c:v>2055</c:v>
                </c:pt>
                <c:pt idx="30" formatCode="@">
                  <c:v>2056</c:v>
                </c:pt>
                <c:pt idx="31" formatCode="@">
                  <c:v>2057</c:v>
                </c:pt>
                <c:pt idx="32" formatCode="@">
                  <c:v>2058</c:v>
                </c:pt>
                <c:pt idx="33" formatCode="@">
                  <c:v>2059</c:v>
                </c:pt>
                <c:pt idx="34" formatCode="@">
                  <c:v>2060</c:v>
                </c:pt>
                <c:pt idx="35" formatCode="@">
                  <c:v>2061</c:v>
                </c:pt>
              </c:numCache>
            </c:numRef>
          </c:cat>
          <c:val>
            <c:numRef>
              <c:f>Платежі!$B$66:$AK$66</c:f>
              <c:numCache>
                <c:formatCode>0.00</c:formatCode>
                <c:ptCount val="36"/>
                <c:pt idx="0">
                  <c:v>128.55718536389952</c:v>
                </c:pt>
                <c:pt idx="1">
                  <c:v>149.96536961382259</c:v>
                </c:pt>
                <c:pt idx="2">
                  <c:v>134.32708676189313</c:v>
                </c:pt>
                <c:pt idx="3">
                  <c:v>271.102698639876</c:v>
                </c:pt>
                <c:pt idx="4">
                  <c:v>286.66915319597649</c:v>
                </c:pt>
                <c:pt idx="5">
                  <c:v>299.94764183716836</c:v>
                </c:pt>
                <c:pt idx="6">
                  <c:v>264.03642225554069</c:v>
                </c:pt>
                <c:pt idx="7">
                  <c:v>181.58422860882047</c:v>
                </c:pt>
                <c:pt idx="8">
                  <c:v>407.03769267415947</c:v>
                </c:pt>
                <c:pt idx="9">
                  <c:v>418.86141577483033</c:v>
                </c:pt>
                <c:pt idx="10">
                  <c:v>371.78343176023697</c:v>
                </c:pt>
                <c:pt idx="11">
                  <c:v>200.12754634251706</c:v>
                </c:pt>
                <c:pt idx="12">
                  <c:v>164.31459515112545</c:v>
                </c:pt>
                <c:pt idx="13">
                  <c:v>161.95326654282425</c:v>
                </c:pt>
                <c:pt idx="14">
                  <c:v>184.96865738008873</c:v>
                </c:pt>
                <c:pt idx="15">
                  <c:v>154.42151700856826</c:v>
                </c:pt>
                <c:pt idx="16">
                  <c:v>253.78506853093523</c:v>
                </c:pt>
                <c:pt idx="17">
                  <c:v>150.55362890657105</c:v>
                </c:pt>
                <c:pt idx="18">
                  <c:v>148.75952746821119</c:v>
                </c:pt>
                <c:pt idx="19">
                  <c:v>144.50803425151852</c:v>
                </c:pt>
                <c:pt idx="20">
                  <c:v>143.16894857295947</c:v>
                </c:pt>
                <c:pt idx="21">
                  <c:v>142.19327918078</c:v>
                </c:pt>
                <c:pt idx="22">
                  <c:v>140.89438663370953</c:v>
                </c:pt>
                <c:pt idx="23">
                  <c:v>140.87059927478776</c:v>
                </c:pt>
                <c:pt idx="24">
                  <c:v>140.47248235673641</c:v>
                </c:pt>
                <c:pt idx="25">
                  <c:v>138.84066130278609</c:v>
                </c:pt>
                <c:pt idx="26">
                  <c:v>161.43967589210573</c:v>
                </c:pt>
                <c:pt idx="27">
                  <c:v>262.67942107616676</c:v>
                </c:pt>
                <c:pt idx="28">
                  <c:v>92.685760980587389</c:v>
                </c:pt>
                <c:pt idx="29">
                  <c:v>54.455139473586321</c:v>
                </c:pt>
                <c:pt idx="30">
                  <c:v>48.034902188033001</c:v>
                </c:pt>
                <c:pt idx="31">
                  <c:v>45.146928495006264</c:v>
                </c:pt>
                <c:pt idx="32">
                  <c:v>39.97893112682268</c:v>
                </c:pt>
                <c:pt idx="33">
                  <c:v>39.97893112682268</c:v>
                </c:pt>
                <c:pt idx="34">
                  <c:v>30.699696806713703</c:v>
                </c:pt>
                <c:pt idx="35">
                  <c:v>12.965688406071633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A0B-4D1F-8581-340015A50E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overlap val="100"/>
        <c:axId val="2073725232"/>
        <c:axId val="1995317184"/>
      </c:barChart>
      <c:catAx>
        <c:axId val="2073725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995317184"/>
        <c:crosses val="autoZero"/>
        <c:auto val="1"/>
        <c:lblAlgn val="ctr"/>
        <c:lblOffset val="100"/>
        <c:noMultiLvlLbl val="0"/>
      </c:catAx>
      <c:valAx>
        <c:axId val="1995317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73725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1B65B-C145-47ED-8739-4BEDB0DA3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528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ЧЕРНЯВСЬКИЙ Михайло Олександрович</dc:creator>
  <cp:keywords/>
  <dc:description/>
  <cp:lastModifiedBy>ЧЕРНЯВСЬКИЙ Михайло Олександрович</cp:lastModifiedBy>
  <cp:revision>4</cp:revision>
  <cp:lastPrinted>2026-08-04T16:30:00Z</cp:lastPrinted>
  <dcterms:created xsi:type="dcterms:W3CDTF">2026-10-26T12:27:00Z</dcterms:created>
  <dcterms:modified xsi:type="dcterms:W3CDTF">2026-10-26T12:50:00Z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4f55e546116a93a57bbd2ea4c1b849a2072fb0afa39d62065949bece90087919</vt:lpwstr>
  </property>
</Properties>
</file>