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Звіт про базове відстеження результативності</w:t>
      </w:r>
    </w:p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наказу Міністерства фінансів України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16.01.2016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6     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«Про затвердження Порядку зарахування у рахунок майбутніх платежів єдиного внеску на загальнообов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'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язкове державне соціальне страхування або повернення надміру та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або помилково сплачених коштів»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зареєстрованого в Міністерстві юстиції України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05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лютого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року за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193/28323</w:t>
      </w:r>
    </w:p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Вид та назва регуляторного акта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Наказ Міністерства фінансів України від </w:t>
      </w:r>
      <w:r>
        <w:rPr>
          <w:rFonts w:ascii="Times New Roman" w:hAnsi="Times New Roman"/>
          <w:sz w:val="28"/>
          <w:szCs w:val="28"/>
          <w:rtl w:val="0"/>
        </w:rPr>
        <w:t xml:space="preserve">16.01.2016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>«Про затвердження Порядку зарахування у рахунок майбутніх платежів єдиного внеску на загальнообов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язкове державне соціальне страхування або повернення надміру та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або помилково сплачених коштів»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зареєстрований в Міністерстві юстиції України </w:t>
      </w:r>
      <w:r>
        <w:rPr>
          <w:rFonts w:ascii="Times New Roman" w:hAnsi="Times New Roman"/>
          <w:sz w:val="28"/>
          <w:szCs w:val="28"/>
          <w:rtl w:val="0"/>
        </w:rPr>
        <w:t xml:space="preserve">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лютого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</w:rPr>
        <w:t>року за №</w:t>
      </w:r>
      <w:r>
        <w:rPr>
          <w:rFonts w:ascii="Times New Roman" w:hAnsi="Times New Roman"/>
          <w:sz w:val="28"/>
          <w:szCs w:val="28"/>
          <w:rtl w:val="0"/>
        </w:rPr>
        <w:t>193/28323.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Назва виконавця заходів з базового відстеження 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Управління організації обліку та аналізу інформації Міністерства фінансів України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Цілі прийняття акта</w:t>
      </w:r>
    </w:p>
    <w:p>
      <w:pPr>
        <w:pStyle w:val="Normal.0"/>
        <w:spacing w:after="80" w:line="240" w:lineRule="auto"/>
        <w:ind w:firstLine="567"/>
        <w:jc w:val="both"/>
        <w:rPr>
          <w:sz w:val="28"/>
          <w:szCs w:val="28"/>
          <w:shd w:val="clear" w:color="auto" w:fill="ffff00"/>
        </w:rPr>
      </w:pPr>
      <w:r>
        <w:rPr>
          <w:rFonts w:ascii="Times New Roman" w:hAnsi="Times New Roman" w:hint="default"/>
          <w:sz w:val="28"/>
          <w:szCs w:val="28"/>
          <w:rtl w:val="0"/>
        </w:rPr>
        <w:t>Головним завданням затвердження Порядку зарахування у рахунок майбутніх платежів єдиного внеску на загальнообов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язкове державне соціальне страхування або повернення надміру та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або помилково сплачених коштів є забезпечення реалізації законних прав платників єдиного внеску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визначених Законом України від </w:t>
      </w:r>
      <w:r>
        <w:rPr>
          <w:rFonts w:ascii="Times New Roman" w:hAnsi="Times New Roman"/>
          <w:sz w:val="28"/>
          <w:szCs w:val="28"/>
          <w:rtl w:val="0"/>
        </w:rPr>
        <w:t xml:space="preserve">08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липня </w:t>
      </w:r>
      <w:r>
        <w:rPr>
          <w:rFonts w:ascii="Times New Roman" w:hAnsi="Times New Roman"/>
          <w:sz w:val="28"/>
          <w:szCs w:val="28"/>
          <w:rtl w:val="0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року № </w:t>
      </w:r>
      <w:r>
        <w:rPr>
          <w:rFonts w:ascii="Times New Roman" w:hAnsi="Times New Roman"/>
          <w:sz w:val="28"/>
          <w:szCs w:val="28"/>
          <w:rtl w:val="0"/>
        </w:rPr>
        <w:t>2464-VI ,,</w:t>
      </w:r>
      <w:r>
        <w:rPr>
          <w:rFonts w:ascii="Times New Roman" w:hAnsi="Times New Roman" w:hint="default"/>
          <w:sz w:val="28"/>
          <w:szCs w:val="28"/>
          <w:rtl w:val="0"/>
        </w:rPr>
        <w:t>Про збір та облік єдиного внеску на загальнообов’язкове державне соціальне страхування”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StyleZakonu"/>
        <w:spacing w:after="8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  <w:shd w:val="clear" w:color="auto" w:fill="ffff00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Строк виконання заходів з базового відстеження 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Січень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грудень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00"/>
          <w:lang w:val="ru-RU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Тип відстеження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Базове відстеження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00"/>
          <w:lang w:val="ru-RU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Методи одержання результатів відстеження</w:t>
      </w:r>
    </w:p>
    <w:p>
      <w:pPr>
        <w:pStyle w:val="Normal (Web)"/>
        <w:spacing w:before="0" w:after="8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Відстеження результативності наказу здійснювалось шляхом аналізу статистичних даних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отриманих від Державної фіскальної служби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80"/>
        <w:ind w:firstLine="567"/>
        <w:jc w:val="both"/>
        <w:rPr>
          <w:b w:val="1"/>
          <w:bCs w:val="1"/>
          <w:color w:val="000000"/>
          <w:sz w:val="28"/>
          <w:szCs w:val="28"/>
          <w:u w:color="000000"/>
          <w:shd w:val="clear" w:color="auto" w:fill="ffff00"/>
        </w:rPr>
      </w:pPr>
    </w:p>
    <w:p>
      <w:pPr>
        <w:pStyle w:val="Normal (Web)"/>
        <w:spacing w:before="0" w:after="80"/>
        <w:ind w:firstLine="567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7.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 Дані та припущення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 основі яких відстежувалася результативність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 також способи одержання даних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Базове відстеження результативності регуляторного акта здійснювалося з дати набрання ним чинності протягом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</w:rPr>
        <w:t>року на основі аналізу статистичних даних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Кількісні та якісні значення показників результативності 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Станом на </w:t>
      </w:r>
      <w:r>
        <w:rPr>
          <w:rFonts w:ascii="Times New Roman" w:hAnsi="Times New Roman"/>
          <w:sz w:val="28"/>
          <w:szCs w:val="28"/>
          <w:rtl w:val="0"/>
        </w:rPr>
        <w:t xml:space="preserve">21.12.2016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Державною фіскальною службою України було забезпечено виконання звернень територіальних органів ДФС щодо перерахування сум помилково сплаченого єдиного внеску на загальнообов’язкове державне соціальне страхування на загальну суму </w:t>
      </w:r>
      <w:r>
        <w:rPr>
          <w:rFonts w:ascii="Times New Roman" w:hAnsi="Times New Roman"/>
          <w:sz w:val="28"/>
          <w:szCs w:val="28"/>
          <w:rtl w:val="0"/>
        </w:rPr>
        <w:t>506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227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009,91 </w:t>
      </w:r>
      <w:r>
        <w:rPr>
          <w:rFonts w:ascii="Times New Roman" w:hAnsi="Times New Roman" w:hint="default"/>
          <w:sz w:val="28"/>
          <w:szCs w:val="28"/>
          <w:rtl w:val="0"/>
        </w:rPr>
        <w:t>грн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З 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завдяки налагодженню тісної співпраці з соціальними фондами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вдалося отримати та повернути платникам </w:t>
      </w:r>
      <w:r>
        <w:rPr>
          <w:rFonts w:ascii="Times New Roman" w:hAnsi="Times New Roman"/>
          <w:sz w:val="28"/>
          <w:szCs w:val="28"/>
          <w:rtl w:val="0"/>
        </w:rPr>
        <w:t>484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400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127,67 </w:t>
      </w:r>
      <w:r>
        <w:rPr>
          <w:rFonts w:ascii="Times New Roman" w:hAnsi="Times New Roman" w:hint="default"/>
          <w:sz w:val="28"/>
          <w:szCs w:val="28"/>
          <w:rtl w:val="0"/>
        </w:rPr>
        <w:t>грн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помилково сплачених коштів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8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Оцінка результатів реалізації регуляторного акта та ступеня досягнення визначених цілей</w:t>
      </w:r>
    </w:p>
    <w:p>
      <w:pPr>
        <w:pStyle w:val="Normal (Web)"/>
        <w:spacing w:before="0" w:after="8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Проблеми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які обумовили необхідність прийняття нормативного акта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були вирішені шляхом його прийняття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8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підставі результатів базового відстеження результативності регуляторного акту можна зробити висновок про те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що в цілому шляхом впровадження цього нормативного акта вдалося досягти визначених цілей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8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Остаточний висновок з цього приводу можна буде зробити за результатами повторного відстеження результативності даного акту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  <w:shd w:val="clear" w:color="auto" w:fill="ffff00"/>
          <w:lang w:val="ru-RU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  <w:shd w:val="clear" w:color="auto" w:fill="ffff0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Заступник Міністра                                                                        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МАРЧЕНКО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0" w:right="850" w:bottom="850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3"/>
        <w:tab w:val="clear" w:pos="9639"/>
      </w:tabs>
      <w:jc w:val="center"/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  <w:t>2</w:t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Zakonu">
    <w:name w:val="StyleZakonu"/>
    <w:next w:val="StyleZakon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20" w:lineRule="exact"/>
      <w:ind w:left="0" w:right="0" w:firstLine="284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