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8755" w:type="dxa"/>
        <w:tblLook w:val="04A0" w:firstRow="1" w:lastRow="0" w:firstColumn="1" w:lastColumn="0" w:noHBand="0" w:noVBand="1"/>
      </w:tblPr>
      <w:tblGrid>
        <w:gridCol w:w="5758"/>
      </w:tblGrid>
      <w:tr w:rsidR="0037554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75549" w:rsidRDefault="009A750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ЗАТВЕРДЖЕНО</w:t>
            </w:r>
          </w:p>
          <w:p w:rsidR="00375549" w:rsidRDefault="009A7501">
            <w:pPr>
              <w:spacing w:line="360" w:lineRule="auto"/>
              <w:ind w:left="7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Наказ Міністерства фінансів України</w:t>
            </w:r>
          </w:p>
          <w:p w:rsidR="00375549" w:rsidRDefault="00846276">
            <w:pPr>
              <w:spacing w:line="360" w:lineRule="auto"/>
              <w:ind w:left="7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01серпня</w:t>
            </w:r>
            <w:r w:rsidR="009A7501">
              <w:rPr>
                <w:color w:val="000000"/>
                <w:sz w:val="28"/>
                <w:szCs w:val="28"/>
              </w:rPr>
              <w:t xml:space="preserve"> 2022 року № </w:t>
            </w:r>
            <w:r>
              <w:rPr>
                <w:color w:val="000000"/>
                <w:sz w:val="28"/>
                <w:szCs w:val="28"/>
              </w:rPr>
              <w:t>231</w:t>
            </w:r>
          </w:p>
          <w:p w:rsidR="00375549" w:rsidRDefault="00375549">
            <w:pPr>
              <w:spacing w:line="360" w:lineRule="auto"/>
              <w:ind w:left="738"/>
              <w:rPr>
                <w:color w:val="000000"/>
                <w:sz w:val="28"/>
                <w:szCs w:val="28"/>
              </w:rPr>
            </w:pPr>
          </w:p>
        </w:tc>
      </w:tr>
    </w:tbl>
    <w:p w:rsidR="00375549" w:rsidRDefault="009A750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ЗМІНИ</w:t>
      </w:r>
    </w:p>
    <w:p w:rsidR="00375549" w:rsidRDefault="009A7501">
      <w:pP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 Плану діяльності Міністерства фінансів України з підготовки проектів регуляторних актів на 2022 рік</w:t>
      </w:r>
    </w:p>
    <w:p w:rsidR="00375549" w:rsidRDefault="009A750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Доповнити План діяльності Міністерства фінансів України з підготовки проектів регуляторних актів на 2022 рік  новими пунктами такого змісту:</w:t>
      </w:r>
    </w:p>
    <w:p w:rsidR="00375549" w:rsidRDefault="009A75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709"/>
        <w:gridCol w:w="3289"/>
        <w:gridCol w:w="2929"/>
        <w:gridCol w:w="1774"/>
        <w:gridCol w:w="2389"/>
        <w:gridCol w:w="3413"/>
      </w:tblGrid>
      <w:tr w:rsidR="00375549">
        <w:trPr>
          <w:trHeight w:val="672"/>
        </w:trPr>
        <w:tc>
          <w:tcPr>
            <w:tcW w:w="709" w:type="dxa"/>
          </w:tcPr>
          <w:p w:rsidR="00375549" w:rsidRPr="00846276" w:rsidRDefault="008462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3289" w:type="dxa"/>
          </w:tcPr>
          <w:p w:rsidR="00375549" w:rsidRDefault="009A7501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Приведення у відповідність до норм законодавства процедури підтвердження статусу податкового резидента для цілей</w:t>
            </w:r>
            <w:r>
              <w:rPr>
                <w:rFonts w:ascii="Times New Roman" w:hAnsi="Times New Roman"/>
                <w:sz w:val="28"/>
              </w:rPr>
              <w:t xml:space="preserve"> уникнення подвійного оподаткування та процедури отримання довідки-підтвердження статусу податкового резидента України</w:t>
            </w:r>
          </w:p>
        </w:tc>
        <w:tc>
          <w:tcPr>
            <w:tcW w:w="2929" w:type="dxa"/>
          </w:tcPr>
          <w:p w:rsidR="00375549" w:rsidRDefault="009A75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наказу Міністерства фінансів України «Про затвердження форми довідки-підтвердження та Порядку підтвердження статусу податкового ре</w:t>
            </w:r>
            <w:r>
              <w:rPr>
                <w:color w:val="000000"/>
                <w:sz w:val="28"/>
                <w:szCs w:val="28"/>
              </w:rPr>
              <w:t>зидента України для уникнення подвійного  оподаткування відповідно до норм міжнародних договорів»</w:t>
            </w:r>
          </w:p>
        </w:tc>
        <w:tc>
          <w:tcPr>
            <w:tcW w:w="1774" w:type="dxa"/>
          </w:tcPr>
          <w:p w:rsidR="00375549" w:rsidRDefault="009A75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Друге півріччя</w:t>
            </w:r>
          </w:p>
        </w:tc>
        <w:tc>
          <w:tcPr>
            <w:tcW w:w="0" w:type="auto"/>
          </w:tcPr>
          <w:p w:rsidR="00375549" w:rsidRDefault="009A75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Міністерство фінансів України (Департамент міжнародного оподаткування)</w:t>
            </w:r>
          </w:p>
        </w:tc>
        <w:tc>
          <w:tcPr>
            <w:tcW w:w="0" w:type="auto"/>
            <w:shd w:val="clear" w:color="auto" w:fill="auto"/>
          </w:tcPr>
          <w:p w:rsidR="00375549" w:rsidRDefault="009A750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Прийняття наказу дозволить удосконалити процедуру </w:t>
            </w:r>
            <w:r>
              <w:rPr>
                <w:color w:val="000000"/>
                <w:sz w:val="28"/>
              </w:rPr>
              <w:t xml:space="preserve">підтвердження статусу податкового резидента для цілей уникнення подвійного оподаткування, а також забезпечить можливість для отримання </w:t>
            </w:r>
            <w:r>
              <w:rPr>
                <w:bCs/>
                <w:color w:val="000000"/>
                <w:sz w:val="28"/>
                <w:szCs w:val="28"/>
              </w:rPr>
              <w:t>довідки-підтвердження статусу податкового резидента України в будь-якому контролюючому органі або в електронному кабінеті</w:t>
            </w:r>
            <w:r>
              <w:rPr>
                <w:bCs/>
                <w:color w:val="000000"/>
                <w:sz w:val="28"/>
                <w:szCs w:val="28"/>
              </w:rPr>
              <w:t xml:space="preserve"> платника податків України</w:t>
            </w:r>
          </w:p>
        </w:tc>
      </w:tr>
      <w:tr w:rsidR="00375549">
        <w:trPr>
          <w:trHeight w:val="672"/>
        </w:trPr>
        <w:tc>
          <w:tcPr>
            <w:tcW w:w="709" w:type="dxa"/>
          </w:tcPr>
          <w:p w:rsidR="00375549" w:rsidRDefault="008462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48.</w:t>
            </w:r>
            <w:bookmarkStart w:id="0" w:name="_GoBack"/>
            <w:bookmarkEnd w:id="0"/>
          </w:p>
        </w:tc>
        <w:tc>
          <w:tcPr>
            <w:tcW w:w="3289" w:type="dxa"/>
          </w:tcPr>
          <w:p w:rsidR="00375549" w:rsidRDefault="009A7501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Виконання Україною взятих на себе міжнародних зобов’язань щодо імплементації міжнародних стандартів з прозорості та обміну інформацією для податкових цілей</w:t>
            </w:r>
          </w:p>
        </w:tc>
        <w:tc>
          <w:tcPr>
            <w:tcW w:w="2929" w:type="dxa"/>
          </w:tcPr>
          <w:p w:rsidR="00375549" w:rsidRDefault="009A75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Закону України «Про внесення змін до Податкового кодексу України</w:t>
            </w:r>
            <w:r>
              <w:rPr>
                <w:color w:val="000000"/>
                <w:sz w:val="28"/>
                <w:szCs w:val="28"/>
              </w:rPr>
              <w:t xml:space="preserve"> та деяких законодавчих актів України щодо імплементації міжнародного стандарту автоматичного обміну інформацією про фінансові рахунки»</w:t>
            </w:r>
          </w:p>
        </w:tc>
        <w:tc>
          <w:tcPr>
            <w:tcW w:w="1774" w:type="dxa"/>
          </w:tcPr>
          <w:p w:rsidR="00375549" w:rsidRDefault="009A75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Друге півріччя</w:t>
            </w:r>
          </w:p>
        </w:tc>
        <w:tc>
          <w:tcPr>
            <w:tcW w:w="0" w:type="auto"/>
          </w:tcPr>
          <w:p w:rsidR="00375549" w:rsidRDefault="009A75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Міністерство фінансів України (Департамент міжнародного оподаткування)</w:t>
            </w:r>
          </w:p>
        </w:tc>
        <w:tc>
          <w:tcPr>
            <w:tcW w:w="0" w:type="auto"/>
          </w:tcPr>
          <w:p w:rsidR="00375549" w:rsidRDefault="009A7501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uk-UA"/>
              </w:rPr>
              <w:t xml:space="preserve">Прийняття Закону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створить умови для приєднання України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ефективної міжнародної системи автоматичного обміну інформацією для податкових цілей, що забезпечить більш прозоре податкове середовище та, відповідно, сприятиме запобіганню ухиленням від сплати податків; </w:t>
            </w:r>
          </w:p>
          <w:p w:rsidR="00375549" w:rsidRDefault="009A7501">
            <w:pPr>
              <w:pStyle w:val="HTML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uk-UA"/>
              </w:rPr>
              <w:t xml:space="preserve"> також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uk-UA"/>
              </w:rPr>
              <w:t>дозволить виконати рекомендації Глобального форуму з прозорості та обміну інформацією в податкових цілях, підвищити прозорість та надійність України як держави-партнера з обміну інформацією</w:t>
            </w:r>
          </w:p>
          <w:p w:rsidR="00375549" w:rsidRDefault="00375549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75549" w:rsidRDefault="009A750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75549" w:rsidRDefault="00375549">
      <w:pPr>
        <w:jc w:val="right"/>
        <w:rPr>
          <w:color w:val="000000"/>
          <w:sz w:val="28"/>
          <w:szCs w:val="28"/>
        </w:rPr>
      </w:pPr>
    </w:p>
    <w:p w:rsidR="00375549" w:rsidRDefault="00375549">
      <w:pPr>
        <w:jc w:val="right"/>
        <w:rPr>
          <w:color w:val="000000"/>
          <w:sz w:val="28"/>
          <w:szCs w:val="28"/>
        </w:rPr>
      </w:pPr>
    </w:p>
    <w:p w:rsidR="00375549" w:rsidRDefault="009A7501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 Департаменту міжнародного оподаткування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Людмила ПАЛАМАР</w:t>
      </w:r>
    </w:p>
    <w:sectPr w:rsidR="00375549">
      <w:headerReference w:type="default" r:id="rId6"/>
      <w:pgSz w:w="16838" w:h="11906" w:orient="landscape"/>
      <w:pgMar w:top="993" w:right="624" w:bottom="1701" w:left="1701" w:header="510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01" w:rsidRDefault="009A7501"/>
  </w:endnote>
  <w:endnote w:type="continuationSeparator" w:id="0">
    <w:p w:rsidR="009A7501" w:rsidRDefault="009A7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01" w:rsidRDefault="009A7501"/>
  </w:footnote>
  <w:footnote w:type="continuationSeparator" w:id="0">
    <w:p w:rsidR="009A7501" w:rsidRDefault="009A7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49" w:rsidRDefault="009A7501">
    <w:pPr>
      <w:pStyle w:val="a3"/>
      <w:jc w:val="center"/>
      <w:rPr>
        <w:noProof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46276">
      <w:rPr>
        <w:noProof/>
        <w:sz w:val="28"/>
        <w:szCs w:val="28"/>
      </w:rPr>
      <w:t>2</w:t>
    </w:r>
    <w:r>
      <w:rPr>
        <w:noProof/>
        <w:sz w:val="28"/>
        <w:szCs w:val="28"/>
      </w:rPr>
      <w:fldChar w:fldCharType="end"/>
    </w:r>
  </w:p>
  <w:p w:rsidR="00375549" w:rsidRDefault="0037554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49"/>
    <w:rsid w:val="00375549"/>
    <w:rsid w:val="00846276"/>
    <w:rsid w:val="009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159"/>
  <w15:docId w15:val="{4E41728D-D9D3-4198-B04F-CAF5AA0D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Revision"/>
    <w:hidden/>
    <w:semiHidden/>
    <w:pPr>
      <w:spacing w:line="240" w:lineRule="auto"/>
      <w:ind w:firstLine="0"/>
      <w:jc w:val="left"/>
    </w:pPr>
    <w:rPr>
      <w:sz w:val="24"/>
      <w:szCs w:val="24"/>
      <w:lang w:val="ru-RU" w:eastAsia="ru-RU"/>
    </w:rPr>
  </w:style>
  <w:style w:type="paragraph" w:styleId="aa">
    <w:name w:val="footnote text"/>
    <w:link w:val="ab"/>
    <w:semiHidden/>
    <w:pPr>
      <w:spacing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rPr>
      <w:color w:val="0000FF" w:themeColor="hyperlink"/>
      <w:u w:val="single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color w:val="000000"/>
      <w:sz w:val="21"/>
      <w:szCs w:val="21"/>
      <w:lang w:val="ru-RU" w:eastAsia="ru-RU"/>
    </w:rPr>
  </w:style>
  <w:style w:type="character" w:customStyle="1" w:styleId="a4">
    <w:name w:val="Верхній колонтитул Знак"/>
    <w:basedOn w:val="a0"/>
    <w:link w:val="a3"/>
    <w:rPr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Pr>
      <w:sz w:val="24"/>
      <w:szCs w:val="24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  <w:lang w:val="ru-RU" w:eastAsia="ru-RU"/>
    </w:rPr>
  </w:style>
  <w:style w:type="character" w:customStyle="1" w:styleId="rvts23">
    <w:name w:val="rvts23"/>
  </w:style>
  <w:style w:type="character" w:customStyle="1" w:styleId="rvts15">
    <w:name w:val="rvts15"/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line="240" w:lineRule="auto"/>
      <w:ind w:firstLine="0"/>
      <w:jc w:val="left"/>
    </w:pPr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Федченко Тетяна Йосипівна</cp:lastModifiedBy>
  <cp:revision>2</cp:revision>
  <cp:lastPrinted>2021-09-06T12:13:00Z</cp:lastPrinted>
  <dcterms:created xsi:type="dcterms:W3CDTF">2022-08-01T12:29:00Z</dcterms:created>
  <dcterms:modified xsi:type="dcterms:W3CDTF">2022-08-01T12:29:00Z</dcterms:modified>
</cp:coreProperties>
</file>