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Звіт про повторне відстеження результативності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наказу Міністерства фінансів України від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21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жовтня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2015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року №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911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«Про затвердження Порядку формування Реєстру великих платників податків»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зареєстрованого в Міністерстві юстиції України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09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листопада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2015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року за №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1395/27840</w:t>
      </w:r>
    </w:p>
    <w:p>
      <w:pPr>
        <w:pStyle w:val="Normal.0"/>
        <w:spacing w:before="100" w:after="10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before="100" w:after="10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Вид та назва регуляторного акта</w:t>
      </w:r>
    </w:p>
    <w:p>
      <w:pPr>
        <w:pStyle w:val="Normal.0"/>
        <w:spacing w:before="100" w:after="10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Наказ Міністерства фінансів України від </w:t>
      </w:r>
      <w:r>
        <w:rPr>
          <w:rFonts w:ascii="Times New Roman" w:hAnsi="Times New Roman"/>
          <w:sz w:val="28"/>
          <w:szCs w:val="28"/>
          <w:rtl w:val="0"/>
        </w:rPr>
        <w:t xml:space="preserve">21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жовтня </w:t>
      </w:r>
      <w:r>
        <w:rPr>
          <w:rFonts w:ascii="Times New Roman" w:hAnsi="Times New Roman"/>
          <w:sz w:val="28"/>
          <w:szCs w:val="28"/>
          <w:rtl w:val="0"/>
        </w:rPr>
        <w:t xml:space="preserve">2015 </w:t>
      </w:r>
      <w:r>
        <w:rPr>
          <w:rFonts w:ascii="Times New Roman" w:hAnsi="Times New Roman" w:hint="default"/>
          <w:sz w:val="28"/>
          <w:szCs w:val="28"/>
          <w:rtl w:val="0"/>
        </w:rPr>
        <w:t>року №</w:t>
      </w:r>
      <w:r>
        <w:rPr>
          <w:rFonts w:ascii="Times New Roman" w:hAnsi="Times New Roman"/>
          <w:sz w:val="28"/>
          <w:szCs w:val="28"/>
          <w:rtl w:val="0"/>
        </w:rPr>
        <w:t xml:space="preserve">911 </w:t>
      </w:r>
      <w:r>
        <w:rPr>
          <w:rFonts w:ascii="Times New Roman" w:hAnsi="Times New Roman" w:hint="default"/>
          <w:sz w:val="28"/>
          <w:szCs w:val="28"/>
          <w:rtl w:val="0"/>
        </w:rPr>
        <w:t>«Про затвердження Порядку формування Реєстру великих платників податків»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зареєстрованого в Міністерстві юстиції України </w:t>
      </w:r>
      <w:r>
        <w:rPr>
          <w:rFonts w:ascii="Times New Roman" w:hAnsi="Times New Roman"/>
          <w:sz w:val="28"/>
          <w:szCs w:val="28"/>
          <w:rtl w:val="0"/>
        </w:rPr>
        <w:t xml:space="preserve">09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листопада </w:t>
      </w:r>
      <w:r>
        <w:rPr>
          <w:rFonts w:ascii="Times New Roman" w:hAnsi="Times New Roman"/>
          <w:sz w:val="28"/>
          <w:szCs w:val="28"/>
          <w:rtl w:val="0"/>
        </w:rPr>
        <w:t xml:space="preserve">2015 </w:t>
      </w:r>
      <w:r>
        <w:rPr>
          <w:rFonts w:ascii="Times New Roman" w:hAnsi="Times New Roman" w:hint="default"/>
          <w:sz w:val="28"/>
          <w:szCs w:val="28"/>
          <w:rtl w:val="0"/>
        </w:rPr>
        <w:t>року за №</w:t>
      </w:r>
      <w:r>
        <w:rPr>
          <w:rFonts w:ascii="Times New Roman" w:hAnsi="Times New Roman"/>
          <w:sz w:val="28"/>
          <w:szCs w:val="28"/>
          <w:rtl w:val="0"/>
        </w:rPr>
        <w:t>1395/27840.</w:t>
      </w:r>
    </w:p>
    <w:p>
      <w:pPr>
        <w:pStyle w:val="Normal.0"/>
        <w:spacing w:before="100" w:after="10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Назва виконавця заходів з відстеження </w:t>
      </w:r>
    </w:p>
    <w:p>
      <w:pPr>
        <w:pStyle w:val="Normal.0"/>
        <w:spacing w:before="100" w:after="10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Управління організації обміну та аналізу інформації Міністерства фінансів України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100" w:after="10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Цілі прийняття акта</w:t>
      </w:r>
    </w:p>
    <w:p>
      <w:pPr>
        <w:pStyle w:val="Body Text"/>
        <w:ind w:firstLine="709"/>
        <w:jc w:val="both"/>
        <w:rPr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</w:rPr>
        <w:t>Метою прийняття акта є приведення діючого Порядку формування Реєстру великих платників податків у відповідність до норм Податкового кодексу</w:t>
      </w:r>
      <w:r>
        <w:rPr>
          <w:color w:val="000000"/>
          <w:sz w:val="28"/>
          <w:szCs w:val="28"/>
          <w:u w:color="000000"/>
          <w:rtl w:val="0"/>
        </w:rPr>
        <w:t xml:space="preserve">, </w:t>
      </w:r>
      <w:r>
        <w:rPr>
          <w:color w:val="000000"/>
          <w:sz w:val="28"/>
          <w:szCs w:val="28"/>
          <w:u w:color="000000"/>
          <w:rtl w:val="0"/>
        </w:rPr>
        <w:t xml:space="preserve">положення про Міністерство фінансів України та положення про Державну фіскальну службу України для досягнення цілі 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- </w:t>
      </w:r>
      <w:r>
        <w:rPr>
          <w:color w:val="000000"/>
          <w:sz w:val="28"/>
          <w:szCs w:val="28"/>
          <w:u w:color="000000"/>
          <w:rtl w:val="0"/>
        </w:rPr>
        <w:t>формування та затвердження Реєстру великих платників податків щороку</w:t>
      </w:r>
      <w:r>
        <w:rPr>
          <w:color w:val="000000"/>
          <w:sz w:val="28"/>
          <w:szCs w:val="28"/>
          <w:u w:color="000000"/>
          <w:rtl w:val="0"/>
        </w:rPr>
        <w:t>.</w:t>
      </w:r>
    </w:p>
    <w:p>
      <w:pPr>
        <w:pStyle w:val="Normal.0"/>
        <w:spacing w:before="100" w:after="10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Строк виконання заходів з відстеження </w:t>
      </w:r>
    </w:p>
    <w:p>
      <w:pPr>
        <w:pStyle w:val="Normal.0"/>
        <w:spacing w:before="100" w:after="10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січень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грудень </w:t>
      </w:r>
      <w:r>
        <w:rPr>
          <w:rFonts w:ascii="Times New Roman" w:hAnsi="Times New Roman"/>
          <w:sz w:val="28"/>
          <w:szCs w:val="28"/>
          <w:rtl w:val="0"/>
        </w:rPr>
        <w:t xml:space="preserve">2016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року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100" w:after="10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Тип відстеження</w:t>
      </w:r>
    </w:p>
    <w:p>
      <w:pPr>
        <w:pStyle w:val="Normal.0"/>
        <w:spacing w:before="100" w:after="10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Повторне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100" w:after="10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6.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Методи одержання результатів відстеження</w:t>
      </w:r>
    </w:p>
    <w:p>
      <w:pPr>
        <w:pStyle w:val="Normal (Web)"/>
        <w:spacing w:before="0" w:after="0"/>
        <w:ind w:firstLine="709"/>
        <w:jc w:val="both"/>
        <w:rPr>
          <w:b w:val="1"/>
          <w:bCs w:val="1"/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  <w:lang w:val="ru-RU"/>
        </w:rPr>
        <w:t>Статистичний метод</w:t>
      </w:r>
      <w:r>
        <w:rPr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rmal (Web)"/>
        <w:spacing w:before="0" w:after="0"/>
        <w:ind w:firstLine="720"/>
        <w:jc w:val="both"/>
        <w:rPr>
          <w:color w:val="000000"/>
          <w:sz w:val="28"/>
          <w:szCs w:val="28"/>
          <w:u w:color="000000"/>
        </w:rPr>
      </w:pPr>
    </w:p>
    <w:p>
      <w:pPr>
        <w:pStyle w:val="Normal (Web)"/>
        <w:spacing w:before="0" w:after="0"/>
        <w:ind w:firstLine="720"/>
        <w:jc w:val="both"/>
        <w:rPr>
          <w:b w:val="1"/>
          <w:bCs w:val="1"/>
          <w:color w:val="000000"/>
          <w:sz w:val="28"/>
          <w:szCs w:val="28"/>
          <w:u w:color="000000"/>
        </w:rPr>
      </w:pP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7.</w:t>
      </w: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 Дані та припущення</w:t>
      </w: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на основі яких відстежувалася результативність</w:t>
      </w: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а також способи одержання даних</w:t>
      </w:r>
    </w:p>
    <w:p>
      <w:pPr>
        <w:pStyle w:val="Normal (Web)"/>
        <w:spacing w:before="0" w:after="0"/>
        <w:ind w:firstLine="709"/>
        <w:jc w:val="both"/>
        <w:rPr>
          <w:color w:val="000000"/>
          <w:sz w:val="28"/>
          <w:szCs w:val="28"/>
          <w:u w:color="000000"/>
        </w:rPr>
      </w:pPr>
    </w:p>
    <w:p>
      <w:pPr>
        <w:pStyle w:val="Normal (Web)"/>
        <w:spacing w:before="0" w:after="0"/>
        <w:ind w:firstLine="709"/>
        <w:jc w:val="both"/>
        <w:rPr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  <w:lang w:val="ru-RU"/>
        </w:rPr>
        <w:t xml:space="preserve">Відстеження результативності регуляторного акта здійснювалося на основі аналізу статистичних даних за 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2016 </w:t>
      </w:r>
      <w:r>
        <w:rPr>
          <w:color w:val="000000"/>
          <w:sz w:val="28"/>
          <w:szCs w:val="28"/>
          <w:u w:color="000000"/>
          <w:rtl w:val="0"/>
          <w:lang w:val="ru-RU"/>
        </w:rPr>
        <w:t>рік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color w:val="000000"/>
          <w:sz w:val="28"/>
          <w:szCs w:val="28"/>
          <w:u w:color="000000"/>
          <w:rtl w:val="0"/>
          <w:lang w:val="ru-RU"/>
        </w:rPr>
        <w:t>отриманих від Державної фіскальної служби</w:t>
      </w:r>
      <w:r>
        <w:rPr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rmal.0"/>
        <w:shd w:val="clear" w:color="auto" w:fill="ffffff"/>
        <w:spacing w:before="120" w:after="120" w:line="24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100" w:after="10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Кількісні та якісні значення показників результативності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До Реєстру великих платників податків на </w:t>
      </w:r>
      <w:r>
        <w:rPr>
          <w:rFonts w:ascii="Times New Roman" w:hAnsi="Times New Roman"/>
          <w:sz w:val="28"/>
          <w:szCs w:val="28"/>
          <w:rtl w:val="0"/>
        </w:rPr>
        <w:t xml:space="preserve">2016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рік включено </w:t>
      </w:r>
      <w:r>
        <w:rPr>
          <w:rFonts w:ascii="Times New Roman" w:hAnsi="Times New Roman"/>
          <w:sz w:val="28"/>
          <w:szCs w:val="28"/>
          <w:rtl w:val="0"/>
        </w:rPr>
        <w:t xml:space="preserve">1751 </w:t>
      </w:r>
      <w:r>
        <w:rPr>
          <w:rFonts w:ascii="Times New Roman" w:hAnsi="Times New Roman" w:hint="default"/>
          <w:sz w:val="28"/>
          <w:szCs w:val="28"/>
          <w:rtl w:val="0"/>
        </w:rPr>
        <w:t>підприємство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яким направлено повідомлення за формою </w:t>
      </w:r>
      <w:r>
        <w:rPr>
          <w:rFonts w:ascii="Times New Roman" w:hAnsi="Times New Roman"/>
          <w:sz w:val="28"/>
          <w:szCs w:val="28"/>
          <w:rtl w:val="0"/>
        </w:rPr>
        <w:t>1-</w:t>
      </w:r>
      <w:r>
        <w:rPr>
          <w:rFonts w:ascii="Times New Roman" w:hAnsi="Times New Roman" w:hint="default"/>
          <w:sz w:val="28"/>
          <w:szCs w:val="28"/>
          <w:rtl w:val="0"/>
        </w:rPr>
        <w:t>ВПП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Із загальної кількості великих платників податків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далі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ВПП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у підрозділах Офісу ВПП обліковувались </w:t>
      </w:r>
      <w:r>
        <w:rPr>
          <w:rFonts w:ascii="Times New Roman" w:hAnsi="Times New Roman"/>
          <w:sz w:val="28"/>
          <w:szCs w:val="28"/>
          <w:rtl w:val="0"/>
        </w:rPr>
        <w:t xml:space="preserve">719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або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41 </w:t>
      </w:r>
      <w:r>
        <w:rPr>
          <w:rFonts w:ascii="Times New Roman" w:hAnsi="Times New Roman" w:hint="default"/>
          <w:sz w:val="28"/>
          <w:szCs w:val="28"/>
          <w:rtl w:val="0"/>
        </w:rPr>
        <w:t>відсоток платників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Самостійно подали заяви за формою 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ОПП про зміну місця обліку </w:t>
      </w:r>
      <w:r>
        <w:rPr>
          <w:rFonts w:ascii="Times New Roman" w:hAnsi="Times New Roman"/>
          <w:sz w:val="28"/>
          <w:szCs w:val="28"/>
          <w:rtl w:val="0"/>
        </w:rPr>
        <w:t xml:space="preserve">554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ВПП або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8"/>
          <w:szCs w:val="28"/>
          <w:rtl w:val="0"/>
        </w:rPr>
        <w:t>відсоток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Щодо решти ВПП Державною фіскальною службою відповідно до абзацу четвертого п</w:t>
      </w:r>
      <w:r>
        <w:rPr>
          <w:rFonts w:ascii="Times New Roman" w:hAnsi="Times New Roman"/>
          <w:sz w:val="28"/>
          <w:szCs w:val="28"/>
          <w:rtl w:val="0"/>
        </w:rPr>
        <w:t xml:space="preserve">.64.7 </w:t>
      </w:r>
      <w:r>
        <w:rPr>
          <w:rFonts w:ascii="Times New Roman" w:hAnsi="Times New Roman" w:hint="default"/>
          <w:sz w:val="28"/>
          <w:szCs w:val="28"/>
          <w:rtl w:val="0"/>
        </w:rPr>
        <w:t>ст</w:t>
      </w:r>
      <w:r>
        <w:rPr>
          <w:rFonts w:ascii="Times New Roman" w:hAnsi="Times New Roman"/>
          <w:sz w:val="28"/>
          <w:szCs w:val="28"/>
          <w:rtl w:val="0"/>
        </w:rPr>
        <w:t xml:space="preserve">.64 </w:t>
      </w:r>
      <w:r>
        <w:rPr>
          <w:rFonts w:ascii="Times New Roman" w:hAnsi="Times New Roman" w:hint="default"/>
          <w:sz w:val="28"/>
          <w:szCs w:val="28"/>
          <w:rtl w:val="0"/>
        </w:rPr>
        <w:t>Податкового кодексу України прийнято рішення про зміну основного місця та переведено їх до контролюючих органів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здійснюють супроводження ВПП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 </w:t>
      </w:r>
      <w:r>
        <w:rPr>
          <w:rFonts w:ascii="Times New Roman" w:hAnsi="Times New Roman"/>
          <w:sz w:val="28"/>
          <w:szCs w:val="28"/>
          <w:rtl w:val="0"/>
        </w:rPr>
        <w:t xml:space="preserve">01.01.2016 </w:t>
      </w:r>
      <w:r>
        <w:rPr>
          <w:rFonts w:ascii="Times New Roman" w:hAnsi="Times New Roman" w:hint="default"/>
          <w:sz w:val="28"/>
          <w:szCs w:val="28"/>
          <w:rtl w:val="0"/>
        </w:rPr>
        <w:t>всі ВПП обліковуються у офісі ВПП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Із врахуванням змін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внесених наказами від </w:t>
      </w:r>
      <w:r>
        <w:rPr>
          <w:rFonts w:ascii="Times New Roman" w:hAnsi="Times New Roman"/>
          <w:sz w:val="28"/>
          <w:szCs w:val="28"/>
          <w:rtl w:val="0"/>
        </w:rPr>
        <w:t xml:space="preserve">14.01.2016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№ </w:t>
      </w:r>
      <w:r>
        <w:rPr>
          <w:rFonts w:ascii="Times New Roman" w:hAnsi="Times New Roman"/>
          <w:sz w:val="28"/>
          <w:szCs w:val="28"/>
          <w:rtl w:val="0"/>
        </w:rPr>
        <w:t xml:space="preserve">27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та від </w:t>
      </w:r>
      <w:r>
        <w:rPr>
          <w:rFonts w:ascii="Times New Roman" w:hAnsi="Times New Roman"/>
          <w:sz w:val="28"/>
          <w:szCs w:val="28"/>
          <w:rtl w:val="0"/>
        </w:rPr>
        <w:t xml:space="preserve">13.04.2016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№ </w:t>
      </w:r>
      <w:r>
        <w:rPr>
          <w:rFonts w:ascii="Times New Roman" w:hAnsi="Times New Roman"/>
          <w:sz w:val="28"/>
          <w:szCs w:val="28"/>
          <w:rtl w:val="0"/>
        </w:rPr>
        <w:t xml:space="preserve">312,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на сьогодні у Реєстрі великих платників податків рахується </w:t>
      </w:r>
      <w:r>
        <w:rPr>
          <w:rFonts w:ascii="Times New Roman" w:hAnsi="Times New Roman"/>
          <w:sz w:val="28"/>
          <w:szCs w:val="28"/>
          <w:rtl w:val="0"/>
        </w:rPr>
        <w:t xml:space="preserve">1725 </w:t>
      </w:r>
      <w:r>
        <w:rPr>
          <w:rFonts w:ascii="Times New Roman" w:hAnsi="Times New Roman" w:hint="default"/>
          <w:sz w:val="28"/>
          <w:szCs w:val="28"/>
          <w:rtl w:val="0"/>
        </w:rPr>
        <w:t>підприємств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before="100" w:after="100" w:line="240" w:lineRule="auto"/>
        <w:ind w:firstLine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9.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Оцінка результатів реалізації регуляторного акта та ступеня досягнення визначених цілей</w:t>
      </w:r>
    </w:p>
    <w:p>
      <w:pPr>
        <w:pStyle w:val="Normal.0"/>
        <w:shd w:val="clear" w:color="auto" w:fill="ffffff"/>
        <w:spacing w:before="120" w:after="120" w:line="24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Періодичне відстеження результативності регуляторного акта буде здійснюватися через кожні три роки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починаючи з дня виконання заходів із повторного відстеження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hd w:val="clear" w:color="auto" w:fill="ffffff"/>
        <w:spacing w:before="120" w:after="120" w:line="24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У разі виявлення за результатами аналізу неврегульованих та проблемних питань розглядатиметься можливість їх вирішення шляхом внесення відповідних змін до наказу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hd w:val="clear" w:color="auto" w:fill="ffffff"/>
        <w:spacing w:after="225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de-DE"/>
        </w:rPr>
        <w:t>Заступник Міністра фінансів                                                        С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МАРЧЕНКО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850" w:right="850" w:bottom="850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613"/>
        <w:tab w:val="clear" w:pos="9639"/>
      </w:tabs>
      <w:jc w:val="center"/>
    </w:pPr>
    <w:r>
      <w:rPr>
        <w:rFonts w:ascii="Times New Roman" w:hAnsi="Times New Roman"/>
        <w:sz w:val="28"/>
        <w:szCs w:val="28"/>
        <w:rtl w:val="0"/>
      </w:rPr>
      <w:fldChar w:fldCharType="begin" w:fldLock="0"/>
    </w:r>
    <w:r>
      <w:rPr>
        <w:rFonts w:ascii="Times New Roman" w:hAnsi="Times New Roman"/>
        <w:sz w:val="28"/>
        <w:szCs w:val="28"/>
        <w:rtl w:val="0"/>
      </w:rPr>
      <w:instrText xml:space="preserve"> PAGE </w:instrText>
    </w:r>
    <w:r>
      <w:rPr>
        <w:rFonts w:ascii="Times New Roman" w:hAnsi="Times New Roman"/>
        <w:sz w:val="28"/>
        <w:szCs w:val="28"/>
        <w:rtl w:val="0"/>
      </w:rPr>
      <w:fldChar w:fldCharType="separate" w:fldLock="0"/>
    </w:r>
    <w:r>
      <w:rPr>
        <w:rFonts w:ascii="Times New Roman" w:hAnsi="Times New Roman"/>
        <w:sz w:val="28"/>
        <w:szCs w:val="28"/>
        <w:rtl w:val="0"/>
      </w:rPr>
      <w:t>2</w:t>
    </w:r>
    <w:r>
      <w:rPr>
        <w:rFonts w:ascii="Times New Roman" w:hAnsi="Times New Roman"/>
        <w:sz w:val="28"/>
        <w:szCs w:val="28"/>
        <w:rtl w:val="0"/>
      </w:rPr>
      <w:fldChar w:fldCharType="end" w:fldLock="0"/>
    </w:r>
    <w:r>
      <w:rPr>
        <w:rFonts w:ascii="Times New Roman" w:hAnsi="Times New Roman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9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