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Звіт про базове відстеження результативності</w:t>
      </w:r>
    </w:p>
    <w:p>
      <w:pPr>
        <w:pStyle w:val="Normal.0"/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наказу Міністерства фінансів України від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16.01.2016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6   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«Про затвердження Порядку зарахування у рахунок майбутніх платежів єдиного внеску на загальнообов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'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язкове державне соціальне страхування або повернення надміру та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/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або помилково сплачених коштів»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</w:p>
    <w:p>
      <w:pPr>
        <w:pStyle w:val="Normal.0"/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зареєстрованого в Міністерстві юстиції України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05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лютого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2016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року за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193/28323</w:t>
      </w:r>
    </w:p>
    <w:p>
      <w:pPr>
        <w:pStyle w:val="Normal.0"/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Вид та назва регуляторного акта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Наказ Міністерства фінансів України від </w:t>
      </w:r>
      <w:r>
        <w:rPr>
          <w:rFonts w:ascii="Times New Roman" w:hAnsi="Times New Roman"/>
          <w:sz w:val="28"/>
          <w:szCs w:val="28"/>
          <w:rtl w:val="0"/>
        </w:rPr>
        <w:t xml:space="preserve">16.01.2016 </w:t>
      </w:r>
      <w:r>
        <w:rPr>
          <w:rFonts w:ascii="Times New Roman" w:hAnsi="Times New Roman" w:hint="default"/>
          <w:sz w:val="28"/>
          <w:szCs w:val="28"/>
          <w:rtl w:val="0"/>
        </w:rPr>
        <w:t>№</w:t>
      </w:r>
      <w:r>
        <w:rPr>
          <w:rFonts w:ascii="Times New Roman" w:hAnsi="Times New Roman"/>
          <w:sz w:val="28"/>
          <w:szCs w:val="28"/>
          <w:rtl w:val="0"/>
        </w:rPr>
        <w:t xml:space="preserve">6 </w:t>
      </w:r>
      <w:r>
        <w:rPr>
          <w:rFonts w:ascii="Times New Roman" w:hAnsi="Times New Roman" w:hint="default"/>
          <w:sz w:val="28"/>
          <w:szCs w:val="28"/>
          <w:rtl w:val="0"/>
        </w:rPr>
        <w:t>«Про затвердження Порядку зарахування у рахунок майбутніх платежів єдиного внеску на загальнообов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язкове державне соціальне страхування або повернення надміру та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 w:hint="default"/>
          <w:sz w:val="28"/>
          <w:szCs w:val="28"/>
          <w:rtl w:val="0"/>
        </w:rPr>
        <w:t>або помилково сплачених коштів»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зареєстрований в Міністерстві юстиції України </w:t>
      </w:r>
      <w:r>
        <w:rPr>
          <w:rFonts w:ascii="Times New Roman" w:hAnsi="Times New Roman"/>
          <w:sz w:val="28"/>
          <w:szCs w:val="28"/>
          <w:rtl w:val="0"/>
        </w:rPr>
        <w:t xml:space="preserve">05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лютого </w:t>
      </w:r>
      <w:r>
        <w:rPr>
          <w:rFonts w:ascii="Times New Roman" w:hAnsi="Times New Roman"/>
          <w:sz w:val="28"/>
          <w:szCs w:val="28"/>
          <w:rtl w:val="0"/>
        </w:rPr>
        <w:t xml:space="preserve">2016 </w:t>
      </w:r>
      <w:r>
        <w:rPr>
          <w:rFonts w:ascii="Times New Roman" w:hAnsi="Times New Roman" w:hint="default"/>
          <w:sz w:val="28"/>
          <w:szCs w:val="28"/>
          <w:rtl w:val="0"/>
        </w:rPr>
        <w:t>року за №</w:t>
      </w:r>
      <w:r>
        <w:rPr>
          <w:rFonts w:ascii="Times New Roman" w:hAnsi="Times New Roman"/>
          <w:sz w:val="28"/>
          <w:szCs w:val="28"/>
          <w:rtl w:val="0"/>
        </w:rPr>
        <w:t>193/28323.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Назва виконавця заходів з базового відстеження 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Управління організації обліку та аналізу інформації Міністерства фінансів України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Цілі прийняття акта</w:t>
      </w:r>
    </w:p>
    <w:p>
      <w:pPr>
        <w:pStyle w:val="Normal.0"/>
        <w:spacing w:after="80" w:line="240" w:lineRule="auto"/>
        <w:ind w:firstLine="567"/>
        <w:jc w:val="both"/>
        <w:rPr>
          <w:sz w:val="28"/>
          <w:szCs w:val="28"/>
          <w:shd w:val="clear" w:color="auto" w:fill="ffff00"/>
        </w:rPr>
      </w:pPr>
      <w:r>
        <w:rPr>
          <w:rFonts w:ascii="Times New Roman" w:hAnsi="Times New Roman" w:hint="default"/>
          <w:sz w:val="28"/>
          <w:szCs w:val="28"/>
          <w:rtl w:val="0"/>
        </w:rPr>
        <w:t>Головним завданням затвердження Порядку зарахування у рахунок майбутніх платежів єдиного внеску на загальнообов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язкове державне соціальне страхування або повернення надміру та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 w:hint="default"/>
          <w:sz w:val="28"/>
          <w:szCs w:val="28"/>
          <w:rtl w:val="0"/>
        </w:rPr>
        <w:t>або помилково сплачених коштів є забезпечення реалізації законних прав платників єдиного внеску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визначених Законом України від </w:t>
      </w:r>
      <w:r>
        <w:rPr>
          <w:rFonts w:ascii="Times New Roman" w:hAnsi="Times New Roman"/>
          <w:sz w:val="28"/>
          <w:szCs w:val="28"/>
          <w:rtl w:val="0"/>
        </w:rPr>
        <w:t xml:space="preserve">08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липня </w:t>
      </w:r>
      <w:r>
        <w:rPr>
          <w:rFonts w:ascii="Times New Roman" w:hAnsi="Times New Roman"/>
          <w:sz w:val="28"/>
          <w:szCs w:val="28"/>
          <w:rtl w:val="0"/>
        </w:rPr>
        <w:t xml:space="preserve">2010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року № </w:t>
      </w:r>
      <w:r>
        <w:rPr>
          <w:rFonts w:ascii="Times New Roman" w:hAnsi="Times New Roman"/>
          <w:sz w:val="28"/>
          <w:szCs w:val="28"/>
          <w:rtl w:val="0"/>
        </w:rPr>
        <w:t>2464-VI ,,</w:t>
      </w:r>
      <w:r>
        <w:rPr>
          <w:rFonts w:ascii="Times New Roman" w:hAnsi="Times New Roman" w:hint="default"/>
          <w:sz w:val="28"/>
          <w:szCs w:val="28"/>
          <w:rtl w:val="0"/>
        </w:rPr>
        <w:t>Про збір та облік єдиного внеску на загальнообов’язкове державне соціальне страхування”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StyleZakonu"/>
        <w:spacing w:after="80" w:line="240" w:lineRule="auto"/>
        <w:ind w:firstLine="567"/>
        <w:rPr>
          <w:rFonts w:ascii="Times New Roman" w:cs="Times New Roman" w:hAnsi="Times New Roman" w:eastAsia="Times New Roman"/>
          <w:sz w:val="28"/>
          <w:szCs w:val="28"/>
          <w:shd w:val="clear" w:color="auto" w:fill="ffff00"/>
        </w:rPr>
      </w:pP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Строк виконання заходів з базового відстеження 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Січень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грудень </w:t>
      </w:r>
      <w:r>
        <w:rPr>
          <w:rFonts w:ascii="Times New Roman" w:hAnsi="Times New Roman"/>
          <w:sz w:val="28"/>
          <w:szCs w:val="28"/>
          <w:rtl w:val="0"/>
        </w:rPr>
        <w:t xml:space="preserve">2016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року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00"/>
          <w:lang w:val="ru-RU"/>
        </w:rPr>
      </w:pP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Тип відстеження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Базове відстеження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00"/>
          <w:lang w:val="ru-RU"/>
        </w:rPr>
      </w:pP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Методи одержання результатів відстеження</w:t>
      </w:r>
    </w:p>
    <w:p>
      <w:pPr>
        <w:pStyle w:val="Normal (Web)"/>
        <w:spacing w:before="0" w:after="80"/>
        <w:ind w:firstLine="567"/>
        <w:jc w:val="both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ru-RU"/>
        </w:rPr>
        <w:t>Відстеження результативності наказу здійснювалось шляхом аналізу статистичних даних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color w:val="000000"/>
          <w:sz w:val="28"/>
          <w:szCs w:val="28"/>
          <w:u w:color="000000"/>
          <w:rtl w:val="0"/>
          <w:lang w:val="ru-RU"/>
        </w:rPr>
        <w:t>отриманих від Державної фіскальної служби</w:t>
      </w:r>
      <w:r>
        <w:rPr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 (Web)"/>
        <w:spacing w:before="0" w:after="80"/>
        <w:ind w:firstLine="567"/>
        <w:jc w:val="both"/>
        <w:rPr>
          <w:b w:val="1"/>
          <w:bCs w:val="1"/>
          <w:color w:val="000000"/>
          <w:sz w:val="28"/>
          <w:szCs w:val="28"/>
          <w:u w:color="000000"/>
          <w:shd w:val="clear" w:color="auto" w:fill="ffff00"/>
        </w:rPr>
      </w:pPr>
    </w:p>
    <w:p>
      <w:pPr>
        <w:pStyle w:val="Normal (Web)"/>
        <w:spacing w:before="0" w:after="80"/>
        <w:ind w:firstLine="567"/>
        <w:jc w:val="both"/>
        <w:rPr>
          <w:b w:val="1"/>
          <w:bCs w:val="1"/>
          <w:color w:val="000000"/>
          <w:sz w:val="28"/>
          <w:szCs w:val="28"/>
          <w:u w:color="000000"/>
        </w:rPr>
      </w:pP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7.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 Дані та припущення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на основі яких відстежувалася результативність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а також способи одержання даних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Базове відстеження результативності регуляторного акта здійснювалося з дати набрання ним чинності протягом </w:t>
      </w:r>
      <w:r>
        <w:rPr>
          <w:rFonts w:ascii="Times New Roman" w:hAnsi="Times New Roman"/>
          <w:sz w:val="28"/>
          <w:szCs w:val="28"/>
          <w:rtl w:val="0"/>
        </w:rPr>
        <w:t xml:space="preserve">2016 </w:t>
      </w:r>
      <w:r>
        <w:rPr>
          <w:rFonts w:ascii="Times New Roman" w:hAnsi="Times New Roman" w:hint="default"/>
          <w:sz w:val="28"/>
          <w:szCs w:val="28"/>
          <w:rtl w:val="0"/>
        </w:rPr>
        <w:t>року на основі аналізу статистичних даних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Кількісні та якісні значення показників результативності 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Станом на </w:t>
      </w:r>
      <w:r>
        <w:rPr>
          <w:rFonts w:ascii="Times New Roman" w:hAnsi="Times New Roman"/>
          <w:sz w:val="28"/>
          <w:szCs w:val="28"/>
          <w:rtl w:val="0"/>
        </w:rPr>
        <w:t xml:space="preserve">21.12.2016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Державною фіскальною службою України було забезпечено виконання звернень територіальних органів ДФС щодо перерахування сум помилково сплаченого єдиного внеску на загальнообов’язкове державне соціальне страхування на загальну суму </w:t>
      </w:r>
      <w:r>
        <w:rPr>
          <w:rFonts w:ascii="Times New Roman" w:hAnsi="Times New Roman"/>
          <w:sz w:val="28"/>
          <w:szCs w:val="28"/>
          <w:rtl w:val="0"/>
        </w:rPr>
        <w:t>506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227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 xml:space="preserve">009,91 </w:t>
      </w:r>
      <w:r>
        <w:rPr>
          <w:rFonts w:ascii="Times New Roman" w:hAnsi="Times New Roman" w:hint="default"/>
          <w:sz w:val="28"/>
          <w:szCs w:val="28"/>
          <w:rtl w:val="0"/>
        </w:rPr>
        <w:t>грн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 них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завдяки налагодженню тісної співпраці з соціальними фондами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вдалося отримати та повернути платникам </w:t>
      </w:r>
      <w:r>
        <w:rPr>
          <w:rFonts w:ascii="Times New Roman" w:hAnsi="Times New Roman"/>
          <w:sz w:val="28"/>
          <w:szCs w:val="28"/>
          <w:rtl w:val="0"/>
        </w:rPr>
        <w:t>484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400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 xml:space="preserve">127,67 </w:t>
      </w:r>
      <w:r>
        <w:rPr>
          <w:rFonts w:ascii="Times New Roman" w:hAnsi="Times New Roman" w:hint="default"/>
          <w:sz w:val="28"/>
          <w:szCs w:val="28"/>
          <w:rtl w:val="0"/>
        </w:rPr>
        <w:t>грн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помилково сплачених коштів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8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9.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Оцінка результатів реалізації регуляторного акта та ступеня досягнення визначених цілей</w:t>
      </w:r>
    </w:p>
    <w:p>
      <w:pPr>
        <w:pStyle w:val="Normal (Web)"/>
        <w:spacing w:before="0" w:after="80"/>
        <w:ind w:firstLine="567"/>
        <w:jc w:val="both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ru-RU"/>
        </w:rPr>
        <w:t>Проблеми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color w:val="000000"/>
          <w:sz w:val="28"/>
          <w:szCs w:val="28"/>
          <w:u w:color="000000"/>
          <w:rtl w:val="0"/>
          <w:lang w:val="ru-RU"/>
        </w:rPr>
        <w:t>які обумовили необхідність прийняття нормативного акта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color w:val="000000"/>
          <w:sz w:val="28"/>
          <w:szCs w:val="28"/>
          <w:u w:color="000000"/>
          <w:rtl w:val="0"/>
          <w:lang w:val="ru-RU"/>
        </w:rPr>
        <w:t>були вирішені шляхом його прийняття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Normal (Web)"/>
        <w:spacing w:before="0" w:after="80"/>
        <w:ind w:firstLine="567"/>
        <w:jc w:val="both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ru-RU"/>
        </w:rPr>
        <w:t>На підставі результатів базового відстеження результативності регуляторного акту можна зробити висновок про те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color w:val="000000"/>
          <w:sz w:val="28"/>
          <w:szCs w:val="28"/>
          <w:u w:color="000000"/>
          <w:rtl w:val="0"/>
          <w:lang w:val="ru-RU"/>
        </w:rPr>
        <w:t>що в цілому шляхом впровадження цього нормативного акта вдалося досягти визначених цілей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Normal (Web)"/>
        <w:spacing w:before="0" w:after="80"/>
        <w:ind w:firstLine="567"/>
        <w:jc w:val="both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ru-RU"/>
        </w:rPr>
        <w:t>Остаточний висновок з цього приводу можна буде зробити за результатами повторного відстеження результативності даного акту</w:t>
      </w:r>
      <w:r>
        <w:rPr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567"/>
        <w:rPr>
          <w:rFonts w:ascii="Times New Roman" w:cs="Times New Roman" w:hAnsi="Times New Roman" w:eastAsia="Times New Roman"/>
          <w:sz w:val="28"/>
          <w:szCs w:val="28"/>
          <w:shd w:val="clear" w:color="auto" w:fill="ffff00"/>
          <w:lang w:val="ru-RU"/>
        </w:rPr>
      </w:pPr>
    </w:p>
    <w:p>
      <w:pPr>
        <w:pStyle w:val="Normal.0"/>
        <w:spacing w:after="0" w:line="240" w:lineRule="auto"/>
        <w:ind w:firstLine="567"/>
        <w:rPr>
          <w:rFonts w:ascii="Times New Roman" w:cs="Times New Roman" w:hAnsi="Times New Roman" w:eastAsia="Times New Roman"/>
          <w:sz w:val="28"/>
          <w:szCs w:val="28"/>
          <w:shd w:val="clear" w:color="auto" w:fill="ffff00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Заступник Міністра                                                                        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МАРЧЕНКО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567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850" w:right="850" w:bottom="850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613"/>
        <w:tab w:val="clear" w:pos="9639"/>
      </w:tabs>
      <w:jc w:val="center"/>
    </w:pPr>
    <w:r>
      <w:rPr>
        <w:rFonts w:ascii="Times New Roman" w:hAnsi="Times New Roman"/>
        <w:sz w:val="24"/>
        <w:szCs w:val="24"/>
        <w:rtl w:val="0"/>
      </w:rPr>
      <w:fldChar w:fldCharType="begin" w:fldLock="0"/>
    </w:r>
    <w:r>
      <w:rPr>
        <w:rFonts w:ascii="Times New Roman" w:hAnsi="Times New Roman"/>
        <w:sz w:val="24"/>
        <w:szCs w:val="24"/>
        <w:rtl w:val="0"/>
      </w:rPr>
      <w:instrText xml:space="preserve"> PAGE </w:instrText>
    </w:r>
    <w:r>
      <w:rPr>
        <w:rFonts w:ascii="Times New Roman" w:hAnsi="Times New Roman"/>
        <w:sz w:val="24"/>
        <w:szCs w:val="24"/>
        <w:rtl w:val="0"/>
      </w:rPr>
      <w:fldChar w:fldCharType="separate" w:fldLock="0"/>
    </w:r>
    <w:r>
      <w:rPr>
        <w:rFonts w:ascii="Times New Roman" w:hAnsi="Times New Roman"/>
        <w:sz w:val="24"/>
        <w:szCs w:val="24"/>
        <w:rtl w:val="0"/>
      </w:rPr>
      <w:t>2</w:t>
    </w:r>
    <w:r>
      <w:rPr>
        <w:rFonts w:ascii="Times New Roman" w:hAnsi="Times New Roman"/>
        <w:sz w:val="24"/>
        <w:szCs w:val="24"/>
        <w:rtl w:val="0"/>
      </w:rPr>
      <w:fldChar w:fldCharType="end" w:fldLock="0"/>
    </w: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StyleZakonu">
    <w:name w:val="StyleZakonu"/>
    <w:next w:val="StyleZakonu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20" w:lineRule="exact"/>
      <w:ind w:left="0" w:right="0" w:firstLine="284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